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990011"/>
          <w:sz w:val="72"/>
          <w:szCs w:val="72"/>
        </w:rPr>
        <w:t xml:space="preserve">HemoLink</w:t>
      </w:r>
    </w:p>
    <w:p>
      <w:pPr>
        <w:spacing w:after="600"/>
        <w:jc w:val="center"/>
      </w:pPr>
      <w:r>
        <w:rPr>
          <w:i/>
          <w:iCs/>
          <w:color w:val="1E2761"/>
          <w:sz w:val="32"/>
          <w:szCs w:val="32"/>
        </w:rPr>
        <w:t xml:space="preserve">Conditions Générales d'Utilisation</w:t>
      </w:r>
    </w:p>
    <w:p>
      <w:pPr>
        <w:spacing w:after="200"/>
        <w:jc w:val="center"/>
      </w:pPr>
      <w:r>
        <w:rPr>
          <w:color w:val="4A4A4A"/>
          <w:sz w:val="24"/>
          <w:szCs w:val="24"/>
        </w:rPr>
        <w:t xml:space="preserve">&amp; Politique de Confidentialité</w:t>
      </w:r>
    </w:p>
    <w:p>
      <w:pPr>
        <w:spacing w:after="2000"/>
        <w:jc w:val="center"/>
      </w:pPr>
      <w:r>
        <w:rPr>
          <w:color w:val="4A4A4A"/>
          <w:sz w:val="16"/>
          <w:szCs w:val="16"/>
        </w:rPr>
        <w:t xml:space="preserve">Version 1.0 — 19 mai 2026</w:t>
      </w:r>
    </w:p>
    <w:p>
      <w:pPr>
        <w:jc w:val="center"/>
      </w:pPr>
      <w:r>
        <w:rPr>
          <w:b/>
          <w:bCs/>
          <w:color w:val="1E2761"/>
          <w:sz w:val="18"/>
          <w:szCs w:val="18"/>
        </w:rPr>
        <w:t xml:space="preserve">Conformes à la Loi n° 2008-12 du 25 janvier 2008</w:t>
      </w:r>
    </w:p>
    <w:p>
      <w:pPr>
        <w:spacing w:after="120"/>
        <w:jc w:val="center"/>
      </w:pPr>
      <w:r>
        <w:rPr>
          <w:color w:val="1E2761"/>
          <w:sz w:val="18"/>
          <w:szCs w:val="18"/>
        </w:rPr>
        <w:t xml:space="preserve">sur la protection des données à caractère personnel au Sénégal</w:t>
      </w:r>
    </w:p>
    <w:p>
      <w:pPr>
        <w:jc w:val="center"/>
      </w:pPr>
      <w:r>
        <w:rPr>
          <w:i/>
          <w:iCs/>
          <w:color w:val="4A4A4A"/>
          <w:sz w:val="16"/>
          <w:szCs w:val="16"/>
        </w:rPr>
        <w:t xml:space="preserve">et au Règlement Général sur la Protection des Données (RGPD)</w:t>
      </w:r>
    </w:p>
    <w:p>
      <w:r>
        <w:br w:type="page"/>
      </w:r>
    </w:p>
    <w:p>
      <w:pPr>
        <w:pStyle w:val="Heading1"/>
      </w:pPr>
      <w:r>
        <w:rPr>
          <w:color w:val="990011"/>
        </w:rPr>
        <w:t xml:space="preserve">Préambule</w:t>
      </w:r>
    </w:p>
    <w:p>
      <w:pPr>
        <w:spacing w:after="140"/>
      </w:pPr>
      <w:r>
        <w:t xml:space="preserve">Les présentes Conditions Générales d'Utilisation (ci-après « CGU ») régissent l'utilisation de la plateforme HemoLink (ci-après « la Plateforme ») accessible à l'adresse hemolink.sn et via son application mobile.</w:t>
      </w:r>
    </w:p>
    <w:p>
      <w:pPr>
        <w:spacing w:after="140"/>
      </w:pPr>
      <w:r>
        <w:t xml:space="preserve">HemoLink est un service de coordination des dons de sang d'urgence au Sénégal, développé dans le cadre d'un projet académique en partenariat avec le Centre National de Transfusion Sanguine (CNTS) de Dakar.</w:t>
      </w:r>
    </w:p>
    <w:p>
      <w:pPr>
        <w:spacing w:after="140"/>
      </w:pPr>
      <w:r>
        <w:t xml:space="preserve">L'inscription et l'utilisation de la Plateforme valent acceptation pleine et entière des présentes CGU. Tout utilisateur reconnaît les avoir lues et acceptées sans réserve.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0011" w:sz="4"/>
              <w:left w:val="single" w:color="990011" w:sz="18"/>
              <w:bottom w:val="single" w:color="990011" w:sz="4"/>
              <w:right w:val="single" w:color="990011" w:sz="4"/>
            </w:tcBorders>
            <w:shd w:fill="F5F5F5" w:val="clear"/>
            <w:tcMar>
              <w:top w:type="dxa" w:w="160"/>
              <w:left w:type="dxa" w:w="220"/>
              <w:bottom w:type="dxa" w:w="160"/>
              <w:right w:type="dxa" w:w="160"/>
            </w:tcMar>
          </w:tcPr>
          <w:p>
            <w:pPr>
              <w:spacing w:after="100"/>
            </w:pPr>
            <w:r>
              <w:rPr>
                <w:b/>
                <w:bCs/>
                <w:color w:val="990011"/>
                <w:sz w:val="22"/>
                <w:szCs w:val="22"/>
              </w:rPr>
              <w:t xml:space="preserve">L'essentiel à retenir</w:t>
            </w:r>
          </w:p>
          <w:p>
            <w:pPr>
              <w:spacing w:after="100"/>
            </w:pPr>
            <w:r>
              <w:rPr>
                <w:b/>
                <w:bCs/>
                <w:color w:val="1E2761"/>
                <w:sz w:val="22"/>
                <w:szCs w:val="22"/>
              </w:rPr>
              <w:t xml:space="preserve">Vous gardez le contrôle total de vos données médicales.</w:t>
            </w:r>
          </w:p>
          <w:p>
            <w:r>
              <w:rPr>
                <w:color w:val="4A4A4A"/>
                <w:sz w:val="20"/>
                <w:szCs w:val="20"/>
              </w:rPr>
              <w:t xml:space="preserve">À tout moment, vous pouvez : consulter, modifier, exporter ou supprimer vos données. Vous pouvez également demander l'anonymisation de votre profil tout en conservant l'utilité statistique de vos dons passés pour le système de santé sénégalais.</w:t>
            </w:r>
          </w:p>
        </w:tc>
      </w:tr>
    </w:tbl>
    <w:p>
      <w:pPr>
        <w:spacing w:after="140"/>
      </w:pPr>
      <w:r>
        <w:t xml:space="preserve"/>
      </w:r>
    </w:p>
    <w:p>
      <w:pPr>
        <w:pStyle w:val="Heading1"/>
      </w:pPr>
      <w:r>
        <w:rPr>
          <w:color w:val="990011"/>
        </w:rPr>
        <w:t xml:space="preserve">Article 1 — Définitions</w:t>
      </w:r>
    </w:p>
    <w:p>
      <w:pPr>
        <w:pStyle w:val="ListParagraph"/>
        <w:numPr>
          <w:ilvl w:val="0"/>
          <w:numId w:val="2"/>
        </w:numPr>
      </w:pPr>
      <w:r>
        <w:rPr>
          <w:b/>
          <w:bCs/>
        </w:rPr>
        <w:t xml:space="preserve">« Plateforme » : </w:t>
      </w:r>
      <w:r>
        <w:t xml:space="preserve">le service HemoLink dans son ensemble (site web, application mobile, API).</w:t>
      </w:r>
    </w:p>
    <w:p>
      <w:pPr>
        <w:pStyle w:val="ListParagraph"/>
        <w:numPr>
          <w:ilvl w:val="0"/>
          <w:numId w:val="2"/>
        </w:numPr>
      </w:pPr>
      <w:r>
        <w:rPr>
          <w:b/>
          <w:bCs/>
        </w:rPr>
        <w:t xml:space="preserve">« Donneur » : </w:t>
      </w:r>
      <w:r>
        <w:t xml:space="preserve">toute personne physique majeure inscrite sur la Plateforme avec son consentement libre et éclairé.</w:t>
      </w:r>
    </w:p>
    <w:p>
      <w:pPr>
        <w:pStyle w:val="ListParagraph"/>
        <w:numPr>
          <w:ilvl w:val="0"/>
          <w:numId w:val="2"/>
        </w:numPr>
      </w:pPr>
      <w:r>
        <w:rPr>
          <w:b/>
          <w:bCs/>
        </w:rPr>
        <w:t xml:space="preserve">« Hôpital » : </w:t>
      </w:r>
      <w:r>
        <w:t xml:space="preserve">tout établissement de santé partenaire ayant signé une convention avec HemoLink et validé par le CNTS.</w:t>
      </w:r>
    </w:p>
    <w:p>
      <w:pPr>
        <w:pStyle w:val="ListParagraph"/>
        <w:numPr>
          <w:ilvl w:val="0"/>
          <w:numId w:val="2"/>
        </w:numPr>
      </w:pPr>
      <w:r>
        <w:rPr>
          <w:b/>
          <w:bCs/>
        </w:rPr>
        <w:t xml:space="preserve">« CNTS » : </w:t>
      </w:r>
      <w:r>
        <w:t xml:space="preserve">le Centre National de Transfusion Sanguine de Dakar, partenaire institutionnel et autorité de validation des comptes.</w:t>
      </w:r>
    </w:p>
    <w:p>
      <w:pPr>
        <w:pStyle w:val="ListParagraph"/>
        <w:numPr>
          <w:ilvl w:val="0"/>
          <w:numId w:val="2"/>
        </w:numPr>
      </w:pPr>
      <w:r>
        <w:rPr>
          <w:b/>
          <w:bCs/>
        </w:rPr>
        <w:t xml:space="preserve">« Données personnelles » : </w:t>
      </w:r>
      <w:r>
        <w:t xml:space="preserve">toute information se rapportant à une personne physique identifiée ou identifiable (nom, prénom, téléphone, géolocalisation, groupe sanguin, historique médical).</w:t>
      </w:r>
    </w:p>
    <w:p>
      <w:pPr>
        <w:pStyle w:val="ListParagraph"/>
        <w:numPr>
          <w:ilvl w:val="0"/>
          <w:numId w:val="2"/>
        </w:numPr>
      </w:pPr>
      <w:r>
        <w:rPr>
          <w:b/>
          <w:bCs/>
        </w:rPr>
        <w:t xml:space="preserve">« Traitement » : </w:t>
      </w:r>
      <w:r>
        <w:t xml:space="preserve">toute opération effectuée sur les données : collecte, enregistrement, organisation, conservation, modification, consultation, communication, suppression.</w:t>
      </w:r>
    </w:p>
    <w:p>
      <w:pPr>
        <w:pStyle w:val="Heading1"/>
      </w:pPr>
      <w:r>
        <w:rPr>
          <w:color w:val="990011"/>
        </w:rPr>
        <w:t xml:space="preserve">Article 2 — Objet de la Plateforme</w:t>
      </w:r>
    </w:p>
    <w:p>
      <w:pPr>
        <w:spacing w:after="140"/>
      </w:pPr>
      <w:r>
        <w:t xml:space="preserve">HemoLink a pour objet de mettre en relation, en temps réel, les donneurs de sang volontaires avec les hôpitaux sénégalais en situation d'urgence transfusionnelle. La Plateforme fournit notamment :</w:t>
      </w:r>
    </w:p>
    <w:p>
      <w:pPr>
        <w:pStyle w:val="ListParagraph"/>
        <w:numPr>
          <w:ilvl w:val="0"/>
          <w:numId w:val="2"/>
        </w:numPr>
      </w:pPr>
      <w:r>
        <w:t xml:space="preserve">la création et la gestion d'un profil donneur sécurisé,</w:t>
      </w:r>
    </w:p>
    <w:p>
      <w:pPr>
        <w:pStyle w:val="ListParagraph"/>
        <w:numPr>
          <w:ilvl w:val="0"/>
          <w:numId w:val="2"/>
        </w:numPr>
      </w:pPr>
      <w:r>
        <w:t xml:space="preserve">la réception d'alertes ciblées par groupe sanguin compatible et par géolocalisation,</w:t>
      </w:r>
    </w:p>
    <w:p>
      <w:pPr>
        <w:pStyle w:val="ListParagraph"/>
        <w:numPr>
          <w:ilvl w:val="0"/>
          <w:numId w:val="2"/>
        </w:numPr>
      </w:pPr>
      <w:r>
        <w:t xml:space="preserve">la possibilité d'accepter ou de refuser une alerte en un clic,</w:t>
      </w:r>
    </w:p>
    <w:p>
      <w:pPr>
        <w:pStyle w:val="ListParagraph"/>
        <w:numPr>
          <w:ilvl w:val="0"/>
          <w:numId w:val="2"/>
        </w:numPr>
      </w:pPr>
      <w:r>
        <w:t xml:space="preserve">la consultation de l'historique personnel de dons,</w:t>
      </w:r>
    </w:p>
    <w:p>
      <w:pPr>
        <w:pStyle w:val="ListParagraph"/>
        <w:numPr>
          <w:ilvl w:val="0"/>
          <w:numId w:val="2"/>
        </w:numPr>
      </w:pPr>
      <w:r>
        <w:t xml:space="preserve">pour le personnel hospitalier : la gestion des stocks de sang et le déclenchement d'alertes,</w:t>
      </w:r>
    </w:p>
    <w:p>
      <w:pPr>
        <w:pStyle w:val="ListParagraph"/>
        <w:numPr>
          <w:ilvl w:val="0"/>
          <w:numId w:val="2"/>
        </w:numPr>
      </w:pPr>
      <w:r>
        <w:t xml:space="preserve">pour le CNTS : une vue nationale agrégée à des fins de pilotage stratégique.</w:t>
      </w:r>
    </w:p>
    <w:p>
      <w:pPr>
        <w:pStyle w:val="Heading1"/>
      </w:pPr>
      <w:r>
        <w:rPr>
          <w:color w:val="990011"/>
        </w:rPr>
        <w:t xml:space="preserve">Article 3 — Inscription et compte</w:t>
      </w:r>
    </w:p>
    <w:p>
      <w:pPr>
        <w:pStyle w:val="Heading2"/>
      </w:pPr>
      <w:r>
        <w:rPr>
          <w:color w:val="1E2761"/>
        </w:rPr>
        <w:t xml:space="preserve">3.1 Conditions d'inscription</w:t>
      </w:r>
    </w:p>
    <w:p>
      <w:pPr>
        <w:spacing w:after="140"/>
      </w:pPr>
      <w:r>
        <w:t xml:space="preserve">L'inscription en tant que donneur est ouverte à toute personne physique :</w:t>
      </w:r>
    </w:p>
    <w:p>
      <w:pPr>
        <w:pStyle w:val="ListParagraph"/>
        <w:numPr>
          <w:ilvl w:val="0"/>
          <w:numId w:val="2"/>
        </w:numPr>
      </w:pPr>
      <w:r>
        <w:t xml:space="preserve">âgée de 18 à 65 ans révolus,</w:t>
      </w:r>
    </w:p>
    <w:p>
      <w:pPr>
        <w:pStyle w:val="ListParagraph"/>
        <w:numPr>
          <w:ilvl w:val="0"/>
          <w:numId w:val="2"/>
        </w:numPr>
      </w:pPr>
      <w:r>
        <w:t xml:space="preserve">résidant au Sénégal ou y disposant d'une adresse de contact,</w:t>
      </w:r>
    </w:p>
    <w:p>
      <w:pPr>
        <w:pStyle w:val="ListParagraph"/>
        <w:numPr>
          <w:ilvl w:val="0"/>
          <w:numId w:val="2"/>
        </w:numPr>
      </w:pPr>
      <w:r>
        <w:t xml:space="preserve">pesant au moins 50 kilogrammes,</w:t>
      </w:r>
    </w:p>
    <w:p>
      <w:pPr>
        <w:pStyle w:val="ListParagraph"/>
        <w:numPr>
          <w:ilvl w:val="0"/>
          <w:numId w:val="2"/>
        </w:numPr>
      </w:pPr>
      <w:r>
        <w:t xml:space="preserve">ne présentant pas de contre-indication médicale au don de sang.</w:t>
      </w:r>
    </w:p>
    <w:p>
      <w:pPr>
        <w:spacing w:after="140"/>
      </w:pPr>
      <w:r>
        <w:t xml:space="preserve">La validation finale de l'éligibilité médicale est effectuée par le CNTS lors d'un entretien préalable au premier don. L'inscription en ligne ne vaut pas validation médicale.</w:t>
      </w:r>
    </w:p>
    <w:p>
      <w:pPr>
        <w:pStyle w:val="Heading2"/>
      </w:pPr>
      <w:r>
        <w:rPr>
          <w:color w:val="1E2761"/>
        </w:rPr>
        <w:t xml:space="preserve">3.2 Confidentialité des identifiants</w:t>
      </w:r>
    </w:p>
    <w:p>
      <w:pPr>
        <w:spacing w:after="140"/>
      </w:pPr>
      <w:r>
        <w:t xml:space="preserve">Le Donneur s'engage à conserver la confidentialité de son mot de passe et à ne le communiquer à aucun tiers. Toute action effectuée depuis son compte est réputée effectuée par lui.</w:t>
      </w:r>
    </w:p>
    <w:p>
      <w:pPr>
        <w:pStyle w:val="Heading2"/>
      </w:pPr>
      <w:r>
        <w:rPr>
          <w:color w:val="1E2761"/>
        </w:rPr>
        <w:t xml:space="preserve">3.3 Véracité des informations</w:t>
      </w:r>
    </w:p>
    <w:p>
      <w:pPr>
        <w:spacing w:after="140"/>
      </w:pPr>
      <w:r>
        <w:t xml:space="preserve">Le Donneur s'engage à fournir des informations exactes, complètes et à jour, en particulier concernant son groupe sanguin, son numéro de téléphone et son adresse. Toute information manifestement erronée peut entraîner la suspension du compte.</w:t>
      </w:r>
    </w:p>
    <w:p>
      <w:pPr>
        <w:pStyle w:val="Heading1"/>
      </w:pPr>
      <w:r>
        <w:rPr>
          <w:color w:val="990011"/>
        </w:rPr>
        <w:t xml:space="preserve">Article 4 — Vos droits sur vos données (Article central)</w:t>
      </w:r>
    </w:p>
    <w:p>
      <w:pPr>
        <w:spacing w:after="140"/>
      </w:pPr>
      <w:r>
        <w:t xml:space="preserve">Conformément à la </w:t>
      </w:r>
      <w:r>
        <w:rPr>
          <w:b/>
          <w:bCs/>
        </w:rPr>
        <w:t xml:space="preserve">Loi n° 2008-12 du 25 janvier 2008</w:t>
      </w:r>
      <w:r>
        <w:t xml:space="preserve"> relative à la protection des données à caractère personnel au Sénégal, ainsi qu'au </w:t>
      </w:r>
      <w:r>
        <w:rPr>
          <w:b/>
          <w:bCs/>
        </w:rPr>
        <w:t xml:space="preserve">Règlement Général sur la Protection des Données (RGPD)</w:t>
      </w:r>
      <w:r>
        <w:t xml:space="preserve"> pris comme cadre de référence internationale, le Donneur dispose à tout moment des droits suivants :</w:t>
      </w:r>
    </w:p>
    <w:p>
      <w:pPr>
        <w:pStyle w:val="Heading3"/>
      </w:pPr>
      <w:r>
        <w:rPr>
          <w:color w:val="1E2761"/>
        </w:rPr>
        <w:t xml:space="preserve">4.1 Droit d'accès</w:t>
      </w:r>
    </w:p>
    <w:p>
      <w:pPr>
        <w:spacing w:after="140"/>
      </w:pPr>
      <w:r>
        <w:t xml:space="preserve">Vous pouvez à tout moment consulter l'ensemble des données vous concernant détenues par HemoLink, depuis votre espace personnel ou sur simple demande à dpo@hemolink.sn.</w:t>
      </w:r>
    </w:p>
    <w:p>
      <w:pPr>
        <w:pStyle w:val="Heading3"/>
      </w:pPr>
      <w:r>
        <w:rPr>
          <w:color w:val="1E2761"/>
        </w:rPr>
        <w:t xml:space="preserve">4.2 Droit de rectification</w:t>
      </w:r>
    </w:p>
    <w:p>
      <w:pPr>
        <w:spacing w:after="140"/>
      </w:pPr>
      <w:r>
        <w:t xml:space="preserve">Vous pouvez corriger toute information vous concernant (téléphone, adresse, disponibilité, etc.) directement depuis votre profil. Le groupe sanguin ne peut être modifié sans validation par le CNTS.</w:t>
      </w:r>
    </w:p>
    <w:p>
      <w:pPr>
        <w:pStyle w:val="Heading3"/>
      </w:pPr>
      <w:r>
        <w:rPr>
          <w:color w:val="1E2761"/>
        </w:rPr>
        <w:t xml:space="preserve">4.3 Droit à la portabilité</w:t>
      </w:r>
    </w:p>
    <w:p>
      <w:pPr>
        <w:spacing w:after="140"/>
      </w:pPr>
      <w:r>
        <w:t xml:space="preserve">Vous pouvez télécharger l'intégralité de vos données dans un format lisible et réutilisable (JSON), via le bouton « Exporter mes données » de votre espace personnel.</w:t>
      </w:r>
    </w:p>
    <w:p>
      <w:pPr>
        <w:pStyle w:val="Heading3"/>
      </w:pPr>
      <w:r>
        <w:rPr>
          <w:color w:val="1E2761"/>
        </w:rPr>
        <w:t xml:space="preserve">4.4 Droit d'opposition / retrait du consentement</w:t>
      </w:r>
    </w:p>
    <w:p>
      <w:pPr>
        <w:spacing w:after="140"/>
      </w:pPr>
      <w:r>
        <w:t xml:space="preserve">Vous pouvez à tout moment cesser de recevoir des alertes (passage en mode « indisponible ») sans supprimer votre compte. Vous pouvez également retirer votre consentement au traitement de vos données, ce qui entraîne automatiquement la suppression de votre profil.</w:t>
      </w:r>
    </w:p>
    <w:p>
      <w:pPr>
        <w:pStyle w:val="Heading3"/>
      </w:pPr>
      <w:r>
        <w:rPr>
          <w:color w:val="1E2761"/>
        </w:rPr>
        <w:t xml:space="preserve">4.5 Droit à l'effacement (droit à l'oubli)</w:t>
      </w:r>
    </w:p>
    <w:p>
      <w:pPr>
        <w:spacing w:after="140"/>
      </w:pPr>
      <w:r>
        <w:t xml:space="preserve">Vous pouvez demander la suppression complète de votre compte et de l'ensemble de vos données médicales. Cette opération est irréversible. Pour réconcilier ce droit avec les exigences médicales de traçabilité, HemoLink vous propose trois options détaillées à l'article 5.</w:t>
      </w:r>
    </w:p>
    <w:p>
      <w:pPr>
        <w:pStyle w:val="Heading1"/>
      </w:pPr>
      <w:r>
        <w:rPr>
          <w:color w:val="990011"/>
        </w:rPr>
        <w:t xml:space="preserve">Article 5 — Que deviennent vos données si vous quittez HemoLink ?</w:t>
      </w:r>
    </w:p>
    <w:p>
      <w:pPr>
        <w:spacing w:after="140"/>
      </w:pPr>
      <w:r>
        <w:rPr>
          <w:b/>
          <w:bCs/>
          <w:color w:val="990011"/>
        </w:rPr>
        <w:t xml:space="preserve">C'est vous qui choisissez. </w:t>
      </w:r>
      <w:r>
        <w:t xml:space="preserve">Lorsque vous souhaitez quitter la Plateforme, trois options vous sont proposées. Vous pouvez les exercer à tout moment depuis votre espace personnel, rubrique « Mes droits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0011" w:sz="4"/>
              <w:left w:val="single" w:color="990011" w:sz="18"/>
              <w:bottom w:val="single" w:color="990011" w:sz="4"/>
              <w:right w:val="single" w:color="990011" w:sz="4"/>
            </w:tcBorders>
            <w:shd w:fill="F5F5F5" w:val="clear"/>
            <w:tcMar>
              <w:top w:type="dxa" w:w="160"/>
              <w:left w:type="dxa" w:w="220"/>
              <w:bottom w:type="dxa" w:w="160"/>
              <w:right w:type="dxa" w:w="160"/>
            </w:tcMar>
          </w:tcPr>
          <w:p>
            <w:pPr>
              <w:spacing w:after="100"/>
            </w:pPr>
            <w:r>
              <w:rPr>
                <w:b/>
                <w:bCs/>
                <w:color w:val="990011"/>
                <w:sz w:val="22"/>
                <w:szCs w:val="22"/>
              </w:rPr>
              <w:t xml:space="preserve">Option A — Suppression totale (droit à l'oubli)</w:t>
            </w:r>
          </w:p>
          <w:p>
            <w:pPr>
              <w:spacing w:after="80"/>
            </w:pPr>
            <w:r>
              <w:rPr>
                <w:color w:val="4A4A4A"/>
                <w:sz w:val="20"/>
                <w:szCs w:val="20"/>
              </w:rPr>
              <w:t xml:space="preserve">Votre compte est supprimé. Toutes vos données personnelles ET vos données médicales sont effacées définitivement. Vous disparaissez de la base.</w:t>
            </w:r>
          </w:p>
          <w:p>
            <w:r>
              <w:rPr>
                <w:b/>
                <w:bCs/>
                <w:color w:val="4A4A4A"/>
                <w:sz w:val="20"/>
                <w:szCs w:val="20"/>
              </w:rPr>
              <w:t xml:space="preserve">Inconvénient : </w:t>
            </w:r>
            <w:r>
              <w:rPr>
                <w:color w:val="4A4A4A"/>
                <w:sz w:val="20"/>
                <w:szCs w:val="20"/>
              </w:rPr>
              <w:t xml:space="preserve">perte de la traçabilité médicale de vos anciens dons (peut compliquer une enquête post-transfusion si un problème de santé est identifié plus tard).</w:t>
            </w:r>
          </w:p>
        </w:tc>
      </w:tr>
    </w:tbl>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28090" w:sz="4"/>
              <w:left w:val="single" w:color="028090" w:sz="18"/>
              <w:bottom w:val="single" w:color="028090" w:sz="4"/>
              <w:right w:val="single" w:color="028090" w:sz="4"/>
            </w:tcBorders>
            <w:shd w:fill="F5F5F5" w:val="clear"/>
            <w:tcMar>
              <w:top w:type="dxa" w:w="160"/>
              <w:left w:type="dxa" w:w="220"/>
              <w:bottom w:type="dxa" w:w="160"/>
              <w:right w:type="dxa" w:w="160"/>
            </w:tcMar>
          </w:tcPr>
          <w:p>
            <w:pPr>
              <w:spacing w:after="100"/>
            </w:pPr>
            <w:r>
              <w:rPr>
                <w:b/>
                <w:bCs/>
                <w:color w:val="028090"/>
                <w:sz w:val="22"/>
                <w:szCs w:val="22"/>
              </w:rPr>
              <w:t xml:space="preserve">Option B — Anonymisation (recommandée)</w:t>
            </w:r>
          </w:p>
          <w:p>
            <w:pPr>
              <w:spacing w:after="80"/>
            </w:pPr>
            <w:r>
              <w:rPr>
                <w:color w:val="4A4A4A"/>
                <w:sz w:val="20"/>
                <w:szCs w:val="20"/>
              </w:rPr>
              <w:t xml:space="preserve">Votre compte est supprimé. Vos identités (nom, prénom, téléphone, email, géolocalisation) sont irrémédiablement effacées. Seules les données médicales agrégées de vos anciens dons sont conservées, SANS aucun lien possible avec votre identité.</w:t>
            </w:r>
          </w:p>
          <w:p>
            <w:r>
              <w:rPr>
                <w:b/>
                <w:bCs/>
                <w:color w:val="4A4A4A"/>
                <w:sz w:val="20"/>
                <w:szCs w:val="20"/>
              </w:rPr>
              <w:t xml:space="preserve">Avantage : </w:t>
            </w:r>
            <w:r>
              <w:rPr>
                <w:color w:val="4A4A4A"/>
                <w:sz w:val="20"/>
                <w:szCs w:val="20"/>
              </w:rPr>
              <w:t xml:space="preserve">vous gagnez le droit à l'oubli total au niveau identitaire, tout en contribuant aux statistiques anonymes du système de santé sénégalais.</w:t>
            </w:r>
          </w:p>
        </w:tc>
      </w:tr>
    </w:tbl>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A434" w:sz="4"/>
              <w:left w:val="single" w:color="CDA434" w:sz="18"/>
              <w:bottom w:val="single" w:color="CDA434" w:sz="4"/>
              <w:right w:val="single" w:color="CDA434" w:sz="4"/>
            </w:tcBorders>
            <w:shd w:fill="F5F5F5" w:val="clear"/>
            <w:tcMar>
              <w:top w:type="dxa" w:w="160"/>
              <w:left w:type="dxa" w:w="220"/>
              <w:bottom w:type="dxa" w:w="160"/>
              <w:right w:type="dxa" w:w="160"/>
            </w:tcMar>
          </w:tcPr>
          <w:p>
            <w:pPr>
              <w:spacing w:after="100"/>
            </w:pPr>
            <w:r>
              <w:rPr>
                <w:b/>
                <w:bCs/>
                <w:color w:val="CDA434"/>
                <w:sz w:val="22"/>
                <w:szCs w:val="22"/>
              </w:rPr>
              <w:t xml:space="preserve">Option C — Désactivation simple (réversible)</w:t>
            </w:r>
          </w:p>
          <w:p>
            <w:pPr>
              <w:spacing w:after="80"/>
            </w:pPr>
            <w:r>
              <w:rPr>
                <w:color w:val="4A4A4A"/>
                <w:sz w:val="20"/>
                <w:szCs w:val="20"/>
              </w:rPr>
              <w:t xml:space="preserve">Votre compte est désactivé : vous ne recevez plus d'alertes et vous ne pouvez plus vous connecter. Vos données sont conservées intactes, en attente d'une éventuelle réactivation.</w:t>
            </w:r>
          </w:p>
          <w:p>
            <w:r>
              <w:rPr>
                <w:b/>
                <w:bCs/>
                <w:color w:val="4A4A4A"/>
                <w:sz w:val="20"/>
                <w:szCs w:val="20"/>
              </w:rPr>
              <w:t xml:space="preserve">Réversible : </w:t>
            </w:r>
            <w:r>
              <w:rPr>
                <w:color w:val="4A4A4A"/>
                <w:sz w:val="20"/>
                <w:szCs w:val="20"/>
              </w:rPr>
              <w:t xml:space="preserve">vous pouvez réactiver votre compte à tout moment sur simple demande à dpo@hemolink.sn.</w:t>
            </w:r>
          </w:p>
        </w:tc>
      </w:tr>
    </w:tbl>
    <w:p>
      <w:pPr>
        <w:spacing w:after="140"/>
      </w:pPr>
      <w:r>
        <w:t xml:space="preserve"/>
      </w:r>
    </w:p>
    <w:p>
      <w:pPr>
        <w:spacing w:after="140"/>
      </w:pPr>
      <w:r>
        <w:rPr>
          <w:b/>
          <w:bCs/>
        </w:rPr>
        <w:t xml:space="preserve">Délai d'exécution : </w:t>
      </w:r>
      <w:r>
        <w:t xml:space="preserve">toute demande de suppression ou d'anonymisation est exécutée dans un délai maximal de </w:t>
      </w:r>
      <w:r>
        <w:rPr>
          <w:b/>
          <w:bCs/>
        </w:rPr>
        <w:t xml:space="preserve">30 jours calendaires</w:t>
      </w:r>
      <w:r>
        <w:t xml:space="preserve"> à compter de votre demande, conformément à l'article 27 de la Loi 2008-12.</w:t>
      </w:r>
    </w:p>
    <w:p>
      <w:pPr>
        <w:pStyle w:val="Heading1"/>
      </w:pPr>
      <w:r>
        <w:rPr>
          <w:color w:val="990011"/>
        </w:rPr>
        <w:t xml:space="preserve">Article 6 — Nature des données collectées</w:t>
      </w:r>
    </w:p>
    <w:p>
      <w:pPr>
        <w:spacing w:after="140"/>
      </w:pPr>
      <w:r>
        <w:t xml:space="preserve">HemoLink collecte et traite les données suivantes, exclusivement nécessaires à sa mission :</w:t>
      </w:r>
    </w:p>
    <w:p>
      <w:pPr>
        <w:pStyle w:val="Heading3"/>
      </w:pPr>
      <w:r>
        <w:rPr>
          <w:color w:val="1E2761"/>
        </w:rPr>
        <w:t xml:space="preserve">6.1 Données d'identification</w:t>
      </w:r>
    </w:p>
    <w:p>
      <w:pPr>
        <w:pStyle w:val="ListParagraph"/>
        <w:numPr>
          <w:ilvl w:val="0"/>
          <w:numId w:val="2"/>
        </w:numPr>
      </w:pPr>
      <w:r>
        <w:t xml:space="preserve">Nom, prénom, sexe, date de naissance</w:t>
      </w:r>
    </w:p>
    <w:p>
      <w:pPr>
        <w:pStyle w:val="ListParagraph"/>
        <w:numPr>
          <w:ilvl w:val="0"/>
          <w:numId w:val="2"/>
        </w:numPr>
      </w:pPr>
      <w:r>
        <w:t xml:space="preserve">Numéro de téléphone, adresse email</w:t>
      </w:r>
    </w:p>
    <w:p>
      <w:pPr>
        <w:pStyle w:val="ListParagraph"/>
        <w:numPr>
          <w:ilvl w:val="0"/>
          <w:numId w:val="2"/>
        </w:numPr>
      </w:pPr>
      <w:r>
        <w:t xml:space="preserve">Ville, quartier, coordonnées GPS (latitude/longitude)</w:t>
      </w:r>
    </w:p>
    <w:p>
      <w:pPr>
        <w:pStyle w:val="Heading3"/>
      </w:pPr>
      <w:r>
        <w:rPr>
          <w:color w:val="1E2761"/>
        </w:rPr>
        <w:t xml:space="preserve">6.2 Données médicales</w:t>
      </w:r>
    </w:p>
    <w:p>
      <w:pPr>
        <w:pStyle w:val="ListParagraph"/>
        <w:numPr>
          <w:ilvl w:val="0"/>
          <w:numId w:val="2"/>
        </w:numPr>
      </w:pPr>
      <w:r>
        <w:t xml:space="preserve">Groupe sanguin (ABO + Rhésus)</w:t>
      </w:r>
    </w:p>
    <w:p>
      <w:pPr>
        <w:pStyle w:val="ListParagraph"/>
        <w:numPr>
          <w:ilvl w:val="0"/>
          <w:numId w:val="2"/>
        </w:numPr>
      </w:pPr>
      <w:r>
        <w:t xml:space="preserve">Poids</w:t>
      </w:r>
    </w:p>
    <w:p>
      <w:pPr>
        <w:pStyle w:val="ListParagraph"/>
        <w:numPr>
          <w:ilvl w:val="0"/>
          <w:numId w:val="2"/>
        </w:numPr>
      </w:pPr>
      <w:r>
        <w:t xml:space="preserve">Date du dernier don</w:t>
      </w:r>
    </w:p>
    <w:p>
      <w:pPr>
        <w:pStyle w:val="ListParagraph"/>
        <w:numPr>
          <w:ilvl w:val="0"/>
          <w:numId w:val="2"/>
        </w:numPr>
      </w:pPr>
      <w:r>
        <w:t xml:space="preserve">Historique des dons effectifs (date, hôpital, type de prélèvement, aptitude)</w:t>
      </w:r>
    </w:p>
    <w:p>
      <w:pPr>
        <w:pStyle w:val="Heading3"/>
      </w:pPr>
      <w:r>
        <w:rPr>
          <w:color w:val="1E2761"/>
        </w:rPr>
        <w:t xml:space="preserve">6.3 Données de connexion</w:t>
      </w:r>
    </w:p>
    <w:p>
      <w:pPr>
        <w:pStyle w:val="ListParagraph"/>
        <w:numPr>
          <w:ilvl w:val="0"/>
          <w:numId w:val="2"/>
        </w:numPr>
      </w:pPr>
      <w:r>
        <w:t xml:space="preserve">Adresse IP, date et heure de connexion</w:t>
      </w:r>
    </w:p>
    <w:p>
      <w:pPr>
        <w:pStyle w:val="ListParagraph"/>
        <w:numPr>
          <w:ilvl w:val="0"/>
          <w:numId w:val="2"/>
        </w:numPr>
      </w:pPr>
      <w:r>
        <w:t xml:space="preserve">Actions effectuées sur la Plateforme (journal d'audit)</w:t>
      </w:r>
    </w:p>
    <w:p>
      <w:pPr>
        <w:pStyle w:val="Heading1"/>
      </w:pPr>
      <w:r>
        <w:rPr>
          <w:color w:val="990011"/>
        </w:rPr>
        <w:t xml:space="preserve">Article 7 — Finalités du traitement</w:t>
      </w:r>
    </w:p>
    <w:p>
      <w:pPr>
        <w:spacing w:after="140"/>
      </w:pPr>
      <w:r>
        <w:t xml:space="preserve">Vos données sont traitées exclusivement pour les finalités suivantes :</w:t>
      </w:r>
    </w:p>
    <w:p>
      <w:pPr>
        <w:pStyle w:val="ListParagraph"/>
        <w:numPr>
          <w:ilvl w:val="0"/>
          <w:numId w:val="2"/>
        </w:numPr>
      </w:pPr>
      <w:r>
        <w:t xml:space="preserve">Création et gestion de votre compte donneur.</w:t>
      </w:r>
    </w:p>
    <w:p>
      <w:pPr>
        <w:pStyle w:val="ListParagraph"/>
        <w:numPr>
          <w:ilvl w:val="0"/>
          <w:numId w:val="2"/>
        </w:numPr>
      </w:pPr>
      <w:r>
        <w:t xml:space="preserve">Mise en relation avec les hôpitaux en cas d'urgence transfusionnelle compatible avec votre groupe sanguin et votre localisation.</w:t>
      </w:r>
    </w:p>
    <w:p>
      <w:pPr>
        <w:pStyle w:val="ListParagraph"/>
        <w:numPr>
          <w:ilvl w:val="0"/>
          <w:numId w:val="2"/>
        </w:numPr>
      </w:pPr>
      <w:r>
        <w:t xml:space="preserve">Calcul de votre éligibilité au don (délai inter-dons, âge, poids).</w:t>
      </w:r>
    </w:p>
    <w:p>
      <w:pPr>
        <w:pStyle w:val="ListParagraph"/>
        <w:numPr>
          <w:ilvl w:val="0"/>
          <w:numId w:val="2"/>
        </w:numPr>
      </w:pPr>
      <w:r>
        <w:t xml:space="preserve">Communication d'informations relatives à vos dons et à votre statut.</w:t>
      </w:r>
    </w:p>
    <w:p>
      <w:pPr>
        <w:pStyle w:val="ListParagraph"/>
        <w:numPr>
          <w:ilvl w:val="0"/>
          <w:numId w:val="2"/>
        </w:numPr>
      </w:pPr>
      <w:r>
        <w:t xml:space="preserve">Établissement de statistiques anonymisées au niveau national (CNTS).</w:t>
      </w:r>
    </w:p>
    <w:p>
      <w:pPr>
        <w:pStyle w:val="ListParagraph"/>
        <w:numPr>
          <w:ilvl w:val="0"/>
          <w:numId w:val="2"/>
        </w:numPr>
      </w:pPr>
      <w:r>
        <w:t xml:space="preserve">Traçabilité médicale et conformité réglementaire (audit log).</w:t>
      </w:r>
    </w:p>
    <w:p>
      <w:pPr>
        <w:spacing w:after="140"/>
      </w:pPr>
      <w:r>
        <w:rPr>
          <w:b/>
          <w:bCs/>
          <w:color w:val="990011"/>
        </w:rPr>
        <w:t xml:space="preserve">HemoLink ne procède à AUCUNE exploitation commerciale de vos données. </w:t>
      </w:r>
      <w:r>
        <w:t xml:space="preserve">Aucune donnée n'est vendue, louée ou cédée à des tiers à des fins publicitaires.</w:t>
      </w:r>
    </w:p>
    <w:p>
      <w:pPr>
        <w:pStyle w:val="Heading1"/>
      </w:pPr>
      <w:r>
        <w:rPr>
          <w:color w:val="990011"/>
        </w:rPr>
        <w:t xml:space="preserve">Article 8 — Destinataires des données</w:t>
      </w:r>
    </w:p>
    <w:p>
      <w:pPr>
        <w:spacing w:after="140"/>
      </w:pPr>
      <w:r>
        <w:t xml:space="preserve">Vos données sont accessibles uniquement aux destinataires suivants, dans la limite stricte de leurs besoins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1E2761" w:val="clear"/>
            <w:tcMar>
              <w:top w:type="dxa" w:w="80"/>
              <w:left w:type="dxa" w:w="120"/>
              <w:bottom w:type="dxa" w:w="80"/>
              <w:right w:type="dxa" w:w="120"/>
            </w:tcMar>
          </w:tcPr>
          <w:p>
            <w:r>
              <w:rPr>
                <w:b/>
                <w:bCs/>
                <w:color w:val="FFFFFF"/>
                <w:sz w:val="20"/>
                <w:szCs w:val="20"/>
              </w:rPr>
              <w:t xml:space="preserve">Destinataire</w:t>
            </w:r>
          </w:p>
        </w:tc>
        <w:tc>
          <w:tcPr>
            <w:tcW w:type="dxa" w:w="6026"/>
            <w:tcBorders>
              <w:top w:val="single" w:color="CCCCCC" w:sz="4"/>
              <w:left w:val="single" w:color="CCCCCC" w:sz="4"/>
              <w:bottom w:val="single" w:color="CCCCCC" w:sz="4"/>
              <w:right w:val="single" w:color="CCCCCC" w:sz="4"/>
            </w:tcBorders>
            <w:shd w:fill="1E2761" w:val="clear"/>
            <w:tcMar>
              <w:top w:type="dxa" w:w="80"/>
              <w:left w:type="dxa" w:w="120"/>
              <w:bottom w:type="dxa" w:w="80"/>
              <w:right w:type="dxa" w:w="120"/>
            </w:tcMar>
          </w:tcPr>
          <w:p>
            <w:r>
              <w:rPr>
                <w:b/>
                <w:bCs/>
                <w:color w:val="FFFFFF"/>
                <w:sz w:val="20"/>
                <w:szCs w:val="20"/>
              </w:rPr>
              <w:t xml:space="preserve">Données accessibles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color w:val="000000"/>
                <w:sz w:val="20"/>
                <w:szCs w:val="20"/>
              </w:rPr>
              <w:t xml:space="preserve">Vous-même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L'intégralité de vos données.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color w:val="000000"/>
                <w:sz w:val="20"/>
                <w:szCs w:val="20"/>
              </w:rPr>
              <w:t xml:space="preserve">Staff hôpital partenaire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Pour les alertes uniquement : prénom, nom, téléphone, groupe sanguin, distance, statut de votre réponse.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color w:val="000000"/>
                <w:sz w:val="20"/>
                <w:szCs w:val="20"/>
              </w:rPr>
              <w:t xml:space="preserve">CNTS</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Données agrégées et statistiques. Données nominatives uniquement à des fins de validation et de contrôle qualité.</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color w:val="000000"/>
                <w:sz w:val="20"/>
                <w:szCs w:val="20"/>
              </w:rPr>
              <w:t xml:space="preserve">Équipe technique HemoLink</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Uniquement pour la maintenance technique ; accès tracé dans le journal d'audit.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color w:val="000000"/>
                <w:sz w:val="20"/>
                <w:szCs w:val="20"/>
              </w:rPr>
              <w:t xml:space="preserve">Autorités légales</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Uniquement sur réquisition judiciaire valide (Loi 2008-12, art. 17).</w:t>
            </w:r>
          </w:p>
        </w:tc>
      </w:tr>
    </w:tbl>
    <w:p>
      <w:pPr>
        <w:pStyle w:val="Heading1"/>
      </w:pPr>
      <w:r>
        <w:rPr>
          <w:color w:val="990011"/>
        </w:rPr>
        <w:t xml:space="preserve">Article 9 — Durée de conservation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4"/>
              <w:left w:val="single" w:color="CCCCCC" w:sz="4"/>
              <w:bottom w:val="single" w:color="CCCCCC" w:sz="4"/>
              <w:right w:val="single" w:color="CCCCCC" w:sz="4"/>
            </w:tcBorders>
            <w:shd w:fill="1E2761" w:val="clear"/>
            <w:tcMar>
              <w:top w:type="dxa" w:w="80"/>
              <w:left w:type="dxa" w:w="120"/>
              <w:bottom w:type="dxa" w:w="80"/>
              <w:right w:type="dxa" w:w="120"/>
            </w:tcMar>
          </w:tcPr>
          <w:p>
            <w:r>
              <w:rPr>
                <w:b/>
                <w:bCs/>
                <w:color w:val="FFFFFF"/>
                <w:sz w:val="20"/>
                <w:szCs w:val="20"/>
              </w:rPr>
              <w:t xml:space="preserve">Catégorie</w:t>
            </w:r>
          </w:p>
        </w:tc>
        <w:tc>
          <w:tcPr>
            <w:tcW w:type="dxa" w:w="4526"/>
            <w:tcBorders>
              <w:top w:val="single" w:color="CCCCCC" w:sz="4"/>
              <w:left w:val="single" w:color="CCCCCC" w:sz="4"/>
              <w:bottom w:val="single" w:color="CCCCCC" w:sz="4"/>
              <w:right w:val="single" w:color="CCCCCC" w:sz="4"/>
            </w:tcBorders>
            <w:shd w:fill="1E2761" w:val="clear"/>
            <w:tcMar>
              <w:top w:type="dxa" w:w="80"/>
              <w:left w:type="dxa" w:w="120"/>
              <w:bottom w:type="dxa" w:w="80"/>
              <w:right w:type="dxa" w:w="120"/>
            </w:tcMar>
          </w:tcPr>
          <w:p>
            <w:r>
              <w:rPr>
                <w:b/>
                <w:bCs/>
                <w:color w:val="FFFFFF"/>
                <w:sz w:val="20"/>
                <w:szCs w:val="20"/>
              </w:rPr>
              <w:t xml:space="preserve">Durée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Compte actif (donneur connecté dans les 24 mois)</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Tant que le compte est actif.</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Compte inactif (sans connexion depuis 24 mois)</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Notification envoyée. Suppression automatique après 6 mois supplémentaires sans réaction.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Historique de dons effectués</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30 ans (exigence médicale de traçabilité — Loi sanitaire sénégalaise).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Journal d'audit (audit_log)</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5 ans à compter de la date de chaque action (conformité réglementaire).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Données après anonymisation (option B)</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color w:val="000000"/>
                <w:sz w:val="20"/>
                <w:szCs w:val="20"/>
              </w:rPr>
              <w:t xml:space="preserve">Indéfiniment, sous forme strictement anonyme (aucun lien possible avec l'identité).</w:t>
            </w:r>
          </w:p>
        </w:tc>
      </w:tr>
    </w:tbl>
    <w:p>
      <w:pPr>
        <w:spacing w:after="140"/>
      </w:pPr>
      <w:r>
        <w:t xml:space="preserve"/>
      </w:r>
    </w:p>
    <w:p>
      <w:pPr>
        <w:pStyle w:val="Heading1"/>
      </w:pPr>
      <w:r>
        <w:rPr>
          <w:color w:val="990011"/>
        </w:rPr>
        <w:t xml:space="preserve">Article 10 — Sécurité</w:t>
      </w:r>
    </w:p>
    <w:p>
      <w:pPr>
        <w:spacing w:after="140"/>
      </w:pPr>
      <w:r>
        <w:t xml:space="preserve">HemoLink met en œuvre les mesures techniques et organisationnelles suivantes pour garantir la sécurité de vos données :</w:t>
      </w:r>
    </w:p>
    <w:p>
      <w:pPr>
        <w:pStyle w:val="ListParagraph"/>
        <w:numPr>
          <w:ilvl w:val="0"/>
          <w:numId w:val="2"/>
        </w:numPr>
      </w:pPr>
      <w:r>
        <w:t xml:space="preserve">Chiffrement des mots de passe avec algorithme bcrypt (10 rounds).</w:t>
      </w:r>
    </w:p>
    <w:p>
      <w:pPr>
        <w:pStyle w:val="ListParagraph"/>
        <w:numPr>
          <w:ilvl w:val="0"/>
          <w:numId w:val="2"/>
        </w:numPr>
      </w:pPr>
      <w:r>
        <w:t xml:space="preserve">Authentification par jetons JWT signés et expirables (12 heures).</w:t>
      </w:r>
    </w:p>
    <w:p>
      <w:pPr>
        <w:pStyle w:val="ListParagraph"/>
        <w:numPr>
          <w:ilvl w:val="0"/>
          <w:numId w:val="2"/>
        </w:numPr>
      </w:pPr>
      <w:r>
        <w:t xml:space="preserve">Limitation des tentatives de connexion (anti-brute force).</w:t>
      </w:r>
    </w:p>
    <w:p>
      <w:pPr>
        <w:pStyle w:val="ListParagraph"/>
        <w:numPr>
          <w:ilvl w:val="0"/>
          <w:numId w:val="2"/>
        </w:numPr>
      </w:pPr>
      <w:r>
        <w:t xml:space="preserve">Headers de sécurité HTTP (Helmet).</w:t>
      </w:r>
    </w:p>
    <w:p>
      <w:pPr>
        <w:pStyle w:val="ListParagraph"/>
        <w:numPr>
          <w:ilvl w:val="0"/>
          <w:numId w:val="2"/>
        </w:numPr>
      </w:pPr>
      <w:r>
        <w:t xml:space="preserve">Validation systématique des entrées (anti-injection).</w:t>
      </w:r>
    </w:p>
    <w:p>
      <w:pPr>
        <w:pStyle w:val="ListParagraph"/>
        <w:numPr>
          <w:ilvl w:val="0"/>
          <w:numId w:val="2"/>
        </w:numPr>
      </w:pPr>
      <w:r>
        <w:t xml:space="preserve">Garde SQL en lecture seule pour l'assistant IA.</w:t>
      </w:r>
    </w:p>
    <w:p>
      <w:pPr>
        <w:pStyle w:val="ListParagraph"/>
        <w:numPr>
          <w:ilvl w:val="0"/>
          <w:numId w:val="2"/>
        </w:numPr>
      </w:pPr>
      <w:r>
        <w:t xml:space="preserve">Journal d'audit horodaté de toutes les actions sensibles.</w:t>
      </w:r>
    </w:p>
    <w:p>
      <w:pPr>
        <w:pStyle w:val="ListParagraph"/>
        <w:numPr>
          <w:ilvl w:val="0"/>
          <w:numId w:val="2"/>
        </w:numPr>
      </w:pPr>
      <w:r>
        <w:t xml:space="preserve">Communications HTTPS (en production).</w:t>
      </w:r>
    </w:p>
    <w:p>
      <w:pPr>
        <w:pStyle w:val="Heading1"/>
      </w:pPr>
      <w:r>
        <w:rPr>
          <w:color w:val="990011"/>
        </w:rPr>
        <w:t xml:space="preserve">Article 11 — Comment exercer vos droits</w:t>
      </w:r>
    </w:p>
    <w:p>
      <w:pPr>
        <w:spacing w:after="140"/>
      </w:pPr>
      <w:r>
        <w:t xml:space="preserve">Pour exercer l'un des droits décrits aux articles 4 et 5, plusieurs canaux sont à votre disposition :</w:t>
      </w:r>
    </w:p>
    <w:p>
      <w:pPr>
        <w:pStyle w:val="Heading3"/>
      </w:pPr>
      <w:r>
        <w:rPr>
          <w:color w:val="1E2761"/>
        </w:rPr>
        <w:t xml:space="preserve">11.1 Depuis votre espace personnel</w:t>
      </w:r>
    </w:p>
    <w:p>
      <w:pPr>
        <w:spacing w:after="140"/>
      </w:pPr>
      <w:r>
        <w:t xml:space="preserve">Connectez-vous à votre compte et rendez-vous dans la rubrique « Mon profil → Mes droits ». Vous y trouverez les boutons :</w:t>
      </w:r>
    </w:p>
    <w:p>
      <w:pPr>
        <w:pStyle w:val="ListParagraph"/>
        <w:numPr>
          <w:ilvl w:val="0"/>
          <w:numId w:val="2"/>
        </w:numPr>
      </w:pPr>
      <w:r>
        <w:t xml:space="preserve">« Exporter mes données » (téléchargement JSON immédiat),</w:t>
      </w:r>
    </w:p>
    <w:p>
      <w:pPr>
        <w:pStyle w:val="ListParagraph"/>
        <w:numPr>
          <w:ilvl w:val="0"/>
          <w:numId w:val="2"/>
        </w:numPr>
      </w:pPr>
      <w:r>
        <w:t xml:space="preserve">« Anonymiser mon compte » (option B),</w:t>
      </w:r>
    </w:p>
    <w:p>
      <w:pPr>
        <w:pStyle w:val="ListParagraph"/>
        <w:numPr>
          <w:ilvl w:val="0"/>
          <w:numId w:val="2"/>
        </w:numPr>
      </w:pPr>
      <w:r>
        <w:t xml:space="preserve">« Supprimer définitivement mon compte » (option A).</w:t>
      </w:r>
    </w:p>
    <w:p>
      <w:pPr>
        <w:pStyle w:val="Heading3"/>
      </w:pPr>
      <w:r>
        <w:rPr>
          <w:color w:val="1E2761"/>
        </w:rPr>
        <w:t xml:space="preserve">11.2 Par email</w:t>
      </w:r>
    </w:p>
    <w:p>
      <w:pPr>
        <w:spacing w:after="140"/>
      </w:pPr>
      <w:r>
        <w:t xml:space="preserve">Toute demande peut être adressée au Délégué à la Protection des Données : </w:t>
      </w:r>
      <w:r>
        <w:rPr>
          <w:b/>
          <w:bCs/>
          <w:color w:val="990011"/>
        </w:rPr>
        <w:t xml:space="preserve">dpo@hemolink.sn</w:t>
      </w:r>
      <w:r>
        <w:t xml:space="preserve">. Joindre une pièce d'identité pour vérification.</w:t>
      </w:r>
    </w:p>
    <w:p>
      <w:pPr>
        <w:pStyle w:val="Heading3"/>
      </w:pPr>
      <w:r>
        <w:rPr>
          <w:color w:val="1E2761"/>
        </w:rPr>
        <w:t xml:space="preserve">11.3 Recours auprès de la CDP</w:t>
      </w:r>
    </w:p>
    <w:p>
      <w:pPr>
        <w:spacing w:after="140"/>
      </w:pPr>
      <w:r>
        <w:t xml:space="preserve">Si vous estimez que vos droits ne sont pas respectés, vous pouvez introduire une réclamation auprès de la Commission de Protection des Données Personnelles (CDP) du Sénégal.</w:t>
      </w:r>
    </w:p>
    <w:p>
      <w:pPr>
        <w:spacing w:after="140"/>
      </w:pPr>
      <w:r>
        <w:t xml:space="preserve">Adresse : Sphères ministérielles, Diamniadio · </w:t>
      </w:r>
      <w:r>
        <w:rPr>
          <w:i/>
          <w:iCs/>
        </w:rPr>
        <w:t xml:space="preserve">www.cdp.sn</w:t>
      </w:r>
    </w:p>
    <w:p>
      <w:pPr>
        <w:pStyle w:val="Heading1"/>
      </w:pPr>
      <w:r>
        <w:rPr>
          <w:color w:val="990011"/>
        </w:rPr>
        <w:t xml:space="preserve">Article 12 — Engagement du donneur</w:t>
      </w:r>
    </w:p>
    <w:p>
      <w:pPr>
        <w:spacing w:after="140"/>
      </w:pPr>
      <w:r>
        <w:t xml:space="preserve">En contrepartie de la mise à disposition gratuite de la Plateforme, le Donneur s'engage à :</w:t>
      </w:r>
    </w:p>
    <w:p>
      <w:pPr>
        <w:pStyle w:val="ListParagraph"/>
        <w:numPr>
          <w:ilvl w:val="0"/>
          <w:numId w:val="2"/>
        </w:numPr>
      </w:pPr>
      <w:r>
        <w:t xml:space="preserve">Répondre aux alertes reçues (par acceptation ou refus) plutôt que de les ignorer, afin de préserver la fiabilité du système.</w:t>
      </w:r>
    </w:p>
    <w:p>
      <w:pPr>
        <w:pStyle w:val="ListParagraph"/>
        <w:numPr>
          <w:ilvl w:val="0"/>
          <w:numId w:val="2"/>
        </w:numPr>
      </w:pPr>
      <w:r>
        <w:t xml:space="preserve">Mettre à jour ses informations en cas de changement (téléphone, adresse, indisponibilité temporaire).</w:t>
      </w:r>
    </w:p>
    <w:p>
      <w:pPr>
        <w:pStyle w:val="ListParagraph"/>
        <w:numPr>
          <w:ilvl w:val="0"/>
          <w:numId w:val="2"/>
        </w:numPr>
      </w:pPr>
      <w:r>
        <w:t xml:space="preserve">Ne pas créer plusieurs comptes pour la même personne.</w:t>
      </w:r>
    </w:p>
    <w:p>
      <w:pPr>
        <w:pStyle w:val="ListParagraph"/>
        <w:numPr>
          <w:ilvl w:val="0"/>
          <w:numId w:val="2"/>
        </w:numPr>
      </w:pPr>
      <w:r>
        <w:t xml:space="preserve">Ne pas tenter d'accéder aux comptes d'autres utilisateurs.</w:t>
      </w:r>
    </w:p>
    <w:p>
      <w:pPr>
        <w:pStyle w:val="ListParagraph"/>
        <w:numPr>
          <w:ilvl w:val="0"/>
          <w:numId w:val="2"/>
        </w:numPr>
      </w:pPr>
      <w:r>
        <w:t xml:space="preserve">Signaler tout dysfonctionnement à contact@hemolink.sn.</w:t>
      </w:r>
    </w:p>
    <w:p>
      <w:pPr>
        <w:pStyle w:val="Heading1"/>
      </w:pPr>
      <w:r>
        <w:rPr>
          <w:color w:val="990011"/>
        </w:rPr>
        <w:t xml:space="preserve">Article 13 — Responsabilités</w:t>
      </w:r>
    </w:p>
    <w:p>
      <w:pPr>
        <w:spacing w:after="140"/>
      </w:pPr>
      <w:r>
        <w:t xml:space="preserve">HemoLink n'est pas un service médical d'urgence. La Plateforme facilite la mise en relation entre donneurs et hôpitaux, mais l'évaluation médicale finale, l'acte transfusionnel et tous les actes médicaux relèvent de la responsabilité exclusive des établissements de santé et du CNTS.</w:t>
      </w:r>
    </w:p>
    <w:p>
      <w:pPr>
        <w:spacing w:after="140"/>
      </w:pPr>
      <w:r>
        <w:t xml:space="preserve">Le don de sang sur la Plateforme est strictement volontaire et bénévole. Aucune rémunération n'est versée au Donneur.</w:t>
      </w:r>
    </w:p>
    <w:p>
      <w:pPr>
        <w:pStyle w:val="Heading1"/>
      </w:pPr>
      <w:r>
        <w:rPr>
          <w:color w:val="990011"/>
        </w:rPr>
        <w:t xml:space="preserve">Article 14 — Modifications des CGU</w:t>
      </w:r>
    </w:p>
    <w:p>
      <w:pPr>
        <w:spacing w:after="140"/>
      </w:pPr>
      <w:r>
        <w:t xml:space="preserve">HemoLink se réserve le droit de modifier les présentes CGU. En cas de modification substantielle, les utilisateurs sont notifiés par email et invités à accepter les nouvelles conditions lors de leur prochaine connexion. Le refus d'accepter les nouvelles CGU entraîne la possibilité de désactiver ou supprimer son compte conformément à l'article 5.</w:t>
      </w:r>
    </w:p>
    <w:p>
      <w:pPr>
        <w:pStyle w:val="Heading1"/>
      </w:pPr>
      <w:r>
        <w:rPr>
          <w:color w:val="990011"/>
        </w:rPr>
        <w:t xml:space="preserve">Article 15 — Droit applicable et juridiction</w:t>
      </w:r>
    </w:p>
    <w:p>
      <w:pPr>
        <w:spacing w:after="140"/>
      </w:pPr>
      <w:r>
        <w:t xml:space="preserve">Les présentes CGU sont soumises au droit sénégalais. Tout litige relatif à leur interprétation ou à leur exécution relève de la compétence exclusive des tribunaux de Dakar, après tentative préalable de résolution amiable.</w:t>
      </w:r>
    </w:p>
    <w:p>
      <w:r>
        <w:br w:type="page"/>
      </w:r>
    </w:p>
    <w:p>
      <w:pPr>
        <w:pStyle w:val="Heading1"/>
      </w:pPr>
      <w:r>
        <w:rPr>
          <w:color w:val="990011"/>
        </w:rPr>
        <w:t xml:space="preserve">Acceptation des Conditions Générales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761" w:sz="4"/>
              <w:left w:val="single" w:color="1E2761" w:sz="18"/>
              <w:bottom w:val="single" w:color="1E2761" w:sz="4"/>
              <w:right w:val="single" w:color="1E2761" w:sz="4"/>
            </w:tcBorders>
            <w:shd w:fill="F5F5F5" w:val="clear"/>
            <w:tcMar>
              <w:top w:type="dxa" w:w="160"/>
              <w:left w:type="dxa" w:w="220"/>
              <w:bottom w:type="dxa" w:w="160"/>
              <w:right w:type="dxa" w:w="160"/>
            </w:tcMar>
          </w:tcPr>
          <w:p>
            <w:pPr>
              <w:spacing w:after="100"/>
            </w:pPr>
            <w:r>
              <w:rPr>
                <w:b/>
                <w:bCs/>
                <w:color w:val="1E2761"/>
                <w:sz w:val="22"/>
                <w:szCs w:val="22"/>
              </w:rPr>
              <w:t xml:space="preserve">Lors de votre inscription en ligne</w:t>
            </w:r>
          </w:p>
          <w:p>
            <w:pPr>
              <w:spacing w:after="100"/>
            </w:pPr>
            <w:r>
              <w:rPr>
                <w:color w:val="4A4A4A"/>
                <w:sz w:val="20"/>
                <w:szCs w:val="20"/>
              </w:rPr>
              <w:t xml:space="preserve">Vous devez cocher la case « J'ai lu et j'accepte les Conditions Générales d'Utilisation et la Politique de Confidentialité ». Sans cette acceptation, l'inscription ne peut être finalisée.</w:t>
            </w:r>
          </w:p>
          <w:p>
            <w:r>
              <w:rPr>
                <w:i/>
                <w:iCs/>
                <w:color w:val="4A4A4A"/>
                <w:sz w:val="20"/>
                <w:szCs w:val="20"/>
              </w:rPr>
              <w:t xml:space="preserve">La case est par défaut DÉCOCHÉE, conformément aux exigences de la Loi 2008-12 et du RGPD (consentement libre, spécifique, éclairé, univoque).</w:t>
            </w:r>
          </w:p>
        </w:tc>
      </w:tr>
    </w:tbl>
    <w:p>
      <w:pPr>
        <w:spacing w:after="140"/>
      </w:pPr>
      <w:r>
        <w:t xml:space="preserve"/>
      </w:r>
    </w:p>
    <w:p>
      <w:pPr>
        <w:spacing w:after="140"/>
      </w:pPr>
      <w:r>
        <w:t xml:space="preserve"/>
      </w:r>
    </w:p>
    <w:p>
      <w:pPr>
        <w:spacing w:after="140"/>
      </w:pPr>
      <w:r>
        <w:t xml:space="preserve">Fait à Dakar.</w:t>
      </w:r>
    </w:p>
    <w:p>
      <w:pPr>
        <w:spacing w:after="140"/>
      </w:pPr>
      <w:r>
        <w:t xml:space="preserve"/>
      </w:r>
    </w:p>
    <w:p>
      <w:pPr>
        <w:spacing w:after="140"/>
      </w:pPr>
      <w:r>
        <w:t xml:space="preserve">Document signé électroniquement lors de l'inscription en ligne.</w:t>
      </w:r>
    </w:p>
    <w:p>
      <w:pPr>
        <w:spacing w:after="140"/>
      </w:pPr>
      <w:r>
        <w:t xml:space="preserve"/>
      </w:r>
    </w:p>
    <w:p>
      <w:pPr>
        <w:spacing w:after="140"/>
      </w:pPr>
      <w:r>
        <w:rPr>
          <w:b/>
          <w:bCs/>
        </w:rPr>
        <w:t xml:space="preserve">Pour HemoLink : </w:t>
      </w:r>
      <w:r>
        <w:t xml:space="preserve">Équipe de développement, projet PPP DIC1/DGI/ESP/UCAD.</w:t>
      </w:r>
    </w:p>
    <w:p>
      <w:pPr>
        <w:spacing w:after="140"/>
      </w:pPr>
      <w:r>
        <w:rPr>
          <w:b/>
          <w:bCs/>
        </w:rPr>
        <w:t xml:space="preserve">Contact DPO : </w:t>
      </w:r>
      <w:r>
        <w:rPr>
          <w:color w:val="990011"/>
        </w:rPr>
        <w:t xml:space="preserve">dpo@hemolink.sn</w:t>
      </w:r>
    </w:p>
    <w:p>
      <w:pPr>
        <w:spacing w:after="140"/>
      </w:pPr>
      <w:r>
        <w:rPr>
          <w:b/>
          <w:bCs/>
        </w:rPr>
        <w:t xml:space="preserve">Contact général : </w:t>
      </w:r>
      <w:r>
        <w:rPr>
          <w:color w:val="990011"/>
        </w:rPr>
        <w:t xml:space="preserve">contact@hemolink.sn</w:t>
      </w:r>
    </w:p>
    <w:p>
      <w:pPr>
        <w:spacing w:after="140"/>
      </w:pPr>
      <w:r>
        <w:rPr>
          <w:b/>
          <w:bCs/>
        </w:rPr>
        <w:t xml:space="preserve">Version : </w:t>
      </w:r>
      <w:r>
        <w:t xml:space="preserve">1.0 — 19 mai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Calibri" w:cs="Calibri" w:eastAsia="Calibri" w:hAnsi="Calibri"/>
      <w:b/>
      <w:bCs/>
      <w:color w:val="990011"/>
      <w:sz w:val="36"/>
      <w:szCs w:val="36"/>
    </w:rPr>
  </w:style>
  <w:style w:type="paragraph" w:styleId="Heading2">
    <w:name w:val="Heading 2"/>
    <w:basedOn w:val="Normal"/>
    <w:next w:val="Normal"/>
    <w:qFormat/>
    <w:pPr>
      <w:spacing w:after="180" w:before="280"/>
      <w:outlineLvl w:val="1"/>
    </w:pPr>
    <w:rPr>
      <w:rFonts w:ascii="Calibri" w:cs="Calibri" w:eastAsia="Calibri" w:hAnsi="Calibri"/>
      <w:b/>
      <w:bCs/>
      <w:color w:val="1E276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2026-05-19T08:10:44.747Z</dcterms:created>
  <dcterms:modified xsi:type="dcterms:W3CDTF">2026-05-19T08:10:44.750Z</dcterms:modified>
</cp:coreProperties>
</file>

<file path=docProps/custom.xml><?xml version="1.0" encoding="utf-8"?>
<Properties xmlns="http://schemas.openxmlformats.org/officeDocument/2006/custom-properties" xmlns:vt="http://schemas.openxmlformats.org/officeDocument/2006/docPropsVTypes"/>
</file>