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CF44E">
      <w:pPr>
        <w:keepLines w:val="0"/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09688"/>
          <w:sz w:val="20"/>
        </w:rPr>
        <w:t>PRODUCT REQUIREMENTS &amp; DETAILED DESIGN</w:t>
      </w:r>
    </w:p>
    <w:p w14:paraId="23045EA5">
      <w:pPr>
        <w:keepLines w:val="0"/>
        <w:spacing w:before="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B2545"/>
          <w:sz w:val="48"/>
        </w:rPr>
        <w:t>统一权限与工单中心功能需求说明书</w:t>
      </w:r>
    </w:p>
    <w:p w14:paraId="465DBB6D">
      <w:pPr>
        <w:keepLines w:val="0"/>
        <w:spacing w:before="0" w:after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4D78"/>
          <w:sz w:val="27"/>
        </w:rPr>
        <w:t>城市生命线 SaaS 场景 · 详细设计版本</w:t>
      </w:r>
    </w:p>
    <w:p w14:paraId="0BFA6C77">
      <w:pPr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11827"/>
          <w:sz w:val="21"/>
        </w:rPr>
        <w:t>版本：</w:t>
      </w:r>
      <w:r>
        <w:rPr>
          <w:rFonts w:hint="eastAsia" w:ascii="宋体" w:hAnsi="宋体" w:eastAsia="宋体" w:cs="宋体"/>
          <w:b w:val="0"/>
          <w:color w:val="111827"/>
          <w:sz w:val="21"/>
        </w:rPr>
        <w:t>V1.0</w:t>
      </w:r>
    </w:p>
    <w:p w14:paraId="5EDE8D94">
      <w:pPr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11827"/>
          <w:sz w:val="21"/>
        </w:rPr>
        <w:t>日期：</w:t>
      </w:r>
      <w:r>
        <w:rPr>
          <w:rFonts w:hint="eastAsia" w:ascii="宋体" w:hAnsi="宋体" w:eastAsia="宋体" w:cs="宋体"/>
          <w:b w:val="0"/>
          <w:color w:val="111827"/>
          <w:sz w:val="21"/>
        </w:rPr>
        <w:t>2026-08-14</w:t>
      </w:r>
    </w:p>
    <w:p w14:paraId="12C936AB">
      <w:pPr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11827"/>
          <w:sz w:val="21"/>
        </w:rPr>
        <w:t>系统基线：</w:t>
      </w:r>
      <w:r>
        <w:rPr>
          <w:rFonts w:hint="eastAsia" w:ascii="宋体" w:hAnsi="宋体" w:eastAsia="宋体" w:cs="宋体"/>
          <w:b w:val="0"/>
          <w:color w:val="111827"/>
          <w:sz w:val="21"/>
        </w:rPr>
        <w:t>当前本地运行版本（I23 后续界面优化已合入工作区）</w:t>
      </w:r>
    </w:p>
    <w:p w14:paraId="2BA1FB75">
      <w:pPr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11827"/>
          <w:sz w:val="21"/>
        </w:rPr>
        <w:t>适用范围：</w:t>
      </w:r>
      <w:r>
        <w:rPr>
          <w:rFonts w:hint="eastAsia" w:ascii="宋体" w:hAnsi="宋体" w:eastAsia="宋体" w:cs="宋体"/>
          <w:b w:val="0"/>
          <w:color w:val="111827"/>
          <w:sz w:val="21"/>
        </w:rPr>
        <w:t>三城市租户、城市生命线业务系统、项目与工单中心</w:t>
      </w:r>
    </w:p>
    <w:p w14:paraId="2B90DAD0">
      <w:pPr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11827"/>
          <w:sz w:val="21"/>
        </w:rPr>
        <w:t>文档状态：</w:t>
      </w:r>
      <w:r>
        <w:rPr>
          <w:rFonts w:hint="eastAsia" w:ascii="宋体" w:hAnsi="宋体" w:eastAsia="宋体" w:cs="宋体"/>
          <w:b w:val="0"/>
          <w:color w:val="111827"/>
          <w:sz w:val="21"/>
        </w:rPr>
        <w:t>详细设计 / 评审基线</w:t>
      </w:r>
    </w:p>
    <w:p w14:paraId="6D92F5F7">
      <w:pPr>
        <w:pBdr>
          <w:bottom w:val="single" w:color="009688" w:sz="14" w:space="6"/>
        </w:pBdr>
        <w:spacing w:after="320"/>
        <w:rPr>
          <w:rFonts w:hint="eastAsia" w:ascii="宋体" w:hAnsi="宋体" w:eastAsia="宋体" w:cs="宋体"/>
        </w:rPr>
      </w:pPr>
    </w:p>
    <w:p w14:paraId="1288C2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7150B3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文档目标</w:t>
      </w:r>
    </w:p>
    <w:p w14:paraId="5A992F0F">
      <w:pPr>
        <w:keepLines w:val="0"/>
        <w:spacing w:befor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</w:rPr>
        <w:t>本文档把当前已完成能力、现有实现边界和必须补齐的产品化要求整合为同一套详细设计基线。系统面向城市生命线 SaaS 场景：租户按城市划分，租户下包含供水、排水、燃气、供热、道路等业务系统；工程项目作为系统内数据权限载体；组织表达真实甲方、监管、监理、施工和软件平台实体。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1271558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643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标记</w:t>
            </w:r>
          </w:p>
        </w:tc>
        <w:tc>
          <w:tcPr>
            <w:tcW w:w="7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701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含义</w:t>
            </w:r>
          </w:p>
        </w:tc>
      </w:tr>
      <w:tr w14:paraId="5DA6870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F0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已实现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8D2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当前代码和页面已具备，可按操作手册演示</w:t>
            </w:r>
          </w:p>
        </w:tc>
      </w:tr>
      <w:tr w14:paraId="4BF287D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47F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部分实现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01F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主链路存在，但存在治理、安全或一致性缺口</w:t>
            </w:r>
          </w:p>
        </w:tc>
      </w:tr>
      <w:tr w14:paraId="0988B11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8D7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待实现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6E1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形成可用业务产品或生产部署前必须补齐</w:t>
            </w:r>
          </w:p>
        </w:tc>
      </w:tr>
    </w:tbl>
    <w:p w14:paraId="6DB73D2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业务范围与角色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2300"/>
        <w:gridCol w:w="5210"/>
      </w:tblGrid>
      <w:tr w14:paraId="342EFCE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647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参与方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1CF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代表角色</w:t>
            </w:r>
          </w:p>
        </w:tc>
        <w:tc>
          <w:tcPr>
            <w:tcW w:w="5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7B1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核心诉求</w:t>
            </w:r>
          </w:p>
        </w:tc>
      </w:tr>
      <w:tr w14:paraId="009FE3B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0B7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平台方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9E1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平台 root、平台运维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0D6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选择城市租户、支持与运维；不得默认读取租户业务数据</w:t>
            </w:r>
          </w:p>
        </w:tc>
      </w:tr>
      <w:tr w14:paraId="4858B77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BBB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总体甲方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211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租户管理员、甲方领导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B74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查看全部业务系统与工程项目进度，管理本城市权限</w:t>
            </w:r>
          </w:p>
        </w:tc>
      </w:tr>
      <w:tr w14:paraId="74F3174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3C1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业务甲方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1FD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供水/排水/燃气/供热负责人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E82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查看一个或多个业务方向及其系统、项目和工单</w:t>
            </w:r>
          </w:p>
        </w:tc>
      </w:tr>
      <w:tr w14:paraId="73C6D84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BB9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监管方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F1A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监管复核人员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FDE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按监管组织和项目范围查看、复核与催办</w:t>
            </w:r>
          </w:p>
        </w:tc>
      </w:tr>
      <w:tr w14:paraId="1435E52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AA9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监理方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00D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监理工程师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0F1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查看被授权项目、检查过程和复核结果</w:t>
            </w:r>
          </w:p>
        </w:tc>
      </w:tr>
      <w:tr w14:paraId="047CF63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8B5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施工方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EF5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项目经理、现场人员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7E2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接收任务、认领、处理、转派、提交结果</w:t>
            </w:r>
          </w:p>
        </w:tc>
      </w:tr>
      <w:tr w14:paraId="13361FC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D15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软件供应商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AC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交付工程师、平台运维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03D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系统交付与运维，按授权进入项目和工单</w:t>
            </w:r>
          </w:p>
        </w:tc>
      </w:tr>
    </w:tbl>
    <w:p w14:paraId="2572402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总体权限模型</w:t>
      </w:r>
    </w:p>
    <w:p w14:paraId="23728F02">
      <w:pPr>
        <w:keepNext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06440" cy="2985770"/>
            <wp:effectExtent l="0" t="0" r="1016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8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97A8">
      <w:pPr>
        <w:keepLines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color w:val="667085"/>
          <w:sz w:val="18"/>
        </w:rPr>
        <w:t>图 1  权限判定必须同时通过租户、系统、项目、组织角色与数据范围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4C91C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5A13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9688"/>
                <w:sz w:val="21"/>
              </w:rPr>
              <w:t>授权公式</w:t>
            </w:r>
          </w:p>
          <w:p w14:paraId="2A9068B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21"/>
              </w:rPr>
              <w:t>Allow = 有效身份 ∩ 当前租户 ∩ 系统入口授权 ∩ 项目成员/参与方授权 ∩ 组织成员关系 ∩ 角色操作权限 ∩ 数据范围覆盖目标资源。任一条件不成立即拒绝。</w:t>
            </w:r>
          </w:p>
        </w:tc>
      </w:tr>
    </w:tbl>
    <w:p w14:paraId="4CB4B263">
      <w:pPr>
        <w:spacing w:after="20"/>
        <w:rPr>
          <w:rFonts w:hint="eastAsia" w:ascii="宋体" w:hAnsi="宋体" w:eastAsia="宋体" w:cs="宋体"/>
        </w:rPr>
      </w:pPr>
    </w:p>
    <w:p w14:paraId="5C506E2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核心设计原则</w:t>
      </w:r>
    </w:p>
    <w:p w14:paraId="7ABC5C7B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9688"/>
          <w:sz w:val="22"/>
        </w:rPr>
        <w:t xml:space="preserve">• </w:t>
      </w:r>
      <w:r>
        <w:rPr>
          <w:rFonts w:hint="eastAsia" w:ascii="宋体" w:hAnsi="宋体" w:eastAsia="宋体" w:cs="宋体"/>
          <w:b w:val="0"/>
          <w:color w:val="111827"/>
          <w:sz w:val="22"/>
        </w:rPr>
        <w:t>租户是最高业务隔离边界；城市之间的数据、用户、组织、角色配置和审计必须隔离。</w:t>
      </w:r>
    </w:p>
    <w:p w14:paraId="508D4369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9688"/>
          <w:sz w:val="22"/>
        </w:rPr>
        <w:t xml:space="preserve">• </w:t>
      </w:r>
      <w:r>
        <w:rPr>
          <w:rFonts w:hint="eastAsia" w:ascii="宋体" w:hAnsi="宋体" w:eastAsia="宋体" w:cs="宋体"/>
          <w:b w:val="0"/>
          <w:color w:val="111827"/>
          <w:sz w:val="22"/>
        </w:rPr>
        <w:t>组织只表达真实实体关系，不用项目伪装组织；一个用户允许属于多个组织。</w:t>
      </w:r>
    </w:p>
    <w:p w14:paraId="381D6331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9688"/>
          <w:sz w:val="22"/>
        </w:rPr>
        <w:t xml:space="preserve">• </w:t>
      </w:r>
      <w:r>
        <w:rPr>
          <w:rFonts w:hint="eastAsia" w:ascii="宋体" w:hAnsi="宋体" w:eastAsia="宋体" w:cs="宋体"/>
          <w:b w:val="0"/>
          <w:color w:val="111827"/>
          <w:sz w:val="22"/>
        </w:rPr>
        <w:t>系统入口授权决定能否进入供水、排水、燃气等业务；同一业务方向允许多个独立系统。</w:t>
      </w:r>
    </w:p>
    <w:p w14:paraId="19053594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9688"/>
          <w:sz w:val="22"/>
        </w:rPr>
        <w:t xml:space="preserve">• </w:t>
      </w:r>
      <w:r>
        <w:rPr>
          <w:rFonts w:hint="eastAsia" w:ascii="宋体" w:hAnsi="宋体" w:eastAsia="宋体" w:cs="宋体"/>
          <w:b w:val="0"/>
          <w:color w:val="111827"/>
          <w:sz w:val="22"/>
        </w:rPr>
        <w:t>项目是系统内数据权限载体，关联甲方、监管、监理、施工和软件供应商参与方。</w:t>
      </w:r>
    </w:p>
    <w:p w14:paraId="19E5E7ED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9688"/>
          <w:sz w:val="22"/>
        </w:rPr>
        <w:t xml:space="preserve">• </w:t>
      </w:r>
      <w:r>
        <w:rPr>
          <w:rFonts w:hint="eastAsia" w:ascii="宋体" w:hAnsi="宋体" w:eastAsia="宋体" w:cs="宋体"/>
          <w:b w:val="0"/>
          <w:color w:val="111827"/>
          <w:sz w:val="22"/>
        </w:rPr>
        <w:t>角色绑定在用户—组织成员关系上；岗位表达任职，不自动授予权限。</w:t>
      </w:r>
    </w:p>
    <w:p w14:paraId="734E1771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9688"/>
          <w:sz w:val="22"/>
        </w:rPr>
        <w:t xml:space="preserve">• </w:t>
      </w:r>
      <w:r>
        <w:rPr>
          <w:rFonts w:hint="eastAsia" w:ascii="宋体" w:hAnsi="宋体" w:eastAsia="宋体" w:cs="宋体"/>
          <w:b w:val="0"/>
          <w:color w:val="111827"/>
          <w:sz w:val="22"/>
        </w:rPr>
        <w:t>授权必须由服务端执行；导航、按钮和页面隐藏只用于改善体验。</w:t>
      </w:r>
    </w:p>
    <w:p w14:paraId="10FAA077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9688"/>
          <w:sz w:val="22"/>
        </w:rPr>
        <w:t xml:space="preserve">• </w:t>
      </w:r>
      <w:r>
        <w:rPr>
          <w:rFonts w:hint="eastAsia" w:ascii="宋体" w:hAnsi="宋体" w:eastAsia="宋体" w:cs="宋体"/>
          <w:b w:val="0"/>
          <w:color w:val="111827"/>
          <w:sz w:val="22"/>
        </w:rPr>
        <w:t>拒绝优先、最小权限、可追溯；所有高风险授权变更需审计。</w:t>
      </w:r>
    </w:p>
    <w:p w14:paraId="627CE9B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信息模型详细设计</w:t>
      </w:r>
    </w:p>
    <w:p w14:paraId="3697DB84">
      <w:pPr>
        <w:keepNext/>
        <w:spacing w:before="80" w:after="4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942330" cy="3323590"/>
            <wp:effectExtent l="0" t="0" r="1270" b="3810"/>
            <wp:docPr id="4" name="图片 4" descr="ChatGPT Image 2026年8月14日 15_31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8月14日 15_31_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9120">
      <w:pPr>
        <w:keepLines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color w:val="667085"/>
          <w:sz w:val="18"/>
        </w:rPr>
        <w:t>图 2  租户、系统、项目、组织、用户、角色、岗位与工单实体关系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500"/>
        <w:gridCol w:w="3860"/>
        <w:gridCol w:w="1450"/>
      </w:tblGrid>
      <w:tr w14:paraId="6D43F5B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5D5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实体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D28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关键字段/唯一性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5D5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关系与规则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3D8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状态</w:t>
            </w:r>
          </w:p>
        </w:tc>
      </w:tr>
      <w:tr w14:paraId="00FABEB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72C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Tenant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272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tenant_code 全局唯一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54C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一个城市一个租户；承载租户级 IAM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E97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2F91DAF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460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Application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E5D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application_code 全局唯一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A6A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租户通过 TenantApplication 订阅系统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853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43F8EF6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CFA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Project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F43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tenant_id + project_code 唯一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84B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必须属于一个系统；承载项目参与方、成员、里程碑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9DA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479D484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C23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Organization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880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tenant_id + org_code 唯一；parent_id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A35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实体组织树；路径、排序、启停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DFE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61FD0B2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773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User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B1A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login_name 全局唯一；username 租户内唯一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54C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可属于多个组织，可授权多个系统和项目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ECB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7D41F88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38E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Membership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366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tenant + user + org 唯一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D9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承载组织内角色与岗位绑定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00E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45ADE8D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41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Role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8D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tenant + role_code 唯一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11C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权限集合；权限级数据范围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304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65E1AA4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9C7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Permission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B22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permission_code 全局唯一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3FB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当前为全局字典；目标应支持平台模板 + 租户扩展隔离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CB1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部分实现</w:t>
            </w:r>
          </w:p>
        </w:tc>
      </w:tr>
      <w:tr w14:paraId="7F7B820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11F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WorkflowDefinition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6FE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code + version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925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当前全局；目标增加 tenant/application、发布状态和生效时间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114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部分实现</w:t>
            </w:r>
          </w:p>
        </w:tc>
      </w:tr>
      <w:tr w14:paraId="338EC2D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C54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WorkOrder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9B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tenant/application/project + work_order_no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64C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记录归属组织、当前组织、处理人、SLA 和状态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0F5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</w:tbl>
    <w:p w14:paraId="6794936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功能需求</w:t>
      </w:r>
    </w:p>
    <w:p w14:paraId="1C518CD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统一认证与入口路由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000"/>
        <w:gridCol w:w="3860"/>
        <w:gridCol w:w="1400"/>
      </w:tblGrid>
      <w:tr w14:paraId="1D9F3CA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23C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编号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DE1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需求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907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验收标准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B0A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状态</w:t>
            </w:r>
          </w:p>
        </w:tc>
      </w:tr>
      <w:tr w14:paraId="21F8399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0AB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AUTH-01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346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统一登录只输入用户名、密码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47D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不输入租户 code；全局登录名定位身份和租户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940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52333DF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97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AUTH-02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FEA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平台 root 选择城市租户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1E6B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进入前记录原因、租户同意/授权和审计链；可随时退出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2F0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部分实现</w:t>
            </w:r>
          </w:p>
        </w:tc>
      </w:tr>
      <w:tr w14:paraId="77F5964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B02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AUTH-03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FB7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按身份默认路由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ED4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租户管理员进应用导航；业务管理员进对应 GIS；工程人员进工单中心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EB5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0D3709A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9E5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AUTH-04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E2A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会话安全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D98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CSRF、Secure Cookie、限流/锁定、MFA/SSO、设备和会话管理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F09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待实现</w:t>
            </w:r>
          </w:p>
        </w:tc>
      </w:tr>
    </w:tbl>
    <w:p w14:paraId="367026A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组织、用户、角色、岗位和权限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850"/>
        <w:gridCol w:w="4010"/>
        <w:gridCol w:w="1400"/>
      </w:tblGrid>
      <w:tr w14:paraId="5A7A0B4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460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编号</w:t>
            </w:r>
          </w:p>
        </w:tc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3F3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需求</w:t>
            </w:r>
          </w:p>
        </w:tc>
        <w:tc>
          <w:tcPr>
            <w:tcW w:w="4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596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关键规则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80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状态</w:t>
            </w:r>
          </w:p>
        </w:tc>
      </w:tr>
      <w:tr w14:paraId="102B07B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692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IAM-01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CEE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组织树 + 组织明细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CCA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左树右表；只返回可见节点和必要祖先；CRUD 受权限与租户约束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314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60F4459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22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IAM-02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825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用户列表与详情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601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列表展示组织/角色/岗位摘要；详情卡片维护启停、重置密码、成员关系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1E6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348A7CF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DE6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IAM-03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F85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用户多组织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1E2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一个用户可加入多个组织；每条成员关系独立挂角色和岗位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BB0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3D8DA6F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92F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IAM-04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B0E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角色权限集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8B3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角色 CRUD、授予/撤销权限、权限级数据范围、内置角色保护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230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76F8D47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734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IAM-05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908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数据范围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90E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ALL / ORG / ORG_AND_CHILD / SELF / CUSTOM；CUSTOM 只允许本租户有效组织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570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3404B02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4ED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IAM-06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6C5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岗位管理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AED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岗位 CRUD；岗位只表达人事语义，不直接转化为权限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1D8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6EB663C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BFD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IAM-07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04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权限字典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87B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平台模板与租户自定义必须隔离；租户管理员不得修改其他租户自定义权限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C7B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部分实现</w:t>
            </w:r>
          </w:p>
        </w:tc>
      </w:tr>
      <w:tr w14:paraId="2D91A4A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D23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IAM-08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5B6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授权治理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3BE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申请审批、有效期、自动回收、职责分离、紧急授权和定期复核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7CF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待实现</w:t>
            </w:r>
          </w:p>
        </w:tc>
      </w:tr>
      <w:tr w14:paraId="56FE951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0BC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IAM-09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E5A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细粒度权限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FEF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字段、导出、附件下载、GIS 图层/空间范围、敏感信息遮蔽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E57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待实现</w:t>
            </w:r>
          </w:p>
        </w:tc>
      </w:tr>
    </w:tbl>
    <w:p w14:paraId="4996A1C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系统与项目授权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600"/>
        <w:gridCol w:w="4260"/>
        <w:gridCol w:w="1400"/>
      </w:tblGrid>
      <w:tr w14:paraId="2C03644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F1A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编号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E9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需求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1E5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关键规则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475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状态</w:t>
            </w:r>
          </w:p>
        </w:tc>
      </w:tr>
      <w:tr w14:paraId="05B5ED7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874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PRJ-01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D46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租户订阅业务系统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0BB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按城市开通供水、排水、燃气、供热、道路；同一业务可有多个系统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C38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265F183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C84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PRJ-02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28E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用户系统入口授权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AD8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无授权不得进入系统驾驶舱；越权 URL 返回拒绝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2B4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041389B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5C9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PRJ-03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74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项目参与组织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EA7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一个项目关联甲方、监管、监理、施工和软件供应商及主责方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33A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2E3017F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E62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PRJ-04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326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项目成员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E8D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用户按组织和项目角色加入；同一用户可加入多个项目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2D7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6311CB2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CC9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PRJ-05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68C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项目进度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9BD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里程碑权重、实际进度、按权限汇总；总体甲方可跨业务汇总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DC5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35704F9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EA8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PRJ-06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799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授权解释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D5E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给出允许/拒绝原因链，便于排查系统、项目、组织和角色边界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9CB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已实现/需扩展</w:t>
            </w:r>
          </w:p>
        </w:tc>
      </w:tr>
    </w:tbl>
    <w:p w14:paraId="6ADCDDC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 工单中心与流程</w:t>
      </w:r>
    </w:p>
    <w:p w14:paraId="13FDD5D9">
      <w:pPr>
        <w:keepNext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06440" cy="177546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7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329B">
      <w:pPr>
        <w:keepLines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color w:val="667085"/>
          <w:sz w:val="18"/>
        </w:rPr>
        <w:t>图 3  工单状态机：主链路与复核驳回回路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400"/>
        <w:gridCol w:w="4460"/>
        <w:gridCol w:w="1400"/>
      </w:tblGrid>
      <w:tr w14:paraId="5425ABB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49D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编号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F40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需求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236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业务规则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892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状态</w:t>
            </w:r>
          </w:p>
        </w:tc>
      </w:tr>
      <w:tr w14:paraId="19D82A0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C7F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CFA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建单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CD6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校验 create 权限与项目访问；生成编号、SLA 时限和 CREATE 动作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971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4BA163C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75A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5A5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提交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E46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仅创建者提交草稿；生成流程实例和调度任务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997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365F8EF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951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B27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派单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9F7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具备 dispatch 权限；目标组织必须属于项目；生成候选处理任务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CFA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4759B61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47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50F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认领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DA7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候选人首人成功；第二人冲突；认领时记录响应时间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4F2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6C78D69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857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4AB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处理/转派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C9E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处理结果必填；只转派给当前组织允许人员；保留动作记录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FC9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5BE6187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663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B7A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复核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679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APPROVE → COMPLETED；REJECT → PROCESSING 并回原处理人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147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11B7A42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62C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293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关闭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F4D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仅完成态可关闭；关闭后主流程不可逆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5B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10DCFF4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5FD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EAF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协作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3E0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评论、催办、附件、通知、已保存视图、批量操作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390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已实现</w:t>
            </w:r>
          </w:p>
        </w:tc>
      </w:tr>
      <w:tr w14:paraId="2BBC427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F4B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WO-09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B99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候选任务访问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0D8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候选人在认领前必须可查看必要工单详情，但不得获得处理人专属操作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A0F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部分实现</w:t>
            </w:r>
          </w:p>
        </w:tc>
      </w:tr>
      <w:tr w14:paraId="0DCDE41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BFD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WO-10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B33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并发与幂等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81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状态版本、If-Match/乐观锁、请求幂等键、动作去重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061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待实现</w:t>
            </w:r>
          </w:p>
        </w:tc>
      </w:tr>
    </w:tbl>
    <w:p w14:paraId="4F8F60A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服务端授权决策顺序</w:t>
      </w:r>
    </w:p>
    <w:p w14:paraId="07CADB6B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  <w:sz w:val="22"/>
        </w:rPr>
        <w:t xml:space="preserve">1. </w:t>
      </w:r>
      <w:r>
        <w:rPr>
          <w:rFonts w:hint="eastAsia" w:ascii="宋体" w:hAnsi="宋体" w:eastAsia="宋体" w:cs="宋体"/>
          <w:b w:val="0"/>
          <w:color w:val="111827"/>
          <w:sz w:val="22"/>
        </w:rPr>
        <w:t>解析会话：确认用户启用、会话未过期、未撤销，并取得 tenant_id。</w:t>
      </w:r>
    </w:p>
    <w:p w14:paraId="15E42DB6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  <w:sz w:val="22"/>
        </w:rPr>
        <w:t xml:space="preserve">2. </w:t>
      </w:r>
      <w:r>
        <w:rPr>
          <w:rFonts w:hint="eastAsia" w:ascii="宋体" w:hAnsi="宋体" w:eastAsia="宋体" w:cs="宋体"/>
          <w:b w:val="0"/>
          <w:color w:val="111827"/>
          <w:sz w:val="22"/>
        </w:rPr>
        <w:t>验证资源租户：目标实体 tenant_id 必须等于会话 tenant_id；平台 root 进入租户需独立支持会话与审计。</w:t>
      </w:r>
    </w:p>
    <w:p w14:paraId="643B06DB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  <w:sz w:val="22"/>
        </w:rPr>
        <w:t xml:space="preserve">3. </w:t>
      </w:r>
      <w:r>
        <w:rPr>
          <w:rFonts w:hint="eastAsia" w:ascii="宋体" w:hAnsi="宋体" w:eastAsia="宋体" w:cs="宋体"/>
          <w:b w:val="0"/>
          <w:color w:val="111827"/>
          <w:sz w:val="22"/>
        </w:rPr>
        <w:t>验证系统上下文：active_application_id 必须已订阅且用户具有入口授权。</w:t>
      </w:r>
    </w:p>
    <w:p w14:paraId="0993F91B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  <w:sz w:val="22"/>
        </w:rPr>
        <w:t xml:space="preserve">4. </w:t>
      </w:r>
      <w:r>
        <w:rPr>
          <w:rFonts w:hint="eastAsia" w:ascii="宋体" w:hAnsi="宋体" w:eastAsia="宋体" w:cs="宋体"/>
          <w:b w:val="0"/>
          <w:color w:val="111827"/>
          <w:sz w:val="22"/>
        </w:rPr>
        <w:t>验证项目上下文：active_project_id 必须属于当前租户和系统，用户必须是项目成员或满足全局项目查看授权。</w:t>
      </w:r>
    </w:p>
    <w:p w14:paraId="3EDC10A4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  <w:sz w:val="22"/>
        </w:rPr>
        <w:t xml:space="preserve">5. </w:t>
      </w:r>
      <w:r>
        <w:rPr>
          <w:rFonts w:hint="eastAsia" w:ascii="宋体" w:hAnsi="宋体" w:eastAsia="宋体" w:cs="宋体"/>
          <w:b w:val="0"/>
          <w:color w:val="111827"/>
          <w:sz w:val="22"/>
        </w:rPr>
        <w:t>验证组织上下文：active_org_id 必须来自用户有效成员关系；禁止客户端任意伪造。</w:t>
      </w:r>
    </w:p>
    <w:p w14:paraId="2458CFF0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  <w:sz w:val="22"/>
        </w:rPr>
        <w:t xml:space="preserve">6. </w:t>
      </w:r>
      <w:r>
        <w:rPr>
          <w:rFonts w:hint="eastAsia" w:ascii="宋体" w:hAnsi="宋体" w:eastAsia="宋体" w:cs="宋体"/>
          <w:b w:val="0"/>
          <w:color w:val="111827"/>
          <w:sz w:val="22"/>
        </w:rPr>
        <w:t>聚合组织角色：在当前组织成员关系下解析角色权限；内置拒绝规则和停用状态优先。</w:t>
      </w:r>
    </w:p>
    <w:p w14:paraId="1F5D64E8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  <w:sz w:val="22"/>
        </w:rPr>
        <w:t xml:space="preserve">7. </w:t>
      </w:r>
      <w:r>
        <w:rPr>
          <w:rFonts w:hint="eastAsia" w:ascii="宋体" w:hAnsi="宋体" w:eastAsia="宋体" w:cs="宋体"/>
          <w:b w:val="0"/>
          <w:color w:val="111827"/>
          <w:sz w:val="22"/>
        </w:rPr>
        <w:t>计算数据范围：按资源归属组织、创建者、处理人或 CUSTOM 组织集判断是否覆盖。</w:t>
      </w:r>
    </w:p>
    <w:p w14:paraId="59895A9C">
      <w:pPr>
        <w:spacing w:after="160" w:line="28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  <w:sz w:val="22"/>
        </w:rPr>
        <w:t xml:space="preserve">8. </w:t>
      </w:r>
      <w:r>
        <w:rPr>
          <w:rFonts w:hint="eastAsia" w:ascii="宋体" w:hAnsi="宋体" w:eastAsia="宋体" w:cs="宋体"/>
          <w:b w:val="0"/>
          <w:color w:val="111827"/>
          <w:sz w:val="22"/>
        </w:rPr>
        <w:t>写审计：对高风险读取、授权变更和流程动作记录操作者、上下文、对象和差异。</w:t>
      </w:r>
    </w:p>
    <w:p w14:paraId="5A1EDD5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界面详细要求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80"/>
        <w:gridCol w:w="3180"/>
      </w:tblGrid>
      <w:tr w14:paraId="496E031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E81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页面</w:t>
            </w:r>
          </w:p>
        </w:tc>
        <w:tc>
          <w:tcPr>
            <w:tcW w:w="4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1EE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布局与信息</w:t>
            </w:r>
          </w:p>
        </w:tc>
        <w:tc>
          <w:tcPr>
            <w:tcW w:w="31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7E8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权限要求</w:t>
            </w:r>
          </w:p>
        </w:tc>
      </w:tr>
      <w:tr w14:paraId="40D679D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7EB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统一登录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C3B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用户名、密码；演示账号提示仅限演示环境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C0F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认证前不可泄露真实生产账号</w:t>
            </w:r>
          </w:p>
        </w:tc>
      </w:tr>
      <w:tr w14:paraId="242F2AE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168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应用导航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EAA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权限中心、工单中心、已授权业务驾驶舱卡片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A7F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由服务端授权结果生成</w:t>
            </w:r>
          </w:p>
        </w:tc>
      </w:tr>
      <w:tr w14:paraId="3A0078E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F02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组织管理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DC6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左侧全部可见组织树；右侧所选组织表单、成员和下级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BB1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组织树按数据范围裁剪</w:t>
            </w:r>
          </w:p>
        </w:tc>
      </w:tr>
      <w:tr w14:paraId="2E4F62F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88A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用户/角色/岗位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79A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列表为主；详情展示组织挂接、角色、岗位、系统和项目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B0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按钮与 API 双重校验</w:t>
            </w:r>
          </w:p>
        </w:tc>
      </w:tr>
      <w:tr w14:paraId="06B0F1B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DAA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工单中心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D01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服务端筛选、排序、分页、保存视图、批量操作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7F7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列表和动作均按上下文与数据范围</w:t>
            </w:r>
          </w:p>
        </w:tc>
      </w:tr>
      <w:tr w14:paraId="4940FFA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636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我的任务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538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候选与已认领任务；显示候选规则、处理人和认领入口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479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候选可看最小必要详情</w:t>
            </w:r>
          </w:p>
        </w:tc>
      </w:tr>
      <w:tr w14:paraId="354A25B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520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右上用户区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219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显示 @统一登录用户名、显示名/身份和退出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CCC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不得仅显示固定文案</w:t>
            </w:r>
          </w:p>
        </w:tc>
      </w:tr>
    </w:tbl>
    <w:p w14:paraId="05A98AD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安全与非功能需求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600"/>
        <w:gridCol w:w="2160"/>
      </w:tblGrid>
      <w:tr w14:paraId="248E18A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0D9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类别</w:t>
            </w:r>
          </w:p>
        </w:tc>
        <w:tc>
          <w:tcPr>
            <w:tcW w:w="5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A89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要求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E45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7"/>
              </w:rPr>
              <w:t>目标</w:t>
            </w:r>
          </w:p>
        </w:tc>
      </w:tr>
      <w:tr w14:paraId="3EF3DF4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3C1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租户隔离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08C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PostgreSQL 生产库；tenant_id 强制条件；关键表 RLS；跨租户自动化测试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687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任何 ID 枚举不跨租户</w:t>
            </w:r>
          </w:p>
        </w:tc>
      </w:tr>
      <w:tr w14:paraId="1A24A7E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AC5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认证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F8C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MFA/SSO、密码策略、登录限流与锁定、会话/设备管理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31F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降低撞库与会话劫持</w:t>
            </w:r>
          </w:p>
        </w:tc>
      </w:tr>
      <w:tr w14:paraId="55312F9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BAA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Web 安全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CDA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CSRF、防 XSS、安全 Header、生产 Secure Cookie、HTTPS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CCF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通过基础安全扫描</w:t>
            </w:r>
          </w:p>
        </w:tc>
      </w:tr>
      <w:tr w14:paraId="4B8CE8D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41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并发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BDA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乐观锁、幂等键、任务认领唯一约束和事务边界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A4C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重复请求不产生重复动作</w:t>
            </w:r>
          </w:p>
        </w:tc>
      </w:tr>
      <w:tr w14:paraId="3C5484E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F52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审计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49A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追加写、防篡改哈希链、留存策略、导出与告警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F7D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关键授权全链可证明</w:t>
            </w:r>
          </w:p>
        </w:tc>
      </w:tr>
      <w:tr w14:paraId="0D72A99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DD7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附件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BC2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对象存储、病毒扫描、签名 URL、租户路径隔离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AD7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附件不可越权下载</w:t>
            </w:r>
          </w:p>
        </w:tc>
      </w:tr>
      <w:tr w14:paraId="51A98A4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517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可观测性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839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结构化日志、指标、追踪、SLA 告警、失败重试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9AC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关键链路可定位</w:t>
            </w:r>
          </w:p>
        </w:tc>
      </w:tr>
      <w:tr w14:paraId="3F6A9C7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401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性能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215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分页上限、索引、组织树缓存、权限决策缓存失效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186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7"/>
              </w:rPr>
              <w:t>常用页面 P95 &lt; 2 秒</w:t>
            </w:r>
          </w:p>
        </w:tc>
      </w:tr>
    </w:tbl>
    <w:p w14:paraId="7CD9669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默认演示数据</w:t>
      </w:r>
      <w:bookmarkStart w:id="0" w:name="_GoBack"/>
      <w:bookmarkEnd w:id="0"/>
    </w:p>
    <w:p w14:paraId="6191ED7C">
      <w:pPr>
        <w:keepLines w:val="0"/>
        <w:spacing w:befor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</w:rPr>
        <w:t>默认包含江城市、海州市、云州市三个租户；每个租户具有相同模板，但用户、组织、角色和项目均为租户本地实体。业务系统包括供水 DMA、供水水力模型、排水防涝、燃气安全、供热管网和道路桥梁。项目参与方覆盖总体甲方、业务甲方、监管、监理、施工和软件平台方。</w:t>
      </w:r>
    </w:p>
    <w:p w14:paraId="1CDB3C4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验收与回归测试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C11FA9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375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测试域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B00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最小回归集</w:t>
            </w:r>
          </w:p>
        </w:tc>
      </w:tr>
      <w:tr w14:paraId="3DFD988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942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租户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034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同名本地账号、组织和角色在不同城市互不影响；枚举 ID 不跨租户</w:t>
            </w:r>
          </w:p>
        </w:tc>
      </w:tr>
      <w:tr w14:paraId="5FA2702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A7A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系统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9D8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gas_manager 仅能进入 GAS；供水多系统分别授权；未授权 URL 返回 403</w:t>
            </w:r>
          </w:p>
        </w:tc>
      </w:tr>
      <w:tr w14:paraId="274471D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457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项目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8CC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用户可属于多个项目；移除成员后立即失去项目数据；总体甲方可跨项目汇总</w:t>
            </w:r>
          </w:p>
        </w:tc>
      </w:tr>
      <w:tr w14:paraId="3899DFA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7FF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组织/角色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932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多组织成员关系、不同角色数据范围、CUSTOM 组织校验、停用传播</w:t>
            </w:r>
          </w:p>
        </w:tc>
      </w:tr>
      <w:tr w14:paraId="32552EC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D9B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工单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557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完整主流程、驳回重做、第二人认领冲突、非法状态迁移、跨项目访问</w:t>
            </w:r>
          </w:p>
        </w:tc>
      </w:tr>
      <w:tr w14:paraId="7EEACD9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155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审计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56B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授权前后差异、操作者、租户/系统/项目/组织上下文完整</w:t>
            </w:r>
          </w:p>
        </w:tc>
      </w:tr>
      <w:tr w14:paraId="7B302FD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C9B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安全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70A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18"/>
              </w:rPr>
              <w:t>CSRF、会话固定、暴力登录、Cookie 标志、附件越权、IDOR</w:t>
            </w:r>
          </w:p>
        </w:tc>
      </w:tr>
      <w:tr w14:paraId="5C4A4D16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FF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E6EF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7A5A00"/>
                <w:sz w:val="21"/>
              </w:rPr>
              <w:t>发布门禁</w:t>
            </w:r>
          </w:p>
          <w:p w14:paraId="3F7C66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11827"/>
                <w:sz w:val="21"/>
              </w:rPr>
              <w:t>每轮迭代必须保存功能回归、跨租户/系统/项目负向用例和覆盖率结果。当前历史完整测试门禁为 169 项通过、覆盖率约 90.19%；新增实现后需重新跑全量门禁，不应沿用旧结果。</w:t>
            </w:r>
          </w:p>
        </w:tc>
      </w:tr>
    </w:tbl>
    <w:p w14:paraId="7C28B36F">
      <w:pPr>
        <w:spacing w:after="20"/>
        <w:rPr>
          <w:rFonts w:hint="eastAsia" w:ascii="宋体" w:hAnsi="宋体" w:eastAsia="宋体" w:cs="宋体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35573">
    <w:pPr>
      <w:pStyle w:val="24"/>
      <w:jc w:val="right"/>
    </w:pPr>
    <w:r>
      <w:rPr>
        <w:rFonts w:ascii="Calibri" w:hAnsi="Calibri" w:eastAsia="微软雅黑"/>
        <w:b w:val="0"/>
        <w:color w:val="667085"/>
        <w:sz w:val="17"/>
      </w:rPr>
      <w:t xml:space="preserve">YF ADMIN WORKFLOW  ·  </w:t>
    </w:r>
    <w:r>
      <w:rPr>
        <w:rFonts w:ascii="Calibri" w:hAnsi="Calibri" w:eastAsia="微软雅黑"/>
        <w:b w:val="0"/>
        <w:color w:val="667085"/>
        <w:sz w:val="17"/>
      </w:rPr>
      <w:fldChar w:fldCharType="begin"/>
    </w:r>
    <w:r>
      <w:rPr>
        <w:rFonts w:ascii="Calibri" w:hAnsi="Calibri" w:eastAsia="微软雅黑"/>
        <w:b w:val="0"/>
        <w:color w:val="667085"/>
        <w:sz w:val="17"/>
      </w:rPr>
      <w:instrText xml:space="preserve">PAGE</w:instrText>
    </w:r>
    <w:r>
      <w:rPr>
        <w:rFonts w:ascii="Calibri" w:hAnsi="Calibri" w:eastAsia="微软雅黑"/>
        <w:b w:val="0"/>
        <w:color w:val="667085"/>
        <w:sz w:val="17"/>
      </w:rPr>
      <w:fldChar w:fldCharType="separate"/>
    </w:r>
    <w:r>
      <w:rPr>
        <w:rFonts w:ascii="Calibri" w:hAnsi="Calibri" w:eastAsia="微软雅黑"/>
        <w:b w:val="0"/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C96F8">
    <w:pPr>
      <w:pStyle w:val="25"/>
      <w:pBdr>
        <w:bottom w:val="single" w:color="D9E2EA" w:sz="6" w:space="6"/>
      </w:pBdr>
      <w:spacing w:after="40"/>
      <w:jc w:val="left"/>
    </w:pPr>
    <w:r>
      <w:rPr>
        <w:rFonts w:ascii="Calibri" w:hAnsi="Calibri" w:eastAsia="微软雅黑"/>
        <w:b/>
        <w:color w:val="009688"/>
        <w:sz w:val="17"/>
      </w:rPr>
      <w:t>功能需求与详细设计</w:t>
    </w:r>
    <w:r>
      <w:rPr>
        <w:rFonts w:ascii="Calibri" w:hAnsi="Calibri" w:eastAsia="微软雅黑"/>
        <w:b w:val="0"/>
        <w:color w:val="667085"/>
        <w:sz w:val="17"/>
      </w:rPr>
      <w:t xml:space="preserve">  |  统一权限 + 工单中心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51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2333</Words>
  <Characters>2952</Characters>
  <Lines>0</Lines>
  <Paragraphs>0</Paragraphs>
  <TotalTime>82</TotalTime>
  <ScaleCrop>false</ScaleCrop>
  <LinksUpToDate>false</LinksUpToDate>
  <CharactersWithSpaces>3071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yjf95</cp:lastModifiedBy>
  <dcterms:modified xsi:type="dcterms:W3CDTF">2026-08-14T08:43:38Z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eyJoZGlkIjoiYTEzMGVkZjQxODFlYTgwNzFlNzYyMTA2N2RkODMwYzUiLCJ1c2VySWQiOiIyMDkyNTg0NzgifQ==</vt:lpwstr>
  </property>
  <property fmtid="{D5CDD505-2E9C-101B-9397-08002B2CF9AE}" pid="3" name="KSOProductBuildVer">
    <vt:lpwstr>2052-12.1.0.28022</vt:lpwstr>
  </property>
  <property fmtid="{D5CDD505-2E9C-101B-9397-08002B2CF9AE}" pid="4" name="ICV">
    <vt:lpwstr>E1EDF82CB01345368564D30138DF4B75_12</vt:lpwstr>
  </property>
</Properties>
</file>