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 w:val="0"/>
        <w:spacing w:before="240" w:after="120"/>
      </w:pPr>
      <w:r>
        <w:rPr>
          <w:rFonts w:ascii="Calibri" w:hAnsi="Calibri" w:eastAsia="Microsoft YaHei"/>
          <w:b/>
          <w:i w:val="0"/>
          <w:color w:val="009688"/>
          <w:sz w:val="20"/>
        </w:rPr>
        <w:t>RISK &amp; COMPLETENESS REVIEW</w:t>
      </w:r>
    </w:p>
    <w:p>
      <w:pPr>
        <w:keepLines w:val="0"/>
        <w:spacing w:before="0" w:after="120"/>
      </w:pPr>
      <w:r>
        <w:rPr>
          <w:rFonts w:ascii="Calibri" w:hAnsi="Calibri" w:eastAsia="Microsoft YaHei"/>
          <w:b/>
          <w:i w:val="0"/>
          <w:color w:val="0B2545"/>
          <w:sz w:val="48"/>
        </w:rPr>
        <w:t>权限逻辑漏洞与完整性评估报告</w:t>
      </w:r>
    </w:p>
    <w:p>
      <w:pPr>
        <w:keepLines w:val="0"/>
        <w:spacing w:before="0" w:after="360"/>
      </w:pPr>
      <w:r>
        <w:rPr>
          <w:rFonts w:ascii="Calibri" w:hAnsi="Calibri" w:eastAsia="Microsoft YaHei"/>
          <w:b w:val="0"/>
          <w:i w:val="0"/>
          <w:color w:val="1F4D78"/>
          <w:sz w:val="27"/>
        </w:rPr>
        <w:t>当前系统可演示，但尚不满足生产级 SaaS 权限治理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版本：</w:t>
      </w:r>
      <w:r>
        <w:rPr>
          <w:rFonts w:ascii="Calibri" w:hAnsi="Calibri" w:eastAsia="Microsoft YaHei"/>
          <w:b w:val="0"/>
          <w:color w:val="111827"/>
          <w:sz w:val="21"/>
        </w:rPr>
        <w:t>V1.0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日期：</w:t>
      </w:r>
      <w:r>
        <w:rPr>
          <w:rFonts w:ascii="Calibri" w:hAnsi="Calibri" w:eastAsia="Microsoft YaHei"/>
          <w:b w:val="0"/>
          <w:color w:val="111827"/>
          <w:sz w:val="21"/>
        </w:rPr>
        <w:t>2026-08-14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系统基线：</w:t>
      </w:r>
      <w:r>
        <w:rPr>
          <w:rFonts w:ascii="Calibri" w:hAnsi="Calibri" w:eastAsia="Microsoft YaHei"/>
          <w:b w:val="0"/>
          <w:color w:val="111827"/>
          <w:sz w:val="21"/>
        </w:rPr>
        <w:t>当前本地运行版本（I23 后续界面优化已合入工作区）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适用范围：</w:t>
      </w:r>
      <w:r>
        <w:rPr>
          <w:rFonts w:ascii="Calibri" w:hAnsi="Calibri" w:eastAsia="Microsoft YaHei"/>
          <w:b w:val="0"/>
          <w:color w:val="111827"/>
          <w:sz w:val="21"/>
        </w:rPr>
        <w:t>三城市租户、城市生命线业务系统、项目与工单中心</w:t>
      </w:r>
    </w:p>
    <w:p>
      <w:pPr>
        <w:spacing w:after="40"/>
      </w:pPr>
      <w:r>
        <w:rPr>
          <w:rFonts w:ascii="Calibri" w:hAnsi="Calibri" w:eastAsia="Microsoft YaHei"/>
          <w:b/>
          <w:color w:val="111827"/>
          <w:sz w:val="21"/>
        </w:rPr>
        <w:t>文档状态：</w:t>
      </w:r>
      <w:r>
        <w:rPr>
          <w:rFonts w:ascii="Calibri" w:hAnsi="Calibri" w:eastAsia="Microsoft YaHei"/>
          <w:b w:val="0"/>
          <w:color w:val="111827"/>
          <w:sz w:val="21"/>
        </w:rPr>
        <w:t>详细设计 / 评审基线</w:t>
      </w:r>
    </w:p>
    <w:p>
      <w:pPr>
        <w:spacing w:after="320"/>
        <w:pBdr>
          <w:bottom w:val="single" w:sz="14" w:space="6" w:color="009688"/>
        </w:pBdr>
      </w:pPr>
    </w:p>
    <w:p>
      <w:r>
        <w:br w:type="page"/>
      </w:r>
    </w:p>
    <w:p>
      <w:pPr>
        <w:pStyle w:val="Heading1"/>
      </w:pPr>
      <w:r>
        <w:t>1. 结论摘要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总体判断：演示可用，生产不可直接上线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租户、系统、项目、组织、角色、数据范围和工单状态机已经形成可解释的主闭环，适合产品演示和需求评审。但存在跨租户配置所有权、候选任务可见性、平台 root 支持访问、认证加固、授权治理、流程版本和并发幂等等关键缺口。</w:t>
            </w:r>
          </w:p>
        </w:tc>
      </w:tr>
    </w:tbl>
    <w:p>
      <w:pPr>
        <w:spacing w:after="20"/>
      </w:pP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1200"/>
        <w:gridCol w:w="6360"/>
      </w:tblGrid>
      <w:tr>
        <w:trPr>
          <w:tblHeader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数量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定义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P0 / 高危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4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可能导致跨租户影响、特权滥用或关键认证绕过，产品化前优先修复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P1 / 重要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8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破坏业务闭环、治理完整性或形成高概率误授权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P2 / 完善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6</w:t>
            </w:r>
          </w:p>
        </w:tc>
        <w:tc>
          <w:tcPr>
            <w:tcW w:type="dxa" w:w="6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8"/>
              </w:rPr>
              <w:t>增强规模化运营、审计证明和细粒度控制</w:t>
            </w:r>
          </w:p>
        </w:tc>
      </w:tr>
    </w:tbl>
    <w:p>
      <w:pPr>
        <w:pStyle w:val="Heading1"/>
      </w:pPr>
      <w:r>
        <w:t>2. 已经成立的权限闭环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城市租户作为顶层隔离边界，业务实体普遍携带 tenant_id。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用户系统入口授权可隔离供水、排水、燃气、供热、道路；越权业务 URL 被拒绝。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项目成员和参与组织把工程项目作为数据权限载体，而非伪装成组织。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用户可属于多个组织；角色与岗位挂接在组织成员关系上。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角色权限与 ALL/ORG/ORG_AND_CHILD/SELF/CUSTOM 数据范围共同决定资源可见性。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工单主状态机、候选任务、认领冲突、复核驳回和动作时间线已经实现。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组织、角色、用户等 IAM 关键变更具备审计查询入口。</w:t>
      </w:r>
    </w:p>
    <w:p>
      <w:pPr>
        <w:pStyle w:val="Heading1"/>
      </w:pPr>
      <w:r>
        <w:t>3. P0 / 高危问题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850"/>
        <w:gridCol w:w="3000"/>
        <w:gridCol w:w="2250"/>
        <w:gridCol w:w="3260"/>
      </w:tblGrid>
      <w:tr>
        <w:trPr>
          <w:tblHeader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编号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问题与证据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影响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6"/>
              </w:rPr>
              <w:t>修复与验收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P0-01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权限字典 Permission 为全局实体，而租户管理员可维护非内置权限；自定义权限缺少 tenant_id 所有权。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一个租户管理员可能修改或删除另一个租户创建的自定义权限，造成跨租户配置污染。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拆分平台权限模板与 tenant_permission；所有 CRUD 强制 owner tenant；新增跨租户修改/删除负向测试。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P0-02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平台 root 进入租户会建立租户管理员会话，但缺少租户同意、工单理由、时限、审批和独立审计关联。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平台特权可静默进入租户，难以满足 SaaS 客户信任和审计要求。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JIT 支持访问：申请、理由、审批、最短有效期、只读默认、租户可见、全链审计和一键撤销。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P0-03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认证缺少 CSRF、防暴力登录/锁定、MFA/SSO；auth_cookie_secure 默认 false，依赖部署方正确配置。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会话劫持、跨站请求和撞库风险；配置错误可把本地默认带到生产。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增加 CSRF token、限流/锁定、MFA/SSO；生产启动时 Secure/HTTPS 不满足则拒绝启动。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P0-04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当前依赖 SQLite 与应用层 tenant 过滤，无数据库 RLS 或生产级隔离兜底。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任何遗漏 tenant 条件的查询都可能形成 IDOR/跨租户读取。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6"/>
              </w:rPr>
              <w:t>生产迁移 PostgreSQL；关键表启用 RLS；仓储层统一 tenant filter；跨租户属性测试覆盖所有资源。</w:t>
            </w:r>
          </w:p>
        </w:tc>
      </w:tr>
    </w:tbl>
    <w:p>
      <w:pPr>
        <w:pStyle w:val="Heading1"/>
      </w:pPr>
      <w:r>
        <w:t>4. P1 / 重要问题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850"/>
        <w:gridCol w:w="2600"/>
        <w:gridCol w:w="3050"/>
        <w:gridCol w:w="2860"/>
      </w:tblGrid>
      <w:tr>
        <w:trPr>
          <w:tblHeader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编号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问题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实际后果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4D9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5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P1-01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候选任务与工单详情的数据范围不一致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实测 lisi 在“我的任务”可看到待认领任务，但点击“查看工单”返回 work order not found；必须先盲认领才能看详情。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增加 CANDIDATE 可见规则：候选人可读最小必要详情；处理按钮仍需认领后开放。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P1-02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多组织用户缺少清晰的活动组织切换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授权服务只按 active_org 解析；顶部选择器已取消，多组织人员可能无法切到另一组织职责。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在个人工作区提供受控组织/身份切换，展示当前上下文并记录切换审计。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P1-03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授权没有生命周期治理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角色、系统、项目授权缺少生效/失效时间、审批、自动回收和临时授权。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统一 grant 表：valid_from/to、request/approve/revoke、source、reason。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P1-04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缺少职责分离与冲突角色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同一用户可能同时具备建单、派单、处理、复核和关闭，形成自审自批。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定义 SoD 规则；保存授权前冲突检测；例外需审批和时限。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P1-05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流程定义是全局 code + version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不同城市或业务系统不能安全拥有独立流程版本，发布变更可能影响所有租户。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增加 tenant_id、application_id、draft/published/retired、effective_at；实例锁定已发布版本。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P1-06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工单动作缺少乐观锁和幂等键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重复点击/网络重试可能产生重复动作；并发状态修改主要依赖业务异常。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work_order.version + If-Match；idempotency_key 唯一；动作唯一约束和事务重试。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P1-07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审计日志不是防篡改记录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数据库管理员可修改历史；无哈希链、签名、留存与导出证明。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追加写审计、哈希链/外部 WORM、留存策略、导出签名和异常告警。</w:t>
            </w:r>
          </w:p>
        </w:tc>
      </w:tr>
      <w:tr>
        <w:trPr>
          <w:cantSplit w:val="true"/>
        </w:trPr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P1-08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权限解释能力覆盖不完整</w:t>
            </w:r>
          </w:p>
        </w:tc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项目授权有解释接口，但组织树、工单和字段级拒绝原因不统一，排障成本高。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5"/>
              </w:rPr>
              <w:t>统一 authorization trace：每道边界给出 pass/fail、规则和脱敏上下文。</w:t>
            </w:r>
          </w:p>
        </w:tc>
      </w:tr>
    </w:tbl>
    <w:p>
      <w:pPr>
        <w:pStyle w:val="Heading1"/>
      </w:pPr>
      <w:r>
        <w:t>5. P2 / 完整性提升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00"/>
        <w:gridCol w:w="3150"/>
        <w:gridCol w:w="5110"/>
      </w:tblGrid>
      <w:tr>
        <w:trPr>
          <w:tblHeader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编号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缺口</w:t>
            </w:r>
          </w:p>
        </w:tc>
        <w:tc>
          <w:tcPr>
            <w:tcW w:type="dxa" w:w="5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补齐方向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P2-01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字段、敏感信息、导出和下载权限</w:t>
            </w:r>
          </w:p>
        </w:tc>
        <w:tc>
          <w:tcPr>
            <w:tcW w:type="dxa" w:w="5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字段级读取/编辑、脱敏、批量导出和附件下载单独授权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P2-02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GIS 图层与空间范围权限</w:t>
            </w:r>
          </w:p>
        </w:tc>
        <w:tc>
          <w:tcPr>
            <w:tcW w:type="dxa" w:w="5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按图层、设施类型、行政区/空间多边形、缩放级别和操作授权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P2-03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定期访问复核</w:t>
            </w:r>
          </w:p>
        </w:tc>
        <w:tc>
          <w:tcPr>
            <w:tcW w:type="dxa" w:w="5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管理员/负责人按月或季度确认用户、角色、系统、项目授权，逾期自动收回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P2-04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授权影响分析与策略模拟</w:t>
            </w:r>
          </w:p>
        </w:tc>
        <w:tc>
          <w:tcPr>
            <w:tcW w:type="dxa" w:w="5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变更角色前预览新增/减少用户与资源范围；支持‘为什么允许/拒绝’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P2-05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账户命名空间治理</w:t>
            </w:r>
          </w:p>
        </w:tc>
        <w:tc>
          <w:tcPr>
            <w:tcW w:type="dxa" w:w="5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root 之外预留平台账号命名空间；防止未来平台身份与租户登录名冲突</w:t>
            </w:r>
          </w:p>
        </w:tc>
      </w:tr>
      <w:tr>
        <w:trPr>
          <w:cantSplit w:val="true"/>
        </w:trPr>
        <w:tc>
          <w:tcPr>
            <w:tcW w:type="dxa" w:w="1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P2-06</w:t>
            </w:r>
          </w:p>
        </w:tc>
        <w:tc>
          <w:tcPr>
            <w:tcW w:type="dxa" w:w="3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通知、附件与异步可靠性</w:t>
            </w:r>
          </w:p>
        </w:tc>
        <w:tc>
          <w:tcPr>
            <w:tcW w:type="dxa" w:w="51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Outbox、重试/死信、对象存储、病毒扫描、签名 URL 与租户路径隔离</w:t>
            </w:r>
          </w:p>
        </w:tc>
      </w:tr>
    </w:tbl>
    <w:p>
      <w:pPr>
        <w:pStyle w:val="Heading1"/>
      </w:pPr>
      <w:r>
        <w:t>6. 关键漏洞场景</w:t>
      </w:r>
    </w:p>
    <w:p>
      <w:pPr>
        <w:pStyle w:val="Heading2"/>
      </w:pPr>
      <w:r>
        <w:t>6.1 跨租户自定义权限污染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1. </w:t>
      </w:r>
      <w:r>
        <w:rPr>
          <w:rFonts w:ascii="Calibri" w:hAnsi="Calibri" w:eastAsia="Microsoft YaHei"/>
          <w:b w:val="0"/>
          <w:color w:val="111827"/>
          <w:sz w:val="22"/>
        </w:rPr>
        <w:t>城市 A 管理员创建自定义权限 custom:report:export。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2. </w:t>
      </w:r>
      <w:r>
        <w:rPr>
          <w:rFonts w:ascii="Calibri" w:hAnsi="Calibri" w:eastAsia="Microsoft YaHei"/>
          <w:b w:val="0"/>
          <w:color w:val="111827"/>
          <w:sz w:val="22"/>
        </w:rPr>
        <w:t>Permission 记录没有 tenant_id，城市 B 管理员的权限列表也可解析到该全局记录。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3. </w:t>
      </w:r>
      <w:r>
        <w:rPr>
          <w:rFonts w:ascii="Calibri" w:hAnsi="Calibri" w:eastAsia="Microsoft YaHei"/>
          <w:b w:val="0"/>
          <w:color w:val="111827"/>
          <w:sz w:val="22"/>
        </w:rPr>
        <w:t>如果服务只判断‘非内置权限可编辑’，城市 B 可能改名或删除城市 A 的权限。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1F4D78"/>
          <w:sz w:val="22"/>
        </w:rPr>
        <w:t xml:space="preserve">4. </w:t>
      </w:r>
      <w:r>
        <w:rPr>
          <w:rFonts w:ascii="Calibri" w:hAnsi="Calibri" w:eastAsia="Microsoft YaHei"/>
          <w:b w:val="0"/>
          <w:color w:val="111827"/>
          <w:sz w:val="22"/>
        </w:rPr>
        <w:t>受影响角色的授权语义改变，且故障看起来像普通配置变更。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CE8E8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最低验收标准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租户管理员只能维护 owner_tenant_id 等于当前租户的自定义权限；平台模板只能由平台治理角色发布，租户只引用不可修改。</w:t>
            </w:r>
          </w:p>
        </w:tc>
      </w:tr>
    </w:tbl>
    <w:p>
      <w:pPr>
        <w:spacing w:after="20"/>
      </w:pPr>
    </w:p>
    <w:p>
      <w:pPr>
        <w:pStyle w:val="Heading2"/>
      </w:pPr>
      <w:r>
        <w:t>6.2 候选任务不可先看后认领</w:t>
      </w:r>
    </w:p>
    <w:p>
      <w:pPr>
        <w:keepLines w:val="0"/>
        <w:spacing w:before="0"/>
      </w:pPr>
      <w:r>
        <w:rPr>
          <w:rFonts w:ascii="Calibri" w:hAnsi="Calibri" w:eastAsia="Microsoft YaHei"/>
          <w:b w:val="0"/>
          <w:i w:val="0"/>
        </w:rPr>
        <w:t>本次实际截图验证发现：lisi 能在任务卡片看到 HANDLE / PENDING 和“查看工单”链接，但打开 /workorders/2 返回 not found；认领后立即可查看详情。这不是单纯页面问题，而是任务候选访问规则没有进入工单详情授权决策。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6120" cy="5190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workorder-pending-clai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19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1  当前行为：候选任务存在，但认领前打开工单详情返回未找到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09688"/>
                <w:sz w:val="21"/>
              </w:rPr>
              <w:t>建议授权语义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候选人具有 candidate:view-minimal：可看标题、位置、类型、优先级、SLA、脱敏描述和附件清单；不能提交结果、转派或下载敏感附件。认领成功后再获得 handler 权限。</w:t>
            </w:r>
          </w:p>
        </w:tc>
      </w:tr>
    </w:tbl>
    <w:p>
      <w:pPr>
        <w:spacing w:after="20"/>
      </w:pPr>
    </w:p>
    <w:p>
      <w:pPr>
        <w:pStyle w:val="Heading1"/>
      </w:pPr>
      <w:r>
        <w:t>7. 推荐整改顺序</w:t>
      </w:r>
    </w:p>
    <w:p>
      <w:pPr>
        <w:keepNext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70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risk-road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70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after="140"/>
        <w:jc w:val="center"/>
      </w:pPr>
      <w:r>
        <w:rPr>
          <w:rFonts w:ascii="Calibri" w:hAnsi="Calibri" w:eastAsia="Microsoft YaHei"/>
          <w:b w:val="0"/>
          <w:i/>
          <w:color w:val="667085"/>
          <w:sz w:val="18"/>
        </w:rPr>
        <w:t>图 2  先修跨租户与认证，再补治理、流程可靠性和生产基础设施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200"/>
        <w:gridCol w:w="4300"/>
        <w:gridCol w:w="3860"/>
      </w:tblGrid>
      <w:tr>
        <w:trPr>
          <w:tblHeader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迭代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核心交付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完成定义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I24A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租户安全权限字典；候选任务最小可见；多组织身份切换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跨租户负向测试全通过；候选可先看后认领；上下文明确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I24B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CSRF、限流/锁定、生产 Cookie、会话管理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安全基线自动化测试；生产错误配置拒绝启动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I25A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授权申请审批、有效期、自动回收、SoD、定期复核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高风险授权有申请—审批—生效—回收—审计闭环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I25B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流程定义租户/系统化、发布版本、乐观锁、幂等、审计防篡改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并发/重试不重复；实例锁定版本；审计可证明</w:t>
            </w:r>
          </w:p>
        </w:tc>
      </w:tr>
      <w:tr>
        <w:trPr>
          <w:cantSplit w:val="true"/>
        </w:trPr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I25C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PostgreSQL、RLS、对象存储、监控备份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17"/>
              </w:rPr>
              <w:t>生产部署门禁、恢复演练、跨租户渗透和容量测试通过</w:t>
            </w:r>
          </w:p>
        </w:tc>
      </w:tr>
    </w:tbl>
    <w:p>
      <w:pPr>
        <w:pStyle w:val="Heading1"/>
      </w:pPr>
      <w:r>
        <w:t>8. 评审结论与发布门禁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作为演示产品：可以演示组织、角色、用户、系统、项目和工单主流程。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作为内部试用：完成 I24A 与 I24B 后，可在受控网络、演示/测试数据下试用。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作为多租户 SaaS：P0 必须清零，P1 的授权治理、流程版本、幂等和审计完整性必须完成。</w:t>
      </w:r>
    </w:p>
    <w:p>
      <w:pPr>
        <w:spacing w:after="160" w:line="280" w:lineRule="auto"/>
        <w:ind w:left="720" w:hanging="360"/>
      </w:pPr>
      <w:r>
        <w:rPr>
          <w:rFonts w:ascii="Calibri" w:hAnsi="Calibri" w:eastAsia="Microsoft YaHei"/>
          <w:b/>
          <w:color w:val="009688"/>
          <w:sz w:val="22"/>
        </w:rPr>
        <w:t xml:space="preserve">• </w:t>
      </w:r>
      <w:r>
        <w:rPr>
          <w:rFonts w:ascii="Calibri" w:hAnsi="Calibri" w:eastAsia="Microsoft YaHei"/>
          <w:b w:val="0"/>
          <w:color w:val="111827"/>
          <w:sz w:val="22"/>
        </w:rPr>
        <w:t>作为生产城市生命线平台：还需 PostgreSQL/RLS、监控备份、对象存储、渗透测试与等保相关控制。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D7DEE8"/>
          <w:left w:val="single" w:sz="5" w:space="0" w:color="D7DEE8"/>
          <w:bottom w:val="single" w:sz="5" w:space="0" w:color="D7DEE8"/>
          <w:right w:val="single" w:sz="5" w:space="0" w:color="D7DEE8"/>
          <w:insideH w:val="single" w:sz="5" w:space="0" w:color="D7DEE8"/>
          <w:insideV w:val="single" w:sz="5" w:space="0" w:color="D7DEE8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8E6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不应被测试覆盖率掩盖的事实</w:t>
            </w:r>
          </w:p>
          <w:p>
            <w:pPr>
              <w:spacing w:after="0"/>
            </w:pPr>
            <w:r>
              <w:rPr>
                <w:rFonts w:ascii="Calibri" w:hAnsi="Calibri" w:eastAsia="Microsoft YaHei"/>
                <w:b w:val="0"/>
                <w:color w:val="111827"/>
                <w:sz w:val="21"/>
              </w:rPr>
              <w:t>约 90% 的代码覆盖率说明测试执行广度较好，但不能证明权限模型完整。跨租户配置所有权、特权访问治理、候选可见性、职责分离和生产隔离属于模型与控制缺口，必须用威胁场景和负向验收单独证明。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YF ADMIN WORKFLOW  ·  </w:t>
    </w:r>
    <w:r>
      <w:rPr>
        <w:rFonts w:ascii="Calibri" w:hAnsi="Calibri" w:eastAsia="Microsoft YaHei"/>
        <w:b w:val="0"/>
        <w:color w:val="667085"/>
        <w:sz w:val="17"/>
      </w:rP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space="6" w:color="D9E2EA"/>
      </w:pBdr>
    </w:pPr>
    <w:r>
      <w:rPr>
        <w:rFonts w:ascii="Calibri" w:hAnsi="Calibri" w:eastAsia="Microsoft YaHei"/>
        <w:b/>
        <w:color w:val="009688"/>
        <w:sz w:val="17"/>
      </w:rPr>
      <w:t>权限完整性评估</w:t>
    </w:r>
    <w:r>
      <w:rPr>
        <w:rFonts w:ascii="Calibri" w:hAnsi="Calibri" w:eastAsia="Microsoft YaHei"/>
        <w:b w:val="0"/>
        <w:color w:val="667085"/>
        <w:sz w:val="17"/>
      </w:rPr>
      <w:t xml:space="preserve">  |  逻辑漏洞与产品化差距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