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1200" w:after="520"/>
        <w:jc w:val="center"/>
      </w:pPr>
      <w:r>
        <w:rPr>
          <w:rFonts w:ascii="Calibri" w:hAnsi="Calibri" w:eastAsia="Microsoft YaHei"/>
          <w:b/>
          <w:i w:val="0"/>
          <w:color w:val="009688"/>
          <w:sz w:val="20"/>
        </w:rPr>
        <w:t>城市生命线平台产品说明</w:t>
      </w:r>
    </w:p>
    <w:p>
      <w:pPr>
        <w:keepLines w:val="0"/>
        <w:spacing w:before="0" w:after="280"/>
        <w:jc w:val="center"/>
      </w:pPr>
      <w:r>
        <w:rPr>
          <w:rFonts w:ascii="Calibri" w:hAnsi="Calibri" w:eastAsia="Microsoft YaHei"/>
          <w:b/>
          <w:i w:val="0"/>
          <w:color w:val="0B2545"/>
          <w:sz w:val="58"/>
        </w:rPr>
        <w:t>统一权限系统与工单中心</w:t>
        <w:br/>
        <w:t>价值说明</w:t>
      </w:r>
    </w:p>
    <w:p>
      <w:pPr>
        <w:keepLines w:val="0"/>
        <w:spacing w:before="0" w:after="68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8"/>
        </w:rPr>
        <w:t>从身份治理到跨组织业务闭环的可演示产品底座</w:t>
      </w:r>
    </w:p>
    <w:p>
      <w:pPr>
        <w:keepLines w:val="0"/>
        <w:spacing w:before="0" w:after="1520"/>
        <w:jc w:val="center"/>
      </w:pPr>
      <w:r>
        <w:rPr>
          <w:rFonts w:ascii="Calibri" w:hAnsi="Calibri" w:eastAsia="Microsoft YaHei"/>
          <w:b/>
          <w:i w:val="0"/>
          <w:color w:val="7A5A00"/>
          <w:sz w:val="19"/>
        </w:rPr>
        <w:t>VALUE PROPOSITION &amp; PRODUCT POSITIONING</w:t>
      </w:r>
    </w:p>
    <w:p>
      <w:pPr>
        <w:keepLines w:val="0"/>
        <w:spacing w:before="0" w:after="80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版本 V1.0</w:t>
      </w:r>
    </w:p>
    <w:p>
      <w:pPr>
        <w:keepLines w:val="0"/>
        <w:spacing w:before="0" w:after="80"/>
        <w:jc w:val="center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2026-08-21</w:t>
      </w:r>
    </w:p>
    <w:p>
      <w:pPr>
        <w:keepLines w:val="0"/>
        <w:spacing w:before="0" w:after="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基于当前本地运行系统、代码实现与实际界面整理</w:t>
      </w:r>
    </w:p>
    <w:p>
      <w:r>
        <w:br w:type="page"/>
      </w:r>
    </w:p>
    <w:p>
      <w:pPr>
        <w:pStyle w:val="Heading1"/>
        <w:pageBreakBefore w:val="0"/>
      </w:pPr>
      <w:r>
        <w:t>1. 一句话定位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7F4F1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76B52"/>
                <w:sz w:val="21"/>
              </w:rPr>
              <w:t>核心价值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这套系统不是单独的后台权限页面，也不是孤立的工单工具，而是一套把“人、组织、系统、项目、数据权限和业务流程”连接起来的城市生命线协同治理底座。</w:t>
            </w:r>
          </w:p>
        </w:tc>
      </w:tr>
    </w:tbl>
    <w:p>
      <w:pPr>
        <w:pStyle w:val="Heading1"/>
        <w:pageBreakBefore w:val="0"/>
      </w:pPr>
      <w:r>
        <w:t>2. 解决的核心问题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11827"/>
          <w:sz w:val="22"/>
        </w:rPr>
        <w:t>多城市、多业务方向、多套系统并存时，账号入口、权限口径和数据边界容易分散。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11827"/>
          <w:sz w:val="22"/>
        </w:rPr>
        <w:t>总体甲方、业务甲方、监管、监理、施工和软件平台方需要看到不同层级的数据，但传统菜单权限难以表达这种关系。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11827"/>
          <w:sz w:val="22"/>
        </w:rPr>
        <w:t>同一人员可能属于多个组织、参与多个项目，单一部门或单一角色模型无法满足实际协作。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11827"/>
          <w:sz w:val="22"/>
        </w:rPr>
        <w:t>工单从发现问题到派单、处理、复核和关闭涉及多个业务方，若权限与流程分离，容易出现越权查看、错误派单和责任不清。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11827"/>
          <w:sz w:val="22"/>
        </w:rPr>
        <w:t>项目进度、工单执行和权限配置缺少统一上下文，管理者难以解释“谁为什么可以看到或操作这条数据”。</w:t>
      </w:r>
    </w:p>
    <w:p>
      <w:pPr>
        <w:pStyle w:val="Heading1"/>
        <w:pageBreakBefore w:val="0"/>
      </w:pPr>
      <w:r>
        <w:t>3. 当前形成的产品价值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4200"/>
        <w:gridCol w:w="34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价值维度</w:t>
            </w:r>
          </w:p>
        </w:tc>
        <w:tc>
          <w:tcPr>
            <w:tcW w:type="dxa" w:w="42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当前能力</w:t>
            </w:r>
          </w:p>
        </w:tc>
        <w:tc>
          <w:tcPr>
            <w:tcW w:type="dxa" w:w="34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带来的结果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统一治理</w:t>
            </w:r>
          </w:p>
        </w:tc>
        <w:tc>
          <w:tcPr>
            <w:tcW w:type="dxa" w:w="4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统一登录、租户、系统入口、组织、用户和角色集中管理</w:t>
            </w:r>
          </w:p>
        </w:tc>
        <w:tc>
          <w:tcPr>
            <w:tcW w:type="dxa" w:w="3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降低多系统账号与权限配置碎片化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业务隔离</w:t>
            </w:r>
          </w:p>
        </w:tc>
        <w:tc>
          <w:tcPr>
            <w:tcW w:type="dxa" w:w="4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城市租户、业务系统、工程项目三层上下文隔离</w:t>
            </w:r>
          </w:p>
        </w:tc>
        <w:tc>
          <w:tcPr>
            <w:tcW w:type="dxa" w:w="3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供水、排水、燃气等业务默认互不可见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灵活协作</w:t>
            </w:r>
          </w:p>
        </w:tc>
        <w:tc>
          <w:tcPr>
            <w:tcW w:type="dxa" w:w="4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用户多组织、项目参与方、项目成员与项目角色</w:t>
            </w:r>
          </w:p>
        </w:tc>
        <w:tc>
          <w:tcPr>
            <w:tcW w:type="dxa" w:w="3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支持跨组织、跨项目授权而不破坏基础组织架构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流程闭环</w:t>
            </w:r>
          </w:p>
        </w:tc>
        <w:tc>
          <w:tcPr>
            <w:tcW w:type="dxa" w:w="4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建单、派单、认领、处理、复核、关闭和时间线</w:t>
            </w:r>
          </w:p>
        </w:tc>
        <w:tc>
          <w:tcPr>
            <w:tcW w:type="dxa" w:w="3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把权限判断落实到实际业务动作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可审计</w:t>
            </w:r>
          </w:p>
        </w:tc>
        <w:tc>
          <w:tcPr>
            <w:tcW w:type="dxa" w:w="4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IAM变更审计、工单动作记录、权限解释入口</w:t>
            </w:r>
          </w:p>
        </w:tc>
        <w:tc>
          <w:tcPr>
            <w:tcW w:type="dxa" w:w="3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重要操作有依据、有责任人、可追溯</w:t>
            </w:r>
          </w:p>
        </w:tc>
      </w:tr>
    </w:tbl>
    <w:p>
      <w:pPr>
        <w:pStyle w:val="Heading1"/>
        <w:pageBreakBefore/>
      </w:pPr>
      <w:r>
        <w:t>4. 价值架构：权限不是终点，而是业务入口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09160" cy="2501741"/>
            <wp:docPr id="1" name="Picture 1" descr="权限与工单中心价值架构图" title="权限与工单中心价值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501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图1 统一权限与工单中心的价值架构</w:t>
      </w:r>
    </w:p>
    <w:p>
      <w:pPr>
        <w:keepLines w:val="0"/>
        <w:spacing w:before="0" w:after="160"/>
      </w:pPr>
      <w:r>
        <w:rPr>
          <w:rFonts w:ascii="Calibri" w:hAnsi="Calibri" w:eastAsia="Microsoft YaHei"/>
          <w:b w:val="0"/>
          <w:i w:val="0"/>
        </w:rPr>
        <w:t>授权链路采用逐层收敛思路：用户先通过身份和租户边界，再通过系统入口、项目成员、组织角色和数据范围，最终获得对具体工单资源的查看或操作能力。任一关键条件不满足，服务端即拒绝。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09688"/>
                <w:sz w:val="21"/>
              </w:rPr>
              <w:t>设计意义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项目被定义为数据权限载体，组织继续表达真实甲方、监管、监理、施工和软件平台方。这样既保留真实组织结构，也能支持同一组织参与多个工程项目。</w:t>
            </w:r>
          </w:p>
        </w:tc>
      </w:tr>
    </w:tbl>
    <w:p>
      <w:pPr>
        <w:pStyle w:val="Heading2"/>
        <w:pageBreakBefore w:val="0"/>
      </w:pPr>
      <w:r>
        <w:t>4.1 当前核心对象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500"/>
        <w:gridCol w:w="3900"/>
        <w:gridCol w:w="39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390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产品含义</w:t>
            </w:r>
          </w:p>
        </w:tc>
        <w:tc>
          <w:tcPr>
            <w:tcW w:type="dxa" w:w="396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主要边界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租户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以城市划分的SaaS客户空间</w:t>
            </w:r>
          </w:p>
        </w:tc>
        <w:tc>
          <w:tcPr>
            <w:tcW w:type="dxa" w:w="3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城市之间用户、组织和业务数据隔离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业务系统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供水、排水、燃气、供热、道路等系统入口</w:t>
            </w:r>
          </w:p>
        </w:tc>
        <w:tc>
          <w:tcPr>
            <w:tcW w:type="dxa" w:w="3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决定用户能否进入某类业务系统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工程项目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系统内的施工、改造或建设项目</w:t>
            </w:r>
          </w:p>
        </w:tc>
        <w:tc>
          <w:tcPr>
            <w:tcW w:type="dxa" w:w="3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承载项目成员、参与组织和工单数据权限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实体组织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总体甲方、业务甲方、监管、监理、施工、平台方</w:t>
            </w:r>
          </w:p>
        </w:tc>
        <w:tc>
          <w:tcPr>
            <w:tcW w:type="dxa" w:w="3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表达现实隶属与协作关系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工单</w:t>
            </w:r>
          </w:p>
        </w:tc>
        <w:tc>
          <w:tcPr>
            <w:tcW w:type="dxa" w:w="3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问题发现、处置与复核的业务对象</w:t>
            </w:r>
          </w:p>
        </w:tc>
        <w:tc>
          <w:tcPr>
            <w:tcW w:type="dxa" w:w="39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固定归属租户、系统、项目和组织上下文</w:t>
            </w:r>
          </w:p>
        </w:tc>
      </w:tr>
    </w:tbl>
    <w:p>
      <w:pPr>
        <w:pStyle w:val="Heading1"/>
        <w:pageBreakBefore/>
      </w:pPr>
      <w:r>
        <w:t>5. 权限系统的业务价值</w:t>
      </w:r>
    </w:p>
    <w:p>
      <w:pPr>
        <w:pStyle w:val="Heading2"/>
        <w:pageBreakBefore w:val="0"/>
      </w:pPr>
      <w:r>
        <w:t>5.1 组织结构可见且可裁剪</w:t>
      </w:r>
    </w:p>
    <w:p>
      <w:pPr>
        <w:keepLines w:val="0"/>
        <w:spacing w:before="0"/>
      </w:pPr>
      <w:r>
        <w:rPr>
          <w:rFonts w:ascii="Calibri" w:hAnsi="Calibri" w:eastAsia="Microsoft YaHei"/>
          <w:b w:val="0"/>
          <w:i w:val="0"/>
        </w:rPr>
        <w:t>组织管理采用左侧树、右侧明细的结构。用户看到的不是全量数据库组织，而是经过租户边界和数据范围裁剪后的组织树。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3430444"/>
            <wp:docPr id="2" name="Picture 2" descr="当前系统组织管理页面，左侧组织树，右侧组织明细" title="当前系统组织管理页面，左侧组织树，右侧组织明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rganiz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3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图2 组织树与所选组织明细</w:t>
      </w:r>
    </w:p>
    <w:p>
      <w:pPr>
        <w:pStyle w:val="Heading2"/>
        <w:pageBreakBefore w:val="0"/>
      </w:pPr>
      <w:r>
        <w:t>5.2 角色、用户和项目关系可以组合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11827"/>
          <w:sz w:val="22"/>
        </w:rPr>
        <w:t>用户可以同时属于多个组织；每条组织成员关系可以绑定不同角色和岗位。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11827"/>
          <w:sz w:val="22"/>
        </w:rPr>
        <w:t>角色同时包含功能权限和数据范围，支持 ALL、ORG、ORG_AND_CHILD、SELF、CUSTOM 等范围。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11827"/>
          <w:sz w:val="22"/>
        </w:rPr>
        <w:t>项目再绑定参与组织和项目成员，使“现实组织身份”与“工程数据访问权”相互独立又能够交叉校验。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11827"/>
          <w:sz w:val="22"/>
        </w:rPr>
        <w:t>业务系统入口单独授权，避免仅凭组织或角色就能跨供水、排水、燃气等系统访问。</w:t>
      </w:r>
    </w:p>
    <w:p>
      <w:pPr>
        <w:pStyle w:val="Heading1"/>
        <w:pageBreakBefore/>
      </w:pPr>
      <w:r>
        <w:t>6. 多业务系统隔离与按需协作价值</w:t>
      </w:r>
    </w:p>
    <w:p>
      <w:pPr>
        <w:keepLines w:val="0"/>
        <w:spacing w:before="0"/>
      </w:pPr>
      <w:r>
        <w:rPr>
          <w:rFonts w:ascii="Calibri" w:hAnsi="Calibri" w:eastAsia="Microsoft YaHei"/>
          <w:b w:val="0"/>
          <w:i w:val="0"/>
        </w:rPr>
        <w:t>平台允许一个城市租户订阅多套生命线系统，并为用户分别授予入口。租户管理员从统一门户进入权限中心、工单中心或已授权业务驾驶舱；具体业务管理员可直接进入对应业务系统。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70421"/>
            <wp:docPr id="3" name="Picture 3" descr="应用导航页面，展示权限中心、工单中心和业务系统入口" title="应用导航页面，展示权限中心、工单中心和业务系统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plication-por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0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图3 统一应用导航与按身份路由</w:t>
      </w:r>
    </w:p>
    <w:p>
      <w:pPr>
        <w:pStyle w:val="Heading2"/>
        <w:pageBreakBefore w:val="0"/>
      </w:pPr>
      <w:r>
        <w:t>6.1 供水工单与燃气施工人员的隔离示例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200"/>
        <w:gridCol w:w="4800"/>
        <w:gridCol w:w="2360"/>
      </w:tblGrid>
      <w:tr>
        <w:trPr>
          <w:tblHeader w:val="true"/>
          <w:cantSplit/>
        </w:trPr>
        <w:tc>
          <w:tcPr>
            <w:tcW w:type="dxa" w:w="2200"/>
            <w:shd w:fill="FFF5D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4800"/>
            <w:shd w:fill="FFF5D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仅有燃气权限的现场人员</w:t>
            </w:r>
          </w:p>
        </w:tc>
        <w:tc>
          <w:tcPr>
            <w:tcW w:type="dxa" w:w="2360"/>
            <w:shd w:fill="FFF5D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供水系统入口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未授权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不能进入供水系统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供水项目成员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不是成员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不具备项目数据权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供水工单列表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系统/项目上下文不匹配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列表不可见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供水任务候选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候选人与项目成员求交集后被排除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不能认领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例外</w:t>
            </w:r>
          </w:p>
        </w:tc>
        <w:tc>
          <w:tcPr>
            <w:tcW w:type="dxa" w:w="4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若显式授予供水入口并加入供水项目</w:t>
            </w:r>
          </w:p>
        </w:tc>
        <w:tc>
          <w:tcPr>
            <w:tcW w:type="dxa" w:w="2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可按项目角色参与协作</w:t>
            </w:r>
          </w:p>
        </w:tc>
      </w:tr>
    </w:tbl>
    <w:p>
      <w:pPr>
        <w:pStyle w:val="Heading1"/>
        <w:pageBreakBefore/>
      </w:pPr>
      <w:r>
        <w:t>7. 工单中心的业务闭环价值</w:t>
      </w:r>
    </w:p>
    <w:p>
      <w:pPr>
        <w:keepLines w:val="0"/>
        <w:spacing w:before="0"/>
      </w:pPr>
      <w:r>
        <w:rPr>
          <w:rFonts w:ascii="Calibri" w:hAnsi="Calibri" w:eastAsia="Microsoft YaHei"/>
          <w:b w:val="0"/>
          <w:i w:val="0"/>
        </w:rPr>
        <w:t>工单不只是记录问题，而是把系统、项目、组织、处理人、状态、SLA和操作记录绑定在同一个业务对象上。每一步动作都要同时通过功能权限、项目权限、数据范围和状态机校验。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43188"/>
            <wp:docPr id="4" name="Picture 4" descr="业务价值闭环图" title="业务价值闭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-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图5 从授权到审计的业务价值闭环</w:t>
      </w:r>
    </w:p>
    <w:p>
      <w:pPr>
        <w:pStyle w:val="Heading2"/>
        <w:pageBreakBefore w:val="0"/>
      </w:pPr>
      <w:r>
        <w:t>7.1 已形成的标准主流程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2500"/>
        <w:gridCol w:w="51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5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责任主体</w:t>
            </w:r>
          </w:p>
        </w:tc>
        <w:tc>
          <w:tcPr>
            <w:tcW w:type="dxa" w:w="51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权限与控制价值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建单/提交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发起人</w:t>
            </w:r>
          </w:p>
        </w:tc>
        <w:tc>
          <w:tcPr>
            <w:tcW w:type="dxa" w:w="5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校验建单权限和当前项目；草稿仅创建者提交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派单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调度或项目管理人员</w:t>
            </w:r>
          </w:p>
        </w:tc>
        <w:tc>
          <w:tcPr>
            <w:tcW w:type="dxa" w:w="5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目标组织必须属于项目；生成候选任务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认领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候选现场人员</w:t>
            </w:r>
          </w:p>
        </w:tc>
        <w:tc>
          <w:tcPr>
            <w:tcW w:type="dxa" w:w="5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候选人首人成功，避免多人重复处理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处理/转派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当前处理人</w:t>
            </w:r>
          </w:p>
        </w:tc>
        <w:tc>
          <w:tcPr>
            <w:tcW w:type="dxa" w:w="5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动作受处理权限、项目成员和状态约束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复核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复核人员</w:t>
            </w:r>
          </w:p>
        </w:tc>
        <w:tc>
          <w:tcPr>
            <w:tcW w:type="dxa" w:w="5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通过后完成；驳回后回到原处理人继续处置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关闭/归档</w:t>
            </w:r>
          </w:p>
        </w:tc>
        <w:tc>
          <w:tcPr>
            <w:tcW w:type="dxa" w:w="2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调度或复核方</w:t>
            </w:r>
          </w:p>
        </w:tc>
        <w:tc>
          <w:tcPr>
            <w:tcW w:type="dxa" w:w="5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关闭后主流程不可逆；完整保留时间线</w:t>
            </w:r>
          </w:p>
        </w:tc>
      </w:tr>
    </w:tbl>
    <w:p>
      <w:pPr>
        <w:pStyle w:val="Heading1"/>
        <w:pageBreakBefore/>
      </w:pPr>
      <w:r>
        <w:t>8. 工单过程可追溯与管理价值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4094068"/>
            <wp:docPr id="5" name="Picture 5" descr="当前系统工单关闭详情及时间线" title="当前系统工单关闭详情及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b-workorder-closed-timeline-foc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09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图6 已关闭工单的状态与动作时间线</w:t>
      </w:r>
    </w:p>
    <w:p>
      <w:pPr>
        <w:pStyle w:val="Heading2"/>
        <w:pageBreakBefore w:val="0"/>
      </w:pPr>
      <w:r>
        <w:t>8.1 对不同参与方的直接价值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参与方</w:t>
            </w:r>
          </w:p>
        </w:tc>
        <w:tc>
          <w:tcPr>
            <w:tcW w:type="dxa" w:w="706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可以获得的价值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平台方</w:t>
            </w:r>
          </w:p>
        </w:tc>
        <w:tc>
          <w:tcPr>
            <w:tcW w:type="dxa" w:w="7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统一管理租户和系统目录，形成可复用的SaaS治理底座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城市总体甲方</w:t>
            </w:r>
          </w:p>
        </w:tc>
        <w:tc>
          <w:tcPr>
            <w:tcW w:type="dxa" w:w="7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跨业务系统查看项目与工单总体情况，同时保留细分业务边界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业务甲方</w:t>
            </w:r>
          </w:p>
        </w:tc>
        <w:tc>
          <w:tcPr>
            <w:tcW w:type="dxa" w:w="7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聚焦一个或多个业务方向，掌握所属系统、项目和处置进度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监管/监理</w:t>
            </w:r>
          </w:p>
        </w:tc>
        <w:tc>
          <w:tcPr>
            <w:tcW w:type="dxa" w:w="7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按授权项目查看过程、复核结果和审计证据，不获得施工专属操作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施工单位</w:t>
            </w:r>
          </w:p>
        </w:tc>
        <w:tc>
          <w:tcPr>
            <w:tcW w:type="dxa" w:w="7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只接收被授权项目的候选任务，认领后明确个人责任与处理时限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系统管理员</w:t>
            </w:r>
          </w:p>
        </w:tc>
        <w:tc>
          <w:tcPr>
            <w:tcW w:type="dxa" w:w="70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集中维护组织、用户、角色和数据范围，减少分散配置</w:t>
            </w:r>
          </w:p>
        </w:tc>
      </w:tr>
    </w:tbl>
    <w:p>
      <w:pPr>
        <w:pStyle w:val="Heading1"/>
        <w:pageBreakBefore/>
      </w:pPr>
      <w:r>
        <w:t>9. 对产品建设和交付的价值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4300"/>
        <w:gridCol w:w="32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价值</w:t>
            </w:r>
          </w:p>
        </w:tc>
        <w:tc>
          <w:tcPr>
            <w:tcW w:type="dxa" w:w="430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具体表现</w:t>
            </w:r>
          </w:p>
        </w:tc>
        <w:tc>
          <w:tcPr>
            <w:tcW w:type="dxa" w:w="3260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可复用场景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统一底座</w:t>
            </w:r>
          </w:p>
        </w:tc>
        <w:tc>
          <w:tcPr>
            <w:tcW w:type="dxa" w:w="4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身份、组织、角色、系统、项目、工单共享同一授权上下文</w:t>
            </w:r>
          </w:p>
        </w:tc>
        <w:tc>
          <w:tcPr>
            <w:tcW w:type="dxa" w:w="32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供水、排水、燃气、供热、道路等业务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配置复用</w:t>
            </w:r>
          </w:p>
        </w:tc>
        <w:tc>
          <w:tcPr>
            <w:tcW w:type="dxa" w:w="4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租户可复用平台模板，再维护本地组织、用户和项目</w:t>
            </w:r>
          </w:p>
        </w:tc>
        <w:tc>
          <w:tcPr>
            <w:tcW w:type="dxa" w:w="32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新城市、新业务系统快速搭建演示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演示可解释</w:t>
            </w:r>
          </w:p>
        </w:tc>
        <w:tc>
          <w:tcPr>
            <w:tcW w:type="dxa" w:w="4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通过不同账号展示允许、拒绝、跨项目隔离和完整工单流转</w:t>
            </w:r>
          </w:p>
        </w:tc>
        <w:tc>
          <w:tcPr>
            <w:tcW w:type="dxa" w:w="32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售前演示、需求评审、用户培训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扩展基础</w:t>
            </w:r>
          </w:p>
        </w:tc>
        <w:tc>
          <w:tcPr>
            <w:tcW w:type="dxa" w:w="4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项目、组织和工单均有稳定主键和服务端权限链</w:t>
            </w:r>
          </w:p>
        </w:tc>
        <w:tc>
          <w:tcPr>
            <w:tcW w:type="dxa" w:w="32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驾驶舱、GIS、移动端、消息中心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回归基础</w:t>
            </w:r>
          </w:p>
        </w:tc>
        <w:tc>
          <w:tcPr>
            <w:tcW w:type="dxa" w:w="4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已有权限、项目和工单自动化测试资产</w:t>
            </w:r>
          </w:p>
        </w:tc>
        <w:tc>
          <w:tcPr>
            <w:tcW w:type="dxa" w:w="32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后续迭代防止跨租户/跨系统回归</w:t>
            </w:r>
          </w:p>
        </w:tc>
      </w:tr>
    </w:tbl>
    <w:p>
      <w:pPr>
        <w:pStyle w:val="Heading2"/>
        <w:pageBreakBefore w:val="0"/>
      </w:pPr>
      <w:r>
        <w:t>9.1 建议持续观察的业务指标</w:t>
      </w:r>
    </w:p>
    <w:p>
      <w:pPr>
        <w:spacing w:after="120" w:line="28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11827"/>
          <w:sz w:val="22"/>
        </w:rPr>
        <w:t>权限治理：账号开通时长、授权变更可追溯率、逾期授权回收率、跨域拒绝用例通过率。</w:t>
      </w:r>
    </w:p>
    <w:p>
      <w:pPr>
        <w:spacing w:after="120" w:line="28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11827"/>
          <w:sz w:val="22"/>
        </w:rPr>
        <w:t>工单效率：派单时长、首次响应时长、按期完成率、复核驳回率、重复转派次数。</w:t>
      </w:r>
    </w:p>
    <w:p>
      <w:pPr>
        <w:spacing w:after="120" w:line="28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11827"/>
          <w:sz w:val="22"/>
        </w:rPr>
        <w:t>协同质量：候选人匹配准确率、越权操作拦截数、跨组织协作工单占比、审计问题闭环时长。</w:t>
      </w:r>
    </w:p>
    <w:p>
      <w:pPr>
        <w:spacing w:after="120" w:line="28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11827"/>
          <w:sz w:val="22"/>
        </w:rPr>
        <w:t>平台复用：新增租户配置时长、新增业务系统接入时长、共用权限模板覆盖率。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5D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避免虚假收益承诺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当前系统证明的是治理模型和流程闭环可行。效率提升幅度、成本节约金额和SLA改善比例，应在真实项目试运行后通过上述指标测量，不应在演示阶段预设。</w:t>
            </w:r>
          </w:p>
        </w:tc>
      </w:tr>
    </w:tbl>
    <w:p>
      <w:pPr>
        <w:pStyle w:val="Heading1"/>
        <w:pageBreakBefore/>
      </w:pPr>
      <w:r>
        <w:t>10. 当前成熟度与使用边界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5D9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总体判断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当前版本已经适合产品演示、需求评审和受控环境下的内部试用；尚不能直接作为生产级多租户SaaS上线。</w:t>
            </w:r>
          </w:p>
        </w:tc>
      </w:tr>
    </w:tbl>
    <w:p>
      <w:pPr>
        <w:pStyle w:val="Heading2"/>
        <w:pageBreakBefore w:val="0"/>
      </w:pPr>
      <w:r>
        <w:t>10.1 当前可稳定演示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11827"/>
          <w:sz w:val="22"/>
        </w:rPr>
        <w:t>统一用户名密码登录、平台root选择租户、租户管理员和业务人员按身份路由。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11827"/>
          <w:sz w:val="22"/>
        </w:rPr>
        <w:t>组织树、用户多组织、角色权限、岗位、数据范围及主要IAM审计。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11827"/>
          <w:sz w:val="22"/>
        </w:rPr>
        <w:t>多业务系统入口隔离、项目参与组织、项目成员和项目角色授权。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11827"/>
          <w:sz w:val="22"/>
        </w:rPr>
        <w:t>工单建单、提交、派单、候选认领、处理、转派、复核、驳回、完成和关闭。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11827"/>
          <w:sz w:val="22"/>
        </w:rPr>
        <w:t>工单、流程实例和任务继承同一租户、系统和项目上下文。</w:t>
      </w:r>
    </w:p>
    <w:p>
      <w:pPr>
        <w:pStyle w:val="Heading2"/>
        <w:pageBreakBefore w:val="0"/>
      </w:pPr>
      <w:r>
        <w:t>10.2 生产化前必须继续补齐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200"/>
        <w:gridCol w:w="4850"/>
        <w:gridCol w:w="3310"/>
      </w:tblGrid>
      <w:tr>
        <w:trPr>
          <w:tblHeader w:val="true"/>
          <w:cantSplit/>
        </w:trPr>
        <w:tc>
          <w:tcPr>
            <w:tcW w:type="dxa" w:w="1200"/>
            <w:shd w:fill="FDECEC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优先级</w:t>
            </w:r>
          </w:p>
        </w:tc>
        <w:tc>
          <w:tcPr>
            <w:tcW w:type="dxa" w:w="4850"/>
            <w:shd w:fill="FDECEC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需要补齐的内容</w:t>
            </w:r>
          </w:p>
        </w:tc>
        <w:tc>
          <w:tcPr>
            <w:tcW w:type="dxa" w:w="3310"/>
            <w:shd w:fill="FDECEC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4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租户安全权限字典、平台root临时支持访问治理</w:t>
            </w:r>
          </w:p>
        </w:tc>
        <w:tc>
          <w:tcPr>
            <w:tcW w:type="dxa" w:w="33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防止跨租户配置污染和静默特权进入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4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CSRF、登录限流/锁定、MFA/SSO、生产Cookie</w:t>
            </w:r>
          </w:p>
        </w:tc>
        <w:tc>
          <w:tcPr>
            <w:tcW w:type="dxa" w:w="33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建立认证与会话安全基线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4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PostgreSQL、RLS和组合上下文约束</w:t>
            </w:r>
          </w:p>
        </w:tc>
        <w:tc>
          <w:tcPr>
            <w:tcW w:type="dxa" w:w="33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形成数据库层租户/系统/项目隔离兜底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4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候选任务最小可见、授权生命周期、职责分离</w:t>
            </w:r>
          </w:p>
        </w:tc>
        <w:tc>
          <w:tcPr>
            <w:tcW w:type="dxa" w:w="33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补齐任务体验和高风险授权治理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4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流程定义租户化、幂等与乐观锁、审计防篡改</w:t>
            </w:r>
          </w:p>
        </w:tc>
        <w:tc>
          <w:tcPr>
            <w:tcW w:type="dxa" w:w="33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提升流程并发可靠性和证据完整性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P2</w:t>
            </w:r>
          </w:p>
        </w:tc>
        <w:tc>
          <w:tcPr>
            <w:tcW w:type="dxa" w:w="48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字段、导出、附件、GIS图层与空间权限</w:t>
            </w:r>
          </w:p>
        </w:tc>
        <w:tc>
          <w:tcPr>
            <w:tcW w:type="dxa" w:w="33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支撑真实城市生命线精细化数据管控</w:t>
            </w:r>
          </w:p>
        </w:tc>
      </w:tr>
    </w:tbl>
    <w:p>
      <w:pPr>
        <w:pStyle w:val="Heading1"/>
        <w:pageBreakBefore/>
      </w:pPr>
      <w:r>
        <w:t>11. 最终价值结论</w:t>
      </w:r>
    </w:p>
    <w:p>
      <w:pPr>
        <w:keepLines w:val="0"/>
        <w:spacing w:before="0" w:after="160"/>
      </w:pPr>
      <w:r>
        <w:rPr>
          <w:rFonts w:ascii="Calibri" w:hAnsi="Calibri" w:eastAsia="Microsoft YaHei"/>
          <w:b w:val="0"/>
          <w:i w:val="0"/>
        </w:rPr>
        <w:t>这套系统最重要的价值，不是已经做出了多少管理页面，而是建立了一套可以解释、可以执行、可以验证的业务授权模型：</w:t>
      </w:r>
    </w:p>
    <w:p>
      <w:pPr>
        <w:spacing w:after="120" w:line="28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11827"/>
          <w:sz w:val="22"/>
        </w:rPr>
        <w:t>在平台层，用租户和系统入口管理“可以进入哪里”。</w:t>
      </w:r>
    </w:p>
    <w:p>
      <w:pPr>
        <w:spacing w:after="120" w:line="28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11827"/>
          <w:sz w:val="22"/>
        </w:rPr>
        <w:t>在项目层，用项目成员、参与组织和项目角色管理“可以参与哪些工程”。</w:t>
      </w:r>
    </w:p>
    <w:p>
      <w:pPr>
        <w:spacing w:after="120" w:line="28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11827"/>
          <w:sz w:val="22"/>
        </w:rPr>
        <w:t>在组织与角色层，用功能权限和数据范围管理“可以看什么、可以做什么”。</w:t>
      </w:r>
    </w:p>
    <w:p>
      <w:pPr>
        <w:spacing w:after="120" w:line="28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11827"/>
          <w:sz w:val="22"/>
        </w:rPr>
        <w:t>在工单层，把权限判断落到派单、认领、处理、复核和关闭等实际动作。</w:t>
      </w:r>
    </w:p>
    <w:p>
      <w:pPr>
        <w:spacing w:after="120" w:line="28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11827"/>
          <w:sz w:val="22"/>
        </w:rPr>
        <w:t>在审计层，保留授权变更和业务动作证据，支撑问题追溯与责任认定。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7F4F1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76B52"/>
                <w:sz w:val="21"/>
              </w:rPr>
              <w:t>产品定位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它已经具备成为城市生命线SaaS平台“统一权限与协同流程底座”的核心雏形。下一阶段应优先完成安全隔离和授权治理，再扩展生产级流程可靠性、GIS细粒度权限和运营指标。</w:t>
            </w:r>
          </w:p>
        </w:tc>
      </w:tr>
    </w:tbl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06894"/>
            <wp:docPr id="6" name="Picture 6" descr="燃气业务GIS驾驶舱静态演示页面" title="燃气业务GIS驾驶舱静态演示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as-gis-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6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图7 业务管理员按授权进入对应GIS驾驶舱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7"/>
      </w:rPr>
      <w:t xml:space="preserve">YF ADMIN WORKFLOW  ·  </w:t>
    </w:r>
    <w:r>
      <w:rPr>
        <w:rFonts w:ascii="Calibri" w:hAnsi="Calibri" w:eastAsia="Microsoft YaHei"/>
        <w:b w:val="0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5" w:color="D9E2EA"/>
      </w:pBdr>
    </w:pPr>
    <w:r>
      <w:rPr>
        <w:rFonts w:ascii="Calibri" w:hAnsi="Calibri" w:eastAsia="Microsoft YaHei"/>
        <w:b/>
        <w:color w:val="009688"/>
        <w:sz w:val="17"/>
      </w:rPr>
      <w:t>系统价值说明</w:t>
    </w:r>
    <w:r>
      <w:rPr>
        <w:rFonts w:ascii="Calibri" w:hAnsi="Calibri" w:eastAsia="Microsoft YaHei"/>
        <w:b w:val="0"/>
        <w:color w:val="667085"/>
        <w:sz w:val="17"/>
      </w:rPr>
      <w:t xml:space="preserve">  |  统一权限 + 工单中心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城市生命线统一权限系统与工单中心价值说明</dc:title>
  <dc:subject>统一权限、项目数据权限与工单流程产品价值</dc:subject>
  <dc:creator>YF Admin Workflow</dc:creator>
  <cp:keywords>城市生命线, SaaS, 权限系统, 工单中心, 项目权限, 数据隔离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