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FDC24" w14:textId="77777777" w:rsidR="00455A88" w:rsidRDefault="00455A88">
      <w:pPr>
        <w:spacing w:line="240" w:lineRule="auto"/>
        <w:rPr>
          <w:rFonts w:ascii="Google Sans" w:eastAsia="Google Sans" w:hAnsi="Google Sans" w:cs="Google Sans"/>
          <w:b/>
          <w:color w:val="0070C0"/>
          <w:u w:val="single"/>
        </w:rPr>
      </w:pPr>
    </w:p>
    <w:p w14:paraId="271D4166" w14:textId="77777777" w:rsidR="00455A88" w:rsidRDefault="0074019A">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6B43D595" w14:textId="0448C169" w:rsidR="00455A88" w:rsidRDefault="00455A88" w:rsidP="005B6B01">
      <w:pPr>
        <w:spacing w:after="200" w:line="360" w:lineRule="auto"/>
        <w:ind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55A88" w14:paraId="2D71AC7F" w14:textId="77777777">
        <w:trPr>
          <w:trHeight w:val="420"/>
        </w:trPr>
        <w:tc>
          <w:tcPr>
            <w:tcW w:w="2055" w:type="dxa"/>
            <w:shd w:val="clear" w:color="auto" w:fill="auto"/>
            <w:tcMar>
              <w:top w:w="100" w:type="dxa"/>
              <w:left w:w="100" w:type="dxa"/>
              <w:bottom w:w="100" w:type="dxa"/>
              <w:right w:w="100" w:type="dxa"/>
            </w:tcMar>
          </w:tcPr>
          <w:p w14:paraId="2465A706" w14:textId="77777777" w:rsidR="00455A88" w:rsidRDefault="0074019A">
            <w:pPr>
              <w:widowControl w:val="0"/>
              <w:spacing w:line="360" w:lineRule="auto"/>
              <w:rPr>
                <w:rFonts w:ascii="Google Sans" w:eastAsia="Google Sans" w:hAnsi="Google Sans" w:cs="Google Sans"/>
                <w:b/>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6AC54840" w14:textId="77777777" w:rsidR="00455A88" w:rsidRDefault="0074019A">
            <w:pPr>
              <w:widowControl w:val="0"/>
              <w:spacing w:line="360" w:lineRule="auto"/>
              <w:rPr>
                <w:rFonts w:ascii="Google Sans" w:eastAsia="Google Sans" w:hAnsi="Google Sans" w:cs="Google Sans"/>
              </w:rPr>
            </w:pPr>
            <w:r>
              <w:rPr>
                <w:rFonts w:ascii="Google Sans" w:eastAsia="Google Sans" w:hAnsi="Google Sans" w:cs="Google Sans"/>
              </w:rPr>
              <w:t>The company experienced a security event when all network services suddenly stopped responding. The cybersecurity team found the disruption was caused by a distributed denial</w:t>
            </w:r>
            <w:r>
              <w:rPr>
                <w:rFonts w:ascii="Google Sans" w:eastAsia="Google Sans" w:hAnsi="Google Sans" w:cs="Google Sans"/>
              </w:rPr>
              <w:t xml:space="preserve"> of services (DDoS) attack through a flood of incoming ICMP packets. The team responded by blocking the attack and stopping all non-critical network services, so that critical network services could be restored.</w:t>
            </w:r>
          </w:p>
        </w:tc>
      </w:tr>
      <w:tr w:rsidR="00455A88" w14:paraId="6DB6297F" w14:textId="77777777">
        <w:trPr>
          <w:trHeight w:val="420"/>
        </w:trPr>
        <w:tc>
          <w:tcPr>
            <w:tcW w:w="2055" w:type="dxa"/>
            <w:shd w:val="clear" w:color="auto" w:fill="auto"/>
            <w:tcMar>
              <w:top w:w="100" w:type="dxa"/>
              <w:left w:w="100" w:type="dxa"/>
              <w:bottom w:w="100" w:type="dxa"/>
              <w:right w:w="100" w:type="dxa"/>
            </w:tcMar>
          </w:tcPr>
          <w:p w14:paraId="7CF357AE" w14:textId="77777777" w:rsidR="00455A88" w:rsidRDefault="0074019A">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1E779C5C" w14:textId="77777777" w:rsidR="00455A88" w:rsidRDefault="0074019A">
            <w:pPr>
              <w:widowControl w:val="0"/>
              <w:spacing w:line="360" w:lineRule="auto"/>
              <w:rPr>
                <w:rFonts w:ascii="Google Sans" w:eastAsia="Google Sans" w:hAnsi="Google Sans" w:cs="Google Sans"/>
              </w:rPr>
            </w:pPr>
            <w:r>
              <w:rPr>
                <w:rFonts w:ascii="Google Sans" w:eastAsia="Google Sans" w:hAnsi="Google Sans" w:cs="Google Sans"/>
              </w:rPr>
              <w:t>A malicious actor or actors target</w:t>
            </w:r>
            <w:r>
              <w:rPr>
                <w:rFonts w:ascii="Google Sans" w:eastAsia="Google Sans" w:hAnsi="Google Sans" w:cs="Google Sans"/>
              </w:rPr>
              <w:t>ed the company with an ICMP flood attack. The entire internal network was affected. All critical network resources needed to be secured and restored to a functioning state.</w:t>
            </w:r>
          </w:p>
        </w:tc>
      </w:tr>
      <w:tr w:rsidR="00455A88" w14:paraId="62A9F975" w14:textId="77777777">
        <w:trPr>
          <w:trHeight w:val="420"/>
        </w:trPr>
        <w:tc>
          <w:tcPr>
            <w:tcW w:w="2055" w:type="dxa"/>
            <w:shd w:val="clear" w:color="auto" w:fill="auto"/>
            <w:tcMar>
              <w:top w:w="100" w:type="dxa"/>
              <w:left w:w="100" w:type="dxa"/>
              <w:bottom w:w="100" w:type="dxa"/>
              <w:right w:w="100" w:type="dxa"/>
            </w:tcMar>
          </w:tcPr>
          <w:p w14:paraId="0062D032" w14:textId="77777777" w:rsidR="00455A88" w:rsidRDefault="0074019A">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69D9C6BC" w14:textId="77777777" w:rsidR="00455A88" w:rsidRDefault="0074019A">
            <w:pPr>
              <w:widowControl w:val="0"/>
              <w:spacing w:line="360" w:lineRule="auto"/>
              <w:rPr>
                <w:rFonts w:ascii="Google Sans" w:eastAsia="Google Sans" w:hAnsi="Google Sans" w:cs="Google Sans"/>
              </w:rPr>
            </w:pPr>
            <w:r>
              <w:rPr>
                <w:rFonts w:ascii="Google Sans" w:eastAsia="Google Sans" w:hAnsi="Google Sans" w:cs="Google Sans"/>
              </w:rPr>
              <w:t>The cybersecurity team implemented a new firewall rule to limit the rate o</w:t>
            </w:r>
            <w:r>
              <w:rPr>
                <w:rFonts w:ascii="Google Sans" w:eastAsia="Google Sans" w:hAnsi="Google Sans" w:cs="Google Sans"/>
              </w:rPr>
              <w:t>f incoming ICMP packets and an IDS/IPS system to filter out some ICMP traffic based on suspicious characteristics.</w:t>
            </w:r>
          </w:p>
        </w:tc>
      </w:tr>
      <w:tr w:rsidR="00455A88" w14:paraId="060D01B1" w14:textId="77777777">
        <w:trPr>
          <w:trHeight w:val="1061"/>
        </w:trPr>
        <w:tc>
          <w:tcPr>
            <w:tcW w:w="2055" w:type="dxa"/>
            <w:shd w:val="clear" w:color="auto" w:fill="auto"/>
            <w:tcMar>
              <w:top w:w="100" w:type="dxa"/>
              <w:left w:w="100" w:type="dxa"/>
              <w:bottom w:w="100" w:type="dxa"/>
              <w:right w:w="100" w:type="dxa"/>
            </w:tcMar>
          </w:tcPr>
          <w:p w14:paraId="2DD3D998" w14:textId="77777777" w:rsidR="00455A88" w:rsidRDefault="0074019A">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334F58C3" w14:textId="77777777" w:rsidR="00455A88" w:rsidRDefault="0074019A">
            <w:pPr>
              <w:widowControl w:val="0"/>
              <w:spacing w:line="360" w:lineRule="auto"/>
              <w:rPr>
                <w:rFonts w:ascii="Google Sans" w:eastAsia="Google Sans" w:hAnsi="Google Sans" w:cs="Google Sans"/>
              </w:rPr>
            </w:pPr>
            <w:r>
              <w:rPr>
                <w:rFonts w:ascii="Google Sans" w:eastAsia="Google Sans" w:hAnsi="Google Sans" w:cs="Google Sans"/>
              </w:rPr>
              <w:t xml:space="preserve">The cybersecurity team configured source IP address verification on the firewall to check for spoofed IP addresses on incoming ICMP packets and implemented network monitoring software to detect abnormal traffic patterns. </w:t>
            </w:r>
          </w:p>
        </w:tc>
      </w:tr>
      <w:tr w:rsidR="00455A88" w14:paraId="0E6AC8AC" w14:textId="77777777">
        <w:trPr>
          <w:trHeight w:val="420"/>
        </w:trPr>
        <w:tc>
          <w:tcPr>
            <w:tcW w:w="2055" w:type="dxa"/>
            <w:shd w:val="clear" w:color="auto" w:fill="auto"/>
            <w:tcMar>
              <w:top w:w="100" w:type="dxa"/>
              <w:left w:w="100" w:type="dxa"/>
              <w:bottom w:w="100" w:type="dxa"/>
              <w:right w:w="100" w:type="dxa"/>
            </w:tcMar>
          </w:tcPr>
          <w:p w14:paraId="3C069667" w14:textId="77777777" w:rsidR="00455A88" w:rsidRDefault="0074019A">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63C4C29C" w14:textId="77777777" w:rsidR="00455A88" w:rsidRDefault="0074019A">
            <w:pPr>
              <w:widowControl w:val="0"/>
              <w:spacing w:line="360" w:lineRule="auto"/>
              <w:rPr>
                <w:rFonts w:ascii="Google Sans" w:eastAsia="Google Sans" w:hAnsi="Google Sans" w:cs="Google Sans"/>
              </w:rPr>
            </w:pPr>
            <w:r>
              <w:rPr>
                <w:rFonts w:ascii="Google Sans" w:eastAsia="Google Sans" w:hAnsi="Google Sans" w:cs="Google Sans"/>
              </w:rPr>
              <w:t>For future security event</w:t>
            </w:r>
            <w:r>
              <w:rPr>
                <w:rFonts w:ascii="Google Sans" w:eastAsia="Google Sans" w:hAnsi="Google Sans" w:cs="Google Sans"/>
              </w:rPr>
              <w:t>s, the cybersecurity team will isolate affected systems to prevent further disruption to the network. They will attempt to restore any critical systems and services that were disrupted by the event. Then, the team will analyze network logs to check for sus</w:t>
            </w:r>
            <w:r>
              <w:rPr>
                <w:rFonts w:ascii="Google Sans" w:eastAsia="Google Sans" w:hAnsi="Google Sans" w:cs="Google Sans"/>
              </w:rPr>
              <w:t>picious and abnormal activity. The team will also report all incidents to upper management and appropriate legal authorities, if applicable.</w:t>
            </w:r>
          </w:p>
        </w:tc>
      </w:tr>
      <w:tr w:rsidR="00455A88" w14:paraId="5E7260B4" w14:textId="77777777">
        <w:trPr>
          <w:trHeight w:val="420"/>
        </w:trPr>
        <w:tc>
          <w:tcPr>
            <w:tcW w:w="2055" w:type="dxa"/>
            <w:shd w:val="clear" w:color="auto" w:fill="auto"/>
            <w:tcMar>
              <w:top w:w="100" w:type="dxa"/>
              <w:left w:w="100" w:type="dxa"/>
              <w:bottom w:w="100" w:type="dxa"/>
              <w:right w:w="100" w:type="dxa"/>
            </w:tcMar>
          </w:tcPr>
          <w:p w14:paraId="31A11479" w14:textId="77777777" w:rsidR="00455A88" w:rsidRDefault="0074019A">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0B9B4352" w14:textId="77777777" w:rsidR="00455A88" w:rsidRDefault="0074019A">
            <w:pPr>
              <w:widowControl w:val="0"/>
              <w:spacing w:line="360" w:lineRule="auto"/>
              <w:rPr>
                <w:rFonts w:ascii="Google Sans" w:eastAsia="Google Sans" w:hAnsi="Google Sans" w:cs="Google Sans"/>
              </w:rPr>
            </w:pPr>
            <w:r>
              <w:rPr>
                <w:rFonts w:ascii="Google Sans" w:eastAsia="Google Sans" w:hAnsi="Google Sans" w:cs="Google Sans"/>
              </w:rPr>
              <w:t>To recover from a DDoS attack by ICMP flooding, access to network services need to be restored to a normal</w:t>
            </w:r>
            <w:r>
              <w:rPr>
                <w:rFonts w:ascii="Google Sans" w:eastAsia="Google Sans" w:hAnsi="Google Sans" w:cs="Google Sans"/>
              </w:rPr>
              <w:t xml:space="preserve"> functioning state. In the future, external ICMP flood attacks can be blocked at the firewall. Then, all non-critical network services should be stopped to reduce internal network traffic. Next, critical network services should be restored first. Finally, </w:t>
            </w:r>
            <w:r>
              <w:rPr>
                <w:rFonts w:ascii="Google Sans" w:eastAsia="Google Sans" w:hAnsi="Google Sans" w:cs="Google Sans"/>
              </w:rPr>
              <w:t>once the flood of ICMP packets have timed out, all non-critical network systems and services can be brought back online.</w:t>
            </w:r>
          </w:p>
        </w:tc>
      </w:tr>
    </w:tbl>
    <w:p w14:paraId="64F4B0E8" w14:textId="77777777" w:rsidR="00455A88" w:rsidRDefault="00455A88">
      <w:pPr>
        <w:spacing w:after="200" w:line="360" w:lineRule="auto"/>
        <w:ind w:left="-360" w:right="-360"/>
        <w:rPr>
          <w:rFonts w:ascii="Google Sans" w:eastAsia="Google Sans" w:hAnsi="Google Sans" w:cs="Google Sans"/>
        </w:rPr>
      </w:pPr>
    </w:p>
    <w:p w14:paraId="1A33941E" w14:textId="77777777" w:rsidR="00455A88" w:rsidRDefault="0074019A">
      <w:pPr>
        <w:spacing w:after="200" w:line="360" w:lineRule="auto"/>
        <w:ind w:left="-360" w:right="-360"/>
        <w:rPr>
          <w:rFonts w:ascii="Google Sans" w:eastAsia="Google Sans" w:hAnsi="Google Sans" w:cs="Google Sans"/>
        </w:rPr>
      </w:pPr>
      <w:r>
        <w:rPr>
          <w:noProof/>
        </w:rPr>
        <w:pict w14:anchorId="137C3439">
          <v:rect id="_x0000_i1025" alt="" style="width:468pt;height:.05pt;mso-width-percent:0;mso-height-percent:0;mso-width-percent:0;mso-height-percent:0" o:hralign="center" o:hrstd="t" o:hr="t" fillcolor="#a0a0a0" stroked="f"/>
        </w:pict>
      </w:r>
    </w:p>
    <w:p w14:paraId="47C60296" w14:textId="77777777" w:rsidR="00455A88" w:rsidRDefault="00455A88">
      <w:pPr>
        <w:spacing w:line="360" w:lineRule="auto"/>
        <w:ind w:left="-360" w:right="-360"/>
        <w:rPr>
          <w:rFonts w:ascii="Google Sans" w:eastAsia="Google Sans" w:hAnsi="Google Sans" w:cs="Google Sans"/>
        </w:rPr>
      </w:pPr>
    </w:p>
    <w:tbl>
      <w:tblPr>
        <w:tblStyle w:val="a0"/>
        <w:tblW w:w="1006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455A88" w14:paraId="3F9D4A6D" w14:textId="77777777">
        <w:tc>
          <w:tcPr>
            <w:tcW w:w="10065" w:type="dxa"/>
            <w:shd w:val="clear" w:color="auto" w:fill="auto"/>
            <w:tcMar>
              <w:top w:w="100" w:type="dxa"/>
              <w:left w:w="100" w:type="dxa"/>
              <w:bottom w:w="100" w:type="dxa"/>
              <w:right w:w="100" w:type="dxa"/>
            </w:tcMar>
          </w:tcPr>
          <w:p w14:paraId="125E1D78" w14:textId="77777777" w:rsidR="00455A88" w:rsidRDefault="0074019A">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103D1C88" w14:textId="77777777" w:rsidR="00455A88" w:rsidRDefault="00455A88">
      <w:pPr>
        <w:spacing w:line="360" w:lineRule="auto"/>
        <w:ind w:left="-360" w:right="-360"/>
        <w:rPr>
          <w:rFonts w:ascii="Google Sans" w:eastAsia="Google Sans" w:hAnsi="Google Sans" w:cs="Google Sans"/>
        </w:rPr>
      </w:pPr>
      <w:bookmarkStart w:id="0" w:name="_GoBack"/>
      <w:bookmarkEnd w:id="0"/>
    </w:p>
    <w:sectPr w:rsidR="00455A88">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4E091" w14:textId="77777777" w:rsidR="0074019A" w:rsidRDefault="0074019A">
      <w:pPr>
        <w:spacing w:line="240" w:lineRule="auto"/>
      </w:pPr>
      <w:r>
        <w:separator/>
      </w:r>
    </w:p>
  </w:endnote>
  <w:endnote w:type="continuationSeparator" w:id="0">
    <w:p w14:paraId="2358FBA5" w14:textId="77777777" w:rsidR="0074019A" w:rsidRDefault="00740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4BFFA" w14:textId="77777777" w:rsidR="00455A88" w:rsidRDefault="00455A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159DF" w14:textId="77777777" w:rsidR="0074019A" w:rsidRDefault="0074019A">
      <w:pPr>
        <w:spacing w:line="240" w:lineRule="auto"/>
      </w:pPr>
      <w:r>
        <w:separator/>
      </w:r>
    </w:p>
  </w:footnote>
  <w:footnote w:type="continuationSeparator" w:id="0">
    <w:p w14:paraId="4D52EE5D" w14:textId="77777777" w:rsidR="0074019A" w:rsidRDefault="007401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AB7E" w14:textId="77777777" w:rsidR="00455A88" w:rsidRDefault="00455A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06DD0" w14:textId="77777777" w:rsidR="00455A88" w:rsidRDefault="0074019A">
    <w:r>
      <w:rPr>
        <w:noProof/>
      </w:rPr>
      <w:drawing>
        <wp:inline distT="114300" distB="114300" distL="114300" distR="114300" wp14:anchorId="79505714" wp14:editId="1A299E5E">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A88"/>
    <w:rsid w:val="00455A88"/>
    <w:rsid w:val="005B6B01"/>
    <w:rsid w:val="0074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CF48"/>
  <w15:docId w15:val="{7154B457-4C09-0B43-BAD4-55FB2DB2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2024-10-11T17:47:00Z</dcterms:created>
  <dcterms:modified xsi:type="dcterms:W3CDTF">2024-10-11T17:48:00Z</dcterms:modified>
</cp:coreProperties>
</file>