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EFFA0" w14:textId="77777777" w:rsidR="007A6993" w:rsidRDefault="0037077E">
      <w:pPr>
        <w:pStyle w:val="Title"/>
      </w:pPr>
      <w:bookmarkStart w:id="0" w:name="_pvribamujkc3" w:colFirst="0" w:colLast="0"/>
      <w:bookmarkEnd w:id="0"/>
      <w:r>
        <w:t>Startup Profitability Analysis Report</w:t>
      </w:r>
    </w:p>
    <w:p w14:paraId="434EFFA1" w14:textId="77777777" w:rsidR="007A6993" w:rsidRDefault="0037077E">
      <w:pPr>
        <w:pStyle w:val="Heading1"/>
      </w:pPr>
      <w:bookmarkStart w:id="1" w:name="_u5onr5hxqcyf" w:colFirst="0" w:colLast="0"/>
      <w:bookmarkEnd w:id="1"/>
      <w:r>
        <w:t>1. Problem Understanding</w:t>
      </w:r>
    </w:p>
    <w:p w14:paraId="434EFFA2" w14:textId="1FCC86CC" w:rsidR="007A6993" w:rsidRDefault="0037077E">
      <w:r>
        <w:t xml:space="preserve">The objective of this analysis is to evaluate how three primary operational expenditures </w:t>
      </w:r>
      <w:r>
        <w:t xml:space="preserve">Research &amp; Development, Administration, and Marketing </w:t>
      </w:r>
      <w:r>
        <w:t>affect the overall net profit of 50 startups operating in California, New York, and Florida. By applying Multiple Linear Regression, we identify the strongest financial drivers to inform future capital allocation strategies and predict the profitability of incoming startup profiles.</w:t>
      </w:r>
    </w:p>
    <w:p w14:paraId="434EFFA3" w14:textId="77777777" w:rsidR="007A6993" w:rsidRDefault="0037077E">
      <w:pPr>
        <w:pStyle w:val="Heading1"/>
      </w:pPr>
      <w:bookmarkStart w:id="2" w:name="_ye6ji2vmps6d" w:colFirst="0" w:colLast="0"/>
      <w:bookmarkEnd w:id="2"/>
      <w:r>
        <w:t>2. Regression Analysis Outcomes</w:t>
      </w:r>
    </w:p>
    <w:p w14:paraId="434EFFA4" w14:textId="77777777" w:rsidR="007A6993" w:rsidRDefault="0037077E">
      <w:r>
        <w:t>The regression model demonstrates a highly robust fit, with an Adjusted R Square of 0.9475, indicating that approximately 94.7% of the variation in profit is explained by the three independent variables.</w:t>
      </w:r>
    </w:p>
    <w:p w14:paraId="434EFFA5" w14:textId="77777777" w:rsidR="007A6993" w:rsidRDefault="007A6993">
      <w:pPr>
        <w:widowControl w:val="0"/>
        <w:pBdr>
          <w:top w:val="nil"/>
          <w:left w:val="nil"/>
          <w:bottom w:val="nil"/>
          <w:right w:val="nil"/>
          <w:between w:val="nil"/>
        </w:pBdr>
        <w:spacing w:line="276" w:lineRule="auto"/>
      </w:pPr>
    </w:p>
    <w:p w14:paraId="434EFFA6" w14:textId="77777777" w:rsidR="007A6993" w:rsidRDefault="0037077E">
      <w:pPr>
        <w:numPr>
          <w:ilvl w:val="0"/>
          <w:numId w:val="1"/>
        </w:numPr>
      </w:pPr>
      <w:r>
        <w:rPr>
          <w:b/>
          <w:bCs/>
        </w:rPr>
        <w:t>R&amp;D Spend</w:t>
      </w:r>
      <w:r>
        <w:t xml:space="preserve"> is the most critical factor. The coefficient of 0.8057 confirms a strong positive correlation with net profit, backed by absolute statistical significance (p &lt; 0.001).</w:t>
      </w:r>
    </w:p>
    <w:p w14:paraId="434EFFA7" w14:textId="77777777" w:rsidR="007A6993" w:rsidRDefault="0037077E">
      <w:pPr>
        <w:numPr>
          <w:ilvl w:val="0"/>
          <w:numId w:val="1"/>
        </w:numPr>
      </w:pPr>
      <w:r>
        <w:rPr>
          <w:b/>
          <w:bCs/>
        </w:rPr>
        <w:t>Marketing Spend</w:t>
      </w:r>
      <w:r>
        <w:t xml:space="preserve"> provides a minor positive contribution (coefficient 0.0272) but is not statistically significant at the 95% confidence interval (p = 0.104).</w:t>
      </w:r>
    </w:p>
    <w:p w14:paraId="434EFFA8" w14:textId="77777777" w:rsidR="007A6993" w:rsidRDefault="0037077E">
      <w:pPr>
        <w:numPr>
          <w:ilvl w:val="0"/>
          <w:numId w:val="1"/>
        </w:numPr>
      </w:pPr>
      <w:r>
        <w:rPr>
          <w:b/>
          <w:bCs/>
        </w:rPr>
        <w:t>Administration</w:t>
      </w:r>
      <w:r>
        <w:t xml:space="preserve"> represents a financial drain on profit margins (coefficient -0.0268).</w:t>
      </w:r>
    </w:p>
    <w:p w14:paraId="434EFFA9" w14:textId="77777777" w:rsidR="007A6993" w:rsidRDefault="007A6993">
      <w:pPr>
        <w:widowControl w:val="0"/>
        <w:pBdr>
          <w:top w:val="nil"/>
          <w:left w:val="nil"/>
          <w:bottom w:val="nil"/>
          <w:right w:val="nil"/>
          <w:between w:val="nil"/>
        </w:pBdr>
        <w:spacing w:line="276" w:lineRule="auto"/>
      </w:pPr>
    </w:p>
    <w:p w14:paraId="434EFFAA" w14:textId="77777777" w:rsidR="007A6993" w:rsidRDefault="007A6993"/>
    <w:tbl>
      <w:tblPr>
        <w:tblStyle w:val="a"/>
        <w:tblW w:w="9360" w:type="dxa"/>
        <w:tblInd w:w="0" w:type="dxa"/>
        <w:tblBorders>
          <w:top w:val="single" w:sz="8" w:space="0" w:color="E2E8F0"/>
          <w:left w:val="nil"/>
          <w:bottom w:val="single" w:sz="8" w:space="0" w:color="E2E8F0"/>
          <w:right w:val="nil"/>
          <w:insideH w:val="single" w:sz="4" w:space="0" w:color="F1F5F9"/>
          <w:insideV w:val="nil"/>
        </w:tblBorders>
        <w:tblLayout w:type="fixed"/>
        <w:tblLook w:val="0620" w:firstRow="1" w:lastRow="0" w:firstColumn="0" w:lastColumn="0" w:noHBand="1" w:noVBand="1"/>
      </w:tblPr>
      <w:tblGrid>
        <w:gridCol w:w="2340"/>
        <w:gridCol w:w="2340"/>
        <w:gridCol w:w="2340"/>
        <w:gridCol w:w="2340"/>
      </w:tblGrid>
      <w:tr w:rsidR="007A6993" w14:paraId="434EFFAF" w14:textId="77777777" w:rsidTr="007A6993">
        <w:trPr>
          <w:cnfStyle w:val="100000000000" w:firstRow="1" w:lastRow="0" w:firstColumn="0" w:lastColumn="0" w:oddVBand="0" w:evenVBand="0" w:oddHBand="0" w:evenHBand="0" w:firstRowFirstColumn="0" w:firstRowLastColumn="0" w:lastRowFirstColumn="0" w:lastRowLastColumn="0"/>
          <w:tblHeader/>
        </w:trPr>
        <w:tc>
          <w:tcPr>
            <w:tcW w:w="2340" w:type="dxa"/>
          </w:tcPr>
          <w:p w14:paraId="434EFFAB" w14:textId="77777777" w:rsidR="007A6993" w:rsidRDefault="0037077E">
            <w:r>
              <w:t>Variable</w:t>
            </w:r>
          </w:p>
        </w:tc>
        <w:tc>
          <w:tcPr>
            <w:tcW w:w="2340" w:type="dxa"/>
          </w:tcPr>
          <w:p w14:paraId="434EFFAC" w14:textId="77777777" w:rsidR="007A6993" w:rsidRDefault="0037077E">
            <w:r>
              <w:t>Coefficient</w:t>
            </w:r>
          </w:p>
        </w:tc>
        <w:tc>
          <w:tcPr>
            <w:tcW w:w="2340" w:type="dxa"/>
          </w:tcPr>
          <w:p w14:paraId="434EFFAD" w14:textId="77777777" w:rsidR="007A6993" w:rsidRDefault="0037077E">
            <w:r>
              <w:t>Statistical Significance</w:t>
            </w:r>
          </w:p>
        </w:tc>
        <w:tc>
          <w:tcPr>
            <w:tcW w:w="2340" w:type="dxa"/>
          </w:tcPr>
          <w:p w14:paraId="434EFFAE" w14:textId="77777777" w:rsidR="007A6993" w:rsidRDefault="0037077E">
            <w:r>
              <w:t>Impact Summary</w:t>
            </w:r>
          </w:p>
        </w:tc>
      </w:tr>
      <w:tr w:rsidR="007A6993" w14:paraId="434EFFB4" w14:textId="77777777" w:rsidTr="007A6993">
        <w:tc>
          <w:tcPr>
            <w:tcW w:w="2340" w:type="dxa"/>
          </w:tcPr>
          <w:p w14:paraId="434EFFB0" w14:textId="77777777" w:rsidR="007A6993" w:rsidRDefault="0037077E">
            <w:r>
              <w:rPr>
                <w:b/>
                <w:bCs/>
              </w:rPr>
              <w:t>R&amp;D Spend</w:t>
            </w:r>
          </w:p>
        </w:tc>
        <w:tc>
          <w:tcPr>
            <w:tcW w:w="2340" w:type="dxa"/>
          </w:tcPr>
          <w:p w14:paraId="434EFFB1" w14:textId="77777777" w:rsidR="007A6993" w:rsidRDefault="0037077E">
            <w:r>
              <w:t>+0.8057</w:t>
            </w:r>
          </w:p>
        </w:tc>
        <w:tc>
          <w:tcPr>
            <w:tcW w:w="2340" w:type="dxa"/>
          </w:tcPr>
          <w:p w14:paraId="434EFFB2" w14:textId="77777777" w:rsidR="007A6993" w:rsidRDefault="0037077E">
            <w:r>
              <w:t>p &lt; 0.001</w:t>
            </w:r>
          </w:p>
        </w:tc>
        <w:tc>
          <w:tcPr>
            <w:tcW w:w="2340" w:type="dxa"/>
          </w:tcPr>
          <w:p w14:paraId="434EFFB3" w14:textId="77777777" w:rsidR="007A6993" w:rsidRDefault="0037077E">
            <w:r>
              <w:t>Primary positive driver of net profit</w:t>
            </w:r>
          </w:p>
        </w:tc>
      </w:tr>
      <w:tr w:rsidR="007A6993" w14:paraId="434EFFB9" w14:textId="77777777" w:rsidTr="007A6993">
        <w:tc>
          <w:tcPr>
            <w:tcW w:w="2340" w:type="dxa"/>
          </w:tcPr>
          <w:p w14:paraId="434EFFB5" w14:textId="77777777" w:rsidR="007A6993" w:rsidRDefault="0037077E">
            <w:r>
              <w:rPr>
                <w:b/>
                <w:bCs/>
              </w:rPr>
              <w:t>Marketing Spend</w:t>
            </w:r>
          </w:p>
        </w:tc>
        <w:tc>
          <w:tcPr>
            <w:tcW w:w="2340" w:type="dxa"/>
          </w:tcPr>
          <w:p w14:paraId="434EFFB6" w14:textId="77777777" w:rsidR="007A6993" w:rsidRDefault="0037077E">
            <w:r>
              <w:t>+0.0272</w:t>
            </w:r>
          </w:p>
        </w:tc>
        <w:tc>
          <w:tcPr>
            <w:tcW w:w="2340" w:type="dxa"/>
          </w:tcPr>
          <w:p w14:paraId="434EFFB7" w14:textId="77777777" w:rsidR="007A6993" w:rsidRDefault="0037077E">
            <w:r>
              <w:t>p = 0.104</w:t>
            </w:r>
          </w:p>
        </w:tc>
        <w:tc>
          <w:tcPr>
            <w:tcW w:w="2340" w:type="dxa"/>
          </w:tcPr>
          <w:p w14:paraId="434EFFB8" w14:textId="77777777" w:rsidR="007A6993" w:rsidRDefault="0037077E">
            <w:r>
              <w:t>Minor positive effect, not significant</w:t>
            </w:r>
          </w:p>
        </w:tc>
      </w:tr>
      <w:tr w:rsidR="007A6993" w14:paraId="434EFFBE" w14:textId="77777777" w:rsidTr="007A6993">
        <w:tc>
          <w:tcPr>
            <w:tcW w:w="2340" w:type="dxa"/>
          </w:tcPr>
          <w:p w14:paraId="434EFFBA" w14:textId="77777777" w:rsidR="007A6993" w:rsidRDefault="0037077E">
            <w:r>
              <w:rPr>
                <w:b/>
                <w:bCs/>
              </w:rPr>
              <w:lastRenderedPageBreak/>
              <w:t>Administration</w:t>
            </w:r>
          </w:p>
        </w:tc>
        <w:tc>
          <w:tcPr>
            <w:tcW w:w="2340" w:type="dxa"/>
          </w:tcPr>
          <w:p w14:paraId="434EFFBB" w14:textId="77777777" w:rsidR="007A6993" w:rsidRDefault="0037077E">
            <w:r>
              <w:t>-0.0268</w:t>
            </w:r>
          </w:p>
        </w:tc>
        <w:tc>
          <w:tcPr>
            <w:tcW w:w="2340" w:type="dxa"/>
          </w:tcPr>
          <w:p w14:paraId="434EFFBC" w14:textId="77777777" w:rsidR="007A6993" w:rsidRDefault="0037077E">
            <w:r>
              <w:t>Non-significant</w:t>
            </w:r>
          </w:p>
        </w:tc>
        <w:tc>
          <w:tcPr>
            <w:tcW w:w="2340" w:type="dxa"/>
          </w:tcPr>
          <w:p w14:paraId="434EFFBD" w14:textId="77777777" w:rsidR="007A6993" w:rsidRDefault="0037077E">
            <w:r>
              <w:t>Financial drain on profit margins</w:t>
            </w:r>
          </w:p>
        </w:tc>
      </w:tr>
    </w:tbl>
    <w:p w14:paraId="434EFFBF" w14:textId="77777777" w:rsidR="007A6993" w:rsidRDefault="0037077E">
      <w:pPr>
        <w:pStyle w:val="Heading1"/>
      </w:pPr>
      <w:bookmarkStart w:id="3" w:name="_oj67o7fttw0x" w:colFirst="0" w:colLast="0"/>
      <w:bookmarkEnd w:id="3"/>
      <w:r>
        <w:t>3. Predictions</w:t>
      </w:r>
    </w:p>
    <w:p w14:paraId="434EFFC0" w14:textId="77777777" w:rsidR="007A6993" w:rsidRDefault="0037077E">
      <w:r>
        <w:t>Using the established linear equation, profitability was forecast for two hypothetical profiles:</w:t>
      </w:r>
    </w:p>
    <w:p w14:paraId="434EFFC1" w14:textId="77777777" w:rsidR="007A6993" w:rsidRDefault="007A6993">
      <w:pPr>
        <w:widowControl w:val="0"/>
        <w:pBdr>
          <w:top w:val="nil"/>
          <w:left w:val="nil"/>
          <w:bottom w:val="nil"/>
          <w:right w:val="nil"/>
          <w:between w:val="nil"/>
        </w:pBdr>
        <w:spacing w:line="276" w:lineRule="auto"/>
      </w:pPr>
    </w:p>
    <w:p w14:paraId="434EFFC2" w14:textId="77777777" w:rsidR="007A6993" w:rsidRDefault="007A6993"/>
    <w:tbl>
      <w:tblPr>
        <w:tblStyle w:val="a0"/>
        <w:tblW w:w="9360" w:type="dxa"/>
        <w:tblInd w:w="0" w:type="dxa"/>
        <w:tblBorders>
          <w:top w:val="single" w:sz="8" w:space="0" w:color="E2E8F0"/>
          <w:left w:val="nil"/>
          <w:bottom w:val="single" w:sz="8" w:space="0" w:color="E2E8F0"/>
          <w:right w:val="nil"/>
          <w:insideH w:val="single" w:sz="4" w:space="0" w:color="F1F5F9"/>
          <w:insideV w:val="nil"/>
        </w:tblBorders>
        <w:tblLayout w:type="fixed"/>
        <w:tblLook w:val="0620" w:firstRow="1" w:lastRow="0" w:firstColumn="0" w:lastColumn="0" w:noHBand="1" w:noVBand="1"/>
      </w:tblPr>
      <w:tblGrid>
        <w:gridCol w:w="1872"/>
        <w:gridCol w:w="1872"/>
        <w:gridCol w:w="1872"/>
        <w:gridCol w:w="1872"/>
        <w:gridCol w:w="1872"/>
      </w:tblGrid>
      <w:tr w:rsidR="007A6993" w14:paraId="434EFFC8" w14:textId="77777777" w:rsidTr="007A6993">
        <w:trPr>
          <w:cnfStyle w:val="100000000000" w:firstRow="1" w:lastRow="0" w:firstColumn="0" w:lastColumn="0" w:oddVBand="0" w:evenVBand="0" w:oddHBand="0" w:evenHBand="0" w:firstRowFirstColumn="0" w:firstRowLastColumn="0" w:lastRowFirstColumn="0" w:lastRowLastColumn="0"/>
          <w:tblHeader/>
        </w:trPr>
        <w:tc>
          <w:tcPr>
            <w:tcW w:w="1872" w:type="dxa"/>
          </w:tcPr>
          <w:p w14:paraId="434EFFC3" w14:textId="77777777" w:rsidR="007A6993" w:rsidRDefault="0037077E">
            <w:r>
              <w:t>Profile</w:t>
            </w:r>
          </w:p>
        </w:tc>
        <w:tc>
          <w:tcPr>
            <w:tcW w:w="1872" w:type="dxa"/>
          </w:tcPr>
          <w:p w14:paraId="434EFFC4" w14:textId="77777777" w:rsidR="007A6993" w:rsidRDefault="0037077E">
            <w:r>
              <w:t>R&amp;D Spend</w:t>
            </w:r>
          </w:p>
        </w:tc>
        <w:tc>
          <w:tcPr>
            <w:tcW w:w="1872" w:type="dxa"/>
          </w:tcPr>
          <w:p w14:paraId="434EFFC5" w14:textId="77777777" w:rsidR="007A6993" w:rsidRDefault="0037077E">
            <w:r>
              <w:t>Admin Spend</w:t>
            </w:r>
          </w:p>
        </w:tc>
        <w:tc>
          <w:tcPr>
            <w:tcW w:w="1872" w:type="dxa"/>
          </w:tcPr>
          <w:p w14:paraId="434EFFC6" w14:textId="77777777" w:rsidR="007A6993" w:rsidRDefault="0037077E">
            <w:r>
              <w:t>Marketing Spend</w:t>
            </w:r>
          </w:p>
        </w:tc>
        <w:tc>
          <w:tcPr>
            <w:tcW w:w="1872" w:type="dxa"/>
          </w:tcPr>
          <w:p w14:paraId="434EFFC7" w14:textId="77777777" w:rsidR="007A6993" w:rsidRDefault="0037077E">
            <w:r>
              <w:t>Predicted Net Profit</w:t>
            </w:r>
          </w:p>
        </w:tc>
      </w:tr>
      <w:tr w:rsidR="007A6993" w14:paraId="434EFFCE" w14:textId="77777777" w:rsidTr="007A6993">
        <w:tc>
          <w:tcPr>
            <w:tcW w:w="1872" w:type="dxa"/>
          </w:tcPr>
          <w:p w14:paraId="434EFFC9" w14:textId="77777777" w:rsidR="007A6993" w:rsidRDefault="0037077E">
            <w:r>
              <w:rPr>
                <w:b/>
                <w:bCs/>
              </w:rPr>
              <w:t>Profile 1</w:t>
            </w:r>
          </w:p>
        </w:tc>
        <w:tc>
          <w:tcPr>
            <w:tcW w:w="1872" w:type="dxa"/>
          </w:tcPr>
          <w:p w14:paraId="434EFFCA" w14:textId="77777777" w:rsidR="007A6993" w:rsidRDefault="0037077E">
            <w:r>
              <w:t>$21,892</w:t>
            </w:r>
          </w:p>
        </w:tc>
        <w:tc>
          <w:tcPr>
            <w:tcW w:w="1872" w:type="dxa"/>
          </w:tcPr>
          <w:p w14:paraId="434EFFCB" w14:textId="77777777" w:rsidR="007A6993" w:rsidRDefault="0037077E">
            <w:r>
              <w:t>$81,910</w:t>
            </w:r>
          </w:p>
        </w:tc>
        <w:tc>
          <w:tcPr>
            <w:tcW w:w="1872" w:type="dxa"/>
          </w:tcPr>
          <w:p w14:paraId="434EFFCC" w14:textId="77777777" w:rsidR="007A6993" w:rsidRDefault="0037077E">
            <w:r>
              <w:t>$164,270</w:t>
            </w:r>
          </w:p>
        </w:tc>
        <w:tc>
          <w:tcPr>
            <w:tcW w:w="1872" w:type="dxa"/>
          </w:tcPr>
          <w:p w14:paraId="434EFFCD" w14:textId="77777777" w:rsidR="007A6993" w:rsidRDefault="0037077E">
            <w:r>
              <w:rPr>
                <w:b/>
                <w:bCs/>
              </w:rPr>
              <w:t>$70,037.90</w:t>
            </w:r>
          </w:p>
        </w:tc>
      </w:tr>
      <w:tr w:rsidR="007A6993" w14:paraId="434EFFD4" w14:textId="77777777" w:rsidTr="007A6993">
        <w:tc>
          <w:tcPr>
            <w:tcW w:w="1872" w:type="dxa"/>
          </w:tcPr>
          <w:p w14:paraId="434EFFCF" w14:textId="77777777" w:rsidR="007A6993" w:rsidRDefault="0037077E">
            <w:r>
              <w:rPr>
                <w:b/>
                <w:bCs/>
              </w:rPr>
              <w:t>Profile 2</w:t>
            </w:r>
          </w:p>
        </w:tc>
        <w:tc>
          <w:tcPr>
            <w:tcW w:w="1872" w:type="dxa"/>
          </w:tcPr>
          <w:p w14:paraId="434EFFD0" w14:textId="77777777" w:rsidR="007A6993" w:rsidRDefault="0037077E">
            <w:r>
              <w:t>$23,940</w:t>
            </w:r>
          </w:p>
        </w:tc>
        <w:tc>
          <w:tcPr>
            <w:tcW w:w="1872" w:type="dxa"/>
          </w:tcPr>
          <w:p w14:paraId="434EFFD1" w14:textId="77777777" w:rsidR="007A6993" w:rsidRDefault="0037077E">
            <w:r>
              <w:t>$96,489</w:t>
            </w:r>
          </w:p>
        </w:tc>
        <w:tc>
          <w:tcPr>
            <w:tcW w:w="1872" w:type="dxa"/>
          </w:tcPr>
          <w:p w14:paraId="434EFFD2" w14:textId="77777777" w:rsidR="007A6993" w:rsidRDefault="0037077E">
            <w:r>
              <w:t>$137,001</w:t>
            </w:r>
          </w:p>
        </w:tc>
        <w:tc>
          <w:tcPr>
            <w:tcW w:w="1872" w:type="dxa"/>
          </w:tcPr>
          <w:p w14:paraId="434EFFD3" w14:textId="77777777" w:rsidR="007A6993" w:rsidRDefault="0037077E">
            <w:r>
              <w:rPr>
                <w:b/>
                <w:bCs/>
              </w:rPr>
              <w:t>$70,554.57</w:t>
            </w:r>
          </w:p>
        </w:tc>
      </w:tr>
    </w:tbl>
    <w:p w14:paraId="434EFFD5" w14:textId="77777777" w:rsidR="007A6993" w:rsidRDefault="007A6993">
      <w:pPr>
        <w:widowControl w:val="0"/>
        <w:pBdr>
          <w:top w:val="nil"/>
          <w:left w:val="nil"/>
          <w:bottom w:val="nil"/>
          <w:right w:val="nil"/>
          <w:between w:val="nil"/>
        </w:pBdr>
        <w:spacing w:line="276" w:lineRule="auto"/>
      </w:pPr>
    </w:p>
    <w:p w14:paraId="434EFFD6" w14:textId="77777777" w:rsidR="007A6993" w:rsidRDefault="0037077E">
      <w:pPr>
        <w:numPr>
          <w:ilvl w:val="0"/>
          <w:numId w:val="3"/>
        </w:numPr>
      </w:pPr>
      <w:r>
        <w:rPr>
          <w:b/>
          <w:bCs/>
        </w:rPr>
        <w:t>Profile 1:</w:t>
      </w:r>
      <w:r>
        <w:t xml:space="preserve"> (R&amp;D: 21,892 | Admin: 81,910 | Mkt: 164,270) yields a predicted profit of $70,037.90.</w:t>
      </w:r>
    </w:p>
    <w:p w14:paraId="434EFFD7" w14:textId="77777777" w:rsidR="007A6993" w:rsidRDefault="0037077E">
      <w:pPr>
        <w:numPr>
          <w:ilvl w:val="0"/>
          <w:numId w:val="3"/>
        </w:numPr>
      </w:pPr>
      <w:r>
        <w:rPr>
          <w:b/>
          <w:bCs/>
        </w:rPr>
        <w:t>Profile 2:</w:t>
      </w:r>
      <w:r>
        <w:t xml:space="preserve"> (R&amp;D: 23,940 | Admin: 96,489 | Mkt: 137,001) yields a predicted profit of $70,554.57.</w:t>
      </w:r>
    </w:p>
    <w:p w14:paraId="434EFFD8" w14:textId="77777777" w:rsidR="007A6993" w:rsidRDefault="0037077E">
      <w:pPr>
        <w:pStyle w:val="Heading1"/>
      </w:pPr>
      <w:bookmarkStart w:id="4" w:name="_9cj9y4gpzxh" w:colFirst="0" w:colLast="0"/>
      <w:bookmarkEnd w:id="4"/>
      <w:r>
        <w:t>4. Visual Insights (Power BI Dashboard)</w:t>
      </w:r>
    </w:p>
    <w:p w14:paraId="434EFFD9" w14:textId="77777777" w:rsidR="007A6993" w:rsidRDefault="0037077E">
      <w:r>
        <w:t>The dashboard visualizations reveal that total portfolio profit sits at 5.60M across all evaluated companies.</w:t>
      </w:r>
    </w:p>
    <w:p w14:paraId="434EFFDA" w14:textId="77777777" w:rsidR="007A6993" w:rsidRDefault="007A6993">
      <w:pPr>
        <w:widowControl w:val="0"/>
        <w:pBdr>
          <w:top w:val="nil"/>
          <w:left w:val="nil"/>
          <w:bottom w:val="nil"/>
          <w:right w:val="nil"/>
          <w:between w:val="nil"/>
        </w:pBdr>
        <w:spacing w:line="276" w:lineRule="auto"/>
      </w:pPr>
    </w:p>
    <w:p w14:paraId="434EFFDB" w14:textId="77777777" w:rsidR="007A6993" w:rsidRDefault="0037077E">
      <w:pPr>
        <w:numPr>
          <w:ilvl w:val="0"/>
          <w:numId w:val="2"/>
        </w:numPr>
      </w:pPr>
      <w:r>
        <w:rPr>
          <w:b/>
          <w:bCs/>
        </w:rPr>
        <w:t>Geographic Breakdown:</w:t>
      </w:r>
      <w:r>
        <w:t xml:space="preserve"> Florida leads in average profitability ($118.77K), slightly edging out New York ($113.76K) and California ($103.91K).</w:t>
      </w:r>
    </w:p>
    <w:p w14:paraId="434EFFDC" w14:textId="77777777" w:rsidR="007A6993" w:rsidRDefault="0037077E">
      <w:pPr>
        <w:numPr>
          <w:ilvl w:val="0"/>
          <w:numId w:val="2"/>
        </w:numPr>
      </w:pPr>
      <w:r>
        <w:rPr>
          <w:b/>
          <w:bCs/>
        </w:rPr>
        <w:t>Budget Allocation:</w:t>
      </w:r>
      <w:r>
        <w:t xml:space="preserve"> The donut chart visualization confirms that the most successful startups allocate the majority of their budget (51.96% of total spend) directly to R&amp;D.</w:t>
      </w:r>
    </w:p>
    <w:p w14:paraId="434EFFDD" w14:textId="77777777" w:rsidR="007A6993" w:rsidRDefault="007A6993">
      <w:pPr>
        <w:widowControl w:val="0"/>
        <w:pBdr>
          <w:top w:val="nil"/>
          <w:left w:val="nil"/>
          <w:bottom w:val="nil"/>
          <w:right w:val="nil"/>
          <w:between w:val="nil"/>
        </w:pBdr>
        <w:spacing w:line="276" w:lineRule="auto"/>
      </w:pPr>
    </w:p>
    <w:p w14:paraId="434EFFDE" w14:textId="77777777" w:rsidR="007A6993" w:rsidRDefault="007A6993"/>
    <w:tbl>
      <w:tblPr>
        <w:tblStyle w:val="a1"/>
        <w:tblW w:w="9360" w:type="dxa"/>
        <w:tblInd w:w="0" w:type="dxa"/>
        <w:tblBorders>
          <w:top w:val="single" w:sz="8" w:space="0" w:color="E2E8F0"/>
          <w:left w:val="nil"/>
          <w:bottom w:val="single" w:sz="8" w:space="0" w:color="E2E8F0"/>
          <w:right w:val="nil"/>
          <w:insideH w:val="single" w:sz="4" w:space="0" w:color="F1F5F9"/>
          <w:insideV w:val="nil"/>
        </w:tblBorders>
        <w:tblLayout w:type="fixed"/>
        <w:tblLook w:val="0620" w:firstRow="1" w:lastRow="0" w:firstColumn="0" w:lastColumn="0" w:noHBand="1" w:noVBand="1"/>
      </w:tblPr>
      <w:tblGrid>
        <w:gridCol w:w="4680"/>
        <w:gridCol w:w="4680"/>
      </w:tblGrid>
      <w:tr w:rsidR="007A6993" w14:paraId="434EFFE1" w14:textId="77777777" w:rsidTr="007A6993">
        <w:trPr>
          <w:cnfStyle w:val="100000000000" w:firstRow="1" w:lastRow="0" w:firstColumn="0" w:lastColumn="0" w:oddVBand="0" w:evenVBand="0" w:oddHBand="0" w:evenHBand="0" w:firstRowFirstColumn="0" w:firstRowLastColumn="0" w:lastRowFirstColumn="0" w:lastRowLastColumn="0"/>
          <w:tblHeader/>
        </w:trPr>
        <w:tc>
          <w:tcPr>
            <w:tcW w:w="4680" w:type="dxa"/>
          </w:tcPr>
          <w:p w14:paraId="434EFFDF" w14:textId="77777777" w:rsidR="007A6993" w:rsidRDefault="0037077E">
            <w:r>
              <w:lastRenderedPageBreak/>
              <w:t>Region / State</w:t>
            </w:r>
          </w:p>
        </w:tc>
        <w:tc>
          <w:tcPr>
            <w:tcW w:w="4680" w:type="dxa"/>
          </w:tcPr>
          <w:p w14:paraId="434EFFE0" w14:textId="77777777" w:rsidR="007A6993" w:rsidRDefault="0037077E">
            <w:r>
              <w:t>Average Profitability</w:t>
            </w:r>
          </w:p>
        </w:tc>
      </w:tr>
      <w:tr w:rsidR="007A6993" w14:paraId="434EFFE4" w14:textId="77777777" w:rsidTr="007A6993">
        <w:tc>
          <w:tcPr>
            <w:tcW w:w="4680" w:type="dxa"/>
          </w:tcPr>
          <w:p w14:paraId="434EFFE2" w14:textId="77777777" w:rsidR="007A6993" w:rsidRDefault="0037077E">
            <w:r>
              <w:rPr>
                <w:b/>
                <w:bCs/>
              </w:rPr>
              <w:t>Florida</w:t>
            </w:r>
          </w:p>
        </w:tc>
        <w:tc>
          <w:tcPr>
            <w:tcW w:w="4680" w:type="dxa"/>
          </w:tcPr>
          <w:p w14:paraId="434EFFE3" w14:textId="77777777" w:rsidR="007A6993" w:rsidRDefault="0037077E">
            <w:r>
              <w:t>$118.77K</w:t>
            </w:r>
          </w:p>
        </w:tc>
      </w:tr>
      <w:tr w:rsidR="007A6993" w14:paraId="434EFFE7" w14:textId="77777777" w:rsidTr="007A6993">
        <w:tc>
          <w:tcPr>
            <w:tcW w:w="4680" w:type="dxa"/>
          </w:tcPr>
          <w:p w14:paraId="434EFFE5" w14:textId="77777777" w:rsidR="007A6993" w:rsidRDefault="0037077E">
            <w:r>
              <w:rPr>
                <w:b/>
                <w:bCs/>
              </w:rPr>
              <w:t>New York</w:t>
            </w:r>
          </w:p>
        </w:tc>
        <w:tc>
          <w:tcPr>
            <w:tcW w:w="4680" w:type="dxa"/>
          </w:tcPr>
          <w:p w14:paraId="434EFFE6" w14:textId="77777777" w:rsidR="007A6993" w:rsidRDefault="0037077E">
            <w:r>
              <w:t>$113.76K</w:t>
            </w:r>
          </w:p>
        </w:tc>
      </w:tr>
      <w:tr w:rsidR="007A6993" w14:paraId="434EFFEA" w14:textId="77777777" w:rsidTr="007A6993">
        <w:tc>
          <w:tcPr>
            <w:tcW w:w="4680" w:type="dxa"/>
          </w:tcPr>
          <w:p w14:paraId="434EFFE8" w14:textId="77777777" w:rsidR="007A6993" w:rsidRDefault="0037077E">
            <w:r>
              <w:rPr>
                <w:b/>
                <w:bCs/>
              </w:rPr>
              <w:t>California</w:t>
            </w:r>
          </w:p>
        </w:tc>
        <w:tc>
          <w:tcPr>
            <w:tcW w:w="4680" w:type="dxa"/>
          </w:tcPr>
          <w:p w14:paraId="434EFFE9" w14:textId="77777777" w:rsidR="007A6993" w:rsidRDefault="0037077E">
            <w:r>
              <w:t>$103.91K</w:t>
            </w:r>
          </w:p>
        </w:tc>
      </w:tr>
    </w:tbl>
    <w:p w14:paraId="434EFFEB" w14:textId="77777777" w:rsidR="007A6993" w:rsidRDefault="0037077E">
      <w:pPr>
        <w:pStyle w:val="Heading1"/>
      </w:pPr>
      <w:bookmarkStart w:id="5" w:name="_86rrv6wdh2do" w:colFirst="0" w:colLast="0"/>
      <w:bookmarkEnd w:id="5"/>
      <w:r>
        <w:t>5. Conclusions and Strategic Recommendations</w:t>
      </w:r>
    </w:p>
    <w:p w14:paraId="434EFFEC" w14:textId="77777777" w:rsidR="007A6993" w:rsidRDefault="0037077E">
      <w:pPr>
        <w:numPr>
          <w:ilvl w:val="0"/>
          <w:numId w:val="2"/>
        </w:numPr>
      </w:pPr>
      <w:r>
        <w:rPr>
          <w:b/>
          <w:bCs/>
        </w:rPr>
        <w:t>Venture Capital Focus:</w:t>
      </w:r>
      <w:r>
        <w:t xml:space="preserve"> Funding rounds and budget allocations should heavily prioritize R&amp;D and product development, as it is the only statistically guaranteed driver of profit generation.</w:t>
      </w:r>
    </w:p>
    <w:p w14:paraId="434EFFED" w14:textId="77777777" w:rsidR="007A6993" w:rsidRDefault="0037077E">
      <w:pPr>
        <w:numPr>
          <w:ilvl w:val="0"/>
          <w:numId w:val="2"/>
        </w:numPr>
      </w:pPr>
      <w:r>
        <w:rPr>
          <w:b/>
          <w:bCs/>
        </w:rPr>
        <w:t>Operational Efficiency:</w:t>
      </w:r>
      <w:r>
        <w:t xml:space="preserve"> Startups must implement aggressive cost-control measures on administrative overhead to prevent margin erosion.</w:t>
      </w:r>
    </w:p>
    <w:p w14:paraId="434EFFEE" w14:textId="77777777" w:rsidR="007A6993" w:rsidRDefault="0037077E">
      <w:pPr>
        <w:numPr>
          <w:ilvl w:val="0"/>
          <w:numId w:val="2"/>
        </w:numPr>
      </w:pPr>
      <w:r>
        <w:rPr>
          <w:b/>
          <w:bCs/>
        </w:rPr>
        <w:t>Location Agnosticism:</w:t>
      </w:r>
      <w:r>
        <w:t xml:space="preserve"> While Florida shows a slight average lead in profitability, the scatter plots confirm that budget allocation (R&amp;D scaling) determines success far more than the physical headquarters state.</w:t>
      </w:r>
    </w:p>
    <w:p w14:paraId="434EFFEF" w14:textId="77777777" w:rsidR="007A6993" w:rsidRDefault="007A6993"/>
    <w:sectPr w:rsidR="007A699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66ADE003-7B2B-4AC4-8449-A6DEB6D46B3E}"/>
    <w:embedBold r:id="rId2" w:fontKey="{E166F618-BF1C-4457-87AA-B870D14A4A67}"/>
    <w:embedItalic r:id="rId3" w:fontKey="{66344195-CA31-415E-8C6C-B1EF81264098}"/>
  </w:font>
  <w:font w:name="Montserrat">
    <w:charset w:val="00"/>
    <w:family w:val="auto"/>
    <w:pitch w:val="variable"/>
    <w:sig w:usb0="2000020F" w:usb1="00000003" w:usb2="00000000" w:usb3="00000000" w:csb0="00000197" w:csb1="00000000"/>
    <w:embedBold r:id="rId4" w:fontKey="{87A2ACE5-E034-4BC7-B91E-CB920F4384B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66205E4F-E3F9-438A-9373-3011DDF26011}"/>
  </w:font>
  <w:font w:name="Mangal">
    <w:panose1 w:val="02040503050203030202"/>
    <w:charset w:val="00"/>
    <w:family w:val="roman"/>
    <w:pitch w:val="variable"/>
    <w:sig w:usb0="00008003" w:usb1="00000000" w:usb2="00000000" w:usb3="00000000" w:csb0="00000001" w:csb1="00000000"/>
    <w:embedRegular r:id="rId6" w:fontKey="{604827E7-8A4A-45F1-8897-221EACFA84A2}"/>
  </w:font>
  <w:font w:name="Cambria">
    <w:panose1 w:val="02040503050406030204"/>
    <w:charset w:val="00"/>
    <w:family w:val="roman"/>
    <w:pitch w:val="variable"/>
    <w:sig w:usb0="E00006FF" w:usb1="420024FF" w:usb2="02000000" w:usb3="00000000" w:csb0="0000019F" w:csb1="00000000"/>
    <w:embedRegular r:id="rId7" w:fontKey="{50DA1C4D-1BF3-41A2-8821-15BB7250B7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E5BD6"/>
    <w:multiLevelType w:val="multilevel"/>
    <w:tmpl w:val="E0DCF45E"/>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2FA86B7A"/>
    <w:multiLevelType w:val="multilevel"/>
    <w:tmpl w:val="DD76837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48B05833"/>
    <w:multiLevelType w:val="multilevel"/>
    <w:tmpl w:val="B8C63C5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38573274">
    <w:abstractNumId w:val="2"/>
  </w:num>
  <w:num w:numId="2" w16cid:durableId="775100834">
    <w:abstractNumId w:val="1"/>
  </w:num>
  <w:num w:numId="3" w16cid:durableId="916867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6993"/>
    <w:rsid w:val="0037077E"/>
    <w:rsid w:val="00616BDC"/>
    <w:rsid w:val="007A699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EFFA0"/>
  <w15:docId w15:val="{ED8ABF42-21D4-49FF-9E40-C2FD0EC35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sz w:val="24"/>
        <w:szCs w:val="24"/>
        <w:lang w:val="en-GB" w:eastAsia="en-IN" w:bidi="hi-IN"/>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40" w:lineRule="auto"/>
      <w:outlineLvl w:val="0"/>
    </w:pPr>
    <w:rPr>
      <w:rFonts w:ascii="Montserrat" w:eastAsia="Montserrat" w:hAnsi="Montserrat" w:cs="Montserrat"/>
      <w:b/>
      <w:bCs/>
      <w:color w:val="0F172A"/>
      <w:sz w:val="30"/>
      <w:szCs w:val="30"/>
    </w:rPr>
  </w:style>
  <w:style w:type="paragraph" w:styleId="Heading2">
    <w:name w:val="heading 2"/>
    <w:basedOn w:val="Normal"/>
    <w:next w:val="Normal"/>
    <w:uiPriority w:val="9"/>
    <w:semiHidden/>
    <w:unhideWhenUsed/>
    <w:qFormat/>
    <w:pPr>
      <w:keepNext/>
      <w:keepLines/>
      <w:spacing w:before="360" w:after="80" w:line="240" w:lineRule="auto"/>
      <w:outlineLvl w:val="1"/>
    </w:pPr>
    <w:rPr>
      <w:rFonts w:ascii="Montserrat" w:eastAsia="Montserrat" w:hAnsi="Montserrat" w:cs="Montserrat"/>
      <w:b/>
      <w:bCs/>
      <w:color w:val="1E293B"/>
      <w:sz w:val="28"/>
      <w:szCs w:val="28"/>
    </w:rPr>
  </w:style>
  <w:style w:type="paragraph" w:styleId="Heading3">
    <w:name w:val="heading 3"/>
    <w:basedOn w:val="Normal"/>
    <w:next w:val="Normal"/>
    <w:uiPriority w:val="9"/>
    <w:semiHidden/>
    <w:unhideWhenUsed/>
    <w:qFormat/>
    <w:pPr>
      <w:keepNext/>
      <w:keepLines/>
      <w:spacing w:before="280" w:after="80" w:line="240" w:lineRule="auto"/>
      <w:outlineLvl w:val="2"/>
    </w:pPr>
    <w:rPr>
      <w:rFonts w:ascii="Montserrat" w:eastAsia="Montserrat" w:hAnsi="Montserrat" w:cs="Montserrat"/>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Montserrat" w:eastAsia="Montserrat" w:hAnsi="Montserrat" w:cs="Montserrat"/>
      <w:b/>
      <w:bCs/>
      <w:color w:val="0F172A"/>
      <w:sz w:val="36"/>
      <w:szCs w:val="36"/>
    </w:rPr>
  </w:style>
  <w:style w:type="paragraph" w:styleId="Subtitle">
    <w:name w:val="Subtitle"/>
    <w:basedOn w:val="Normal"/>
    <w:next w:val="Normal"/>
    <w:uiPriority w:val="11"/>
    <w:qFormat/>
    <w:pPr>
      <w:keepNext/>
      <w:keepLines/>
      <w:spacing w:before="360" w:after="80"/>
    </w:pPr>
    <w:rPr>
      <w:i/>
      <w:iCs/>
      <w:color w:val="64748B"/>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Montserrat" w:eastAsia="Montserrat" w:hAnsi="Montserrat" w:cs="Montserrat"/>
        <w:b/>
        <w:bCs/>
        <w:i w:val="0"/>
        <w:iCs w:val="0"/>
        <w:color w:val="0F172A"/>
        <w:sz w:val="22"/>
        <w:szCs w:val="22"/>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Montserrat" w:eastAsia="Montserrat" w:hAnsi="Montserrat" w:cs="Montserrat"/>
        <w:b/>
        <w:bCs/>
        <w:i w:val="0"/>
        <w:iCs w:val="0"/>
        <w:color w:val="0F172A"/>
        <w:sz w:val="22"/>
        <w:szCs w:val="22"/>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vAlign w:val="center"/>
    </w:tcPr>
    <w:tblStylePr w:type="firstRow">
      <w:rPr>
        <w:rFonts w:ascii="Montserrat" w:eastAsia="Montserrat" w:hAnsi="Montserrat" w:cs="Montserrat"/>
        <w:b/>
        <w:bCs/>
        <w:i w:val="0"/>
        <w:iCs w:val="0"/>
        <w:color w:val="0F172A"/>
        <w:sz w:val="22"/>
        <w:szCs w:val="22"/>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shaloni .</cp:lastModifiedBy>
  <cp:revision>2</cp:revision>
  <dcterms:created xsi:type="dcterms:W3CDTF">2026-09-28T08:23:00Z</dcterms:created>
  <dcterms:modified xsi:type="dcterms:W3CDTF">2026-09-28T08:23:00Z</dcterms:modified>
</cp:coreProperties>
</file>