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Hei" w:hAnsi="SimHei" w:eastAsia="SimHei" w:cs="Sim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研究方向：再生障碍性贫血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委托人：邓姝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受托人：杭州铂赛生物科技有限公司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t xml:space="preserve">再生障碍性贫血 (Aplastic anemia，AA) 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 T 细胞）；以及维持细胞完整性和免疫调节的重要基因的体质缺陷 (Constitutional Syndromes)。</w:t>
      </w:r>
      <w:r>
        <w:t xml:space="preserve"> </w:t>
      </w:r>
      <w:r>
        <w:t xml:space="preserve">体质性骨髓衰竭的患者中，大多数患者年龄在 18 岁以下，约 50% 在基因组筛查中出现突变。</w:t>
      </w:r>
      <w:r>
        <w:t xml:space="preserve"> </w:t>
      </w:r>
      <w:r>
        <w:t xml:space="preserve">免疫性 AA (Immune aplastic anemia，IAA) 中，细胞毒性 T 细胞在功能和表型上处于激活态，通过 Fas/FasL 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此外，免疫性 AA 会发生干细胞突变导致的免疫逃逸 (丢失了包含 HLA 等位基因的 6 号染色体区域的粒细胞) ，通过克隆扩增发挥替代造血的功能。</w:t>
      </w:r>
      <w:r>
        <w:t xml:space="preserve"> </w:t>
      </w:r>
      <w:r>
        <w:t xml:space="preserve">全基因组关联研究 (Genome-Wide Association Study，GWAS) 研究显示，HLA-DPB1 种系的 SNP 提高了重症 AA 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 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3"/>
      </w:pPr>
      <w:r>
        <w:t xml:space="preserve">细胞代谢与 AA 的发展有所关联。最近的研究表明，SAA 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 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 数据分析表明，T淋巴细胞的代谢异常主要集中在糖酵解/糖异生上。此外，自然杀伤细胞的代谢异常集中在氧化磷酸化上，治疗免疫细胞的异常代谢途径可能有助于开发治疗 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3"/>
      </w:pPr>
      <w:r>
        <w:t xml:space="preserve">综上，结合 TWAS 以及 AA 的细胞代谢的分析策略将可能成为发现 AA 疾病机制或治疗的重要方法。通过 TWAS 发现源于遗传突变导致的基因表达改变，随后在 AA 的细胞代写上分析这种影响，从而发现基因突变对于 AA 患者细胞代谢的改变。</w:t>
      </w:r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4"/>
      </w:pPr>
      <w:bookmarkStart w:id="23" w:name="以-aplastic-anemia-and-gwas-搜索文献"/>
      <w:r>
        <w:t xml:space="preserve">2.1	以</w:t>
      </w:r>
      <w:r>
        <w:t xml:space="preserve"> </w:t>
      </w:r>
      <w:r>
        <w:rPr>
          <w:rStyle w:val="197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jc w:val="center"/>
        <w:pStyle w:val="1"/>
      </w:pPr>
      <w:r>
        <w:rPr/>
        <w:drawing>
          <wp:inline distT="0" distB="0" distL="0" distR="0">
            <wp:extent cx="5669280" cy="258356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7adae612-2bbe-4379-a50b-e338bbe6a7a7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adae612-2bbe-4379-a50b-e338bbe6a7a7"/>
      <w:r>
        <w:rPr>
          <w:rFonts/>
          <w:b w:val="true"/>
        </w:rPr>
        <w:t xml:space="preserve"> </w:t>
      </w:r>
      <w:r>
        <w:t xml:space="preserve">Unnamed chunk 6</w:t>
      </w:r>
    </w:p>
    <w:p>
      <w:pPr>
        <w:pStyle w:val="4"/>
      </w:pPr>
      <w:bookmarkStart w:id="24" w:name="以-aplastic-anemia-and-metabolic-搜索文献"/>
      <w:r>
        <w:t xml:space="preserve">2.2	以</w:t>
      </w:r>
      <w:r>
        <w:t xml:space="preserve"> </w:t>
      </w:r>
      <w:r>
        <w:rPr>
          <w:rStyle w:val="197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jc w:val="center"/>
        <w:pStyle w:val="1"/>
      </w:pPr>
      <w:r>
        <w:rPr/>
        <w:drawing>
          <wp:inline distT="0" distB="0" distL="0" distR="0">
            <wp:extent cx="5669280" cy="2729227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0801fbe7-6f6c-4994-be59-31faff735de1" w:name="unnamed-chunk-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801fbe7-6f6c-4994-be59-31faff735de1"/>
      <w:r>
        <w:rPr>
          <w:rFonts/>
          <w:b w:val="true"/>
        </w:rPr>
        <w:t xml:space="preserve"> </w:t>
      </w:r>
      <w:r>
        <w:t xml:space="preserve">Unnamed chunk 7</w:t>
      </w:r>
    </w:p>
    <w:p>
      <w:pPr>
        <w:pStyle w:val="2"/>
      </w:pPr>
      <w:bookmarkStart w:id="25" w:name="results"/>
      <w:r>
        <w:t xml:space="preserve">3	创新性</w:t>
      </w:r>
      <w:bookmarkEnd w:id="25"/>
    </w:p>
    <w:p>
      <w:pPr>
        <w:pStyle w:val="4"/>
      </w:pPr>
      <w:bookmarkStart w:id="26" w:name="以-aplastic-anemia-and-twas-搜索文献"/>
      <w:r>
        <w:t xml:space="preserve">3.1	以</w:t>
      </w:r>
      <w:r>
        <w:t xml:space="preserve"> </w:t>
      </w:r>
      <w:r>
        <w:rPr>
          <w:rStyle w:val="197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jc w:val="center"/>
        <w:pStyle w:val="1"/>
      </w:pPr>
      <w:r>
        <w:rPr/>
        <w:drawing>
          <wp:inline distT="0" distB="0" distL="0" distR="0">
            <wp:extent cx="5669280" cy="2388074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587ec29f-034a-45d2-9e6c-1bc6cae9536b" w:name="unnamed-chunk-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87ec29f-034a-45d2-9e6c-1bc6cae9536b"/>
      <w:r>
        <w:rPr>
          <w:rFonts/>
          <w:b w:val="true"/>
        </w:rPr>
        <w:t xml:space="preserve"> </w:t>
      </w:r>
      <w:r>
        <w:t xml:space="preserve">Unnamed chunk 8</w:t>
      </w:r>
    </w:p>
    <w:p>
      <w:pPr>
        <w:pStyle w:val="4"/>
      </w:pPr>
      <w:bookmarkStart w:id="27" w:name="X5948dad09c42f53f6c84b1fd03ded1a1e00636c"/>
      <w:r>
        <w:t xml:space="preserve">3.2	以</w:t>
      </w:r>
      <w:r>
        <w:t xml:space="preserve"> </w:t>
      </w:r>
      <w:r>
        <w:rPr>
          <w:rStyle w:val="197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jc w:val="center"/>
        <w:pStyle w:val="1"/>
      </w:pPr>
      <w:r>
        <w:rPr/>
        <w:drawing>
          <wp:inline distT="0" distB="0" distL="0" distR="0">
            <wp:extent cx="5669280" cy="2146809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6dbbc34c-f689-436e-84a8-303073f24b59" w:name="unnamed-chunk-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dbbc34c-f689-436e-84a8-303073f24b59"/>
      <w:r>
        <w:rPr>
          <w:rFonts/>
          <w:b w:val="true"/>
        </w:rPr>
        <w:t xml:space="preserve"> </w:t>
      </w:r>
      <w:r>
        <w:t xml:space="preserve">Unnamed chunk 9</w:t>
      </w:r>
    </w:p>
    <w:p>
      <w:pPr>
        <w:pStyle w:val="2"/>
      </w:pPr>
      <w:bookmarkStart w:id="28" w:name="workflow"/>
      <w:r>
        <w:t xml:space="preserve">4	参考文献和数据集</w:t>
      </w:r>
      <w:bookmarkEnd w:id="28"/>
    </w:p>
    <w:p>
      <w:pPr>
        <w:pStyle w:val="4"/>
      </w:pPr>
      <w:bookmarkStart w:id="29" w:name="gwas-数据"/>
      <w:r>
        <w:t xml:space="preserve">4.1	GWAS 数据</w:t>
      </w:r>
      <w:bookmarkEnd w:id="29"/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6bedda8b-c0a2-417f-b9cd-3f6af50522ea" w:name="Traits-in-Open-GWA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bedda8b-c0a2-417f-b9cd-3f6af50522ea"/>
      <w:r>
        <w:rPr>
          <w:rFonts/>
          <w:b w:val="true"/>
        </w:rPr>
        <w:t xml:space="preserve">  </w:t>
      </w:r>
      <w:r>
        <w:t xml:space="preserve">Traits in Open GWAS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 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Consor...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Pmid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Popula...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European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East A...</w:t>
            </w:r>
          </w:p>
        </w:tc>
      </w:tr>
    </w:tbl>
    <w:p>
      <w:pPr>
        <w:pStyle w:val="4"/>
      </w:pPr>
      <w:bookmarkStart w:id="30" w:name="scrna-seq"/>
      <w:r>
        <w:t xml:space="preserve">4.2	scRNA-seq</w:t>
      </w:r>
      <w:bookmarkEnd w:id="30"/>
    </w:p>
    <w:p>
      <w:pPr>
        <w:numPr>
          <w:ilvl w:val="0"/>
          <w:numId w:val="1001"/>
        </w:numPr>
        <w:pStyle w:val="186"/>
      </w:pPr>
      <w:r>
        <w:t xml:space="preserve">GSE279914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401da54a-70a9-49da-ad24-e505e1f6d5eb" w:name="AA-GSE279914-metadata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01da54a-70a9-49da-ad24-e505e1f6d5eb"/>
      <w:r>
        <w:rPr>
          <w:rFonts/>
          <w:b w:val="true"/>
        </w:rPr>
        <w:t xml:space="preserve">  </w:t>
      </w:r>
      <w:r>
        <w:t xml:space="preserve">AA GSE279914 metadata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Rownames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Batch.ch1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Cell.l...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Donor.ch1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Tissue...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</w:tbl>
    <w:p>
      <w:pPr>
        <w:pStyle w:val="4"/>
      </w:pPr>
      <w:bookmarkStart w:id="31" w:name="单细胞数据预测代谢通量的方法"/>
      <w:r>
        <w:t xml:space="preserve">4.3	单细胞数据预测代谢通量的方法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 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186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 endocrinology)</w:t>
      </w:r>
      <w:r>
        <w:rPr>
          <w:vertAlign w:val="superscript"/>
        </w:rPr>
        <w:t xml:space="preserve">6</w:t>
      </w:r>
    </w:p>
    <w:p>
      <w:pPr>
        <w:pStyle w:val="2"/>
      </w:pPr>
      <w:bookmarkStart w:id="32" w:name="bibliography"/>
      <w:r>
        <w:t xml:space="preserve">Reference</w:t>
      </w:r>
      <w:bookmarkEnd w:id="32"/>
    </w:p>
    <w:bookmarkStart w:id="39" w:name="refs"/>
    <w:bookmarkStart w:id="33" w:name="ref-Aplastic_Anemia_Young_2018"/>
    <w:p>
      <w:pPr>
        <w:pStyle w:val="189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bookmarkEnd w:id="33"/>
    <w:bookmarkStart w:id="34" w:name="ref-Genome_wide_Ass_Savage_2020"/>
    <w:p>
      <w:pPr>
        <w:pStyle w:val="189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 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bookmarkEnd w:id="34"/>
    <w:bookmarkStart w:id="35" w:name="ref-Plasma_Metabolo_Shao_2021"/>
    <w:p>
      <w:pPr>
        <w:pStyle w:val="189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 analyses of patients with severe aplastic anemia.</w:t>
      </w:r>
      <w:r>
        <w:t xml:space="preserve"> </w:t>
      </w:r>
      <w:r>
        <w:rPr>
          <w:i/>
        </w:rPr>
        <w:t xml:space="preserve">Frontiers in cell and 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bookmarkEnd w:id="35"/>
    <w:bookmarkStart w:id="36" w:name="ref-Single_cell_RNA_Zhou_2023"/>
    <w:p>
      <w:pPr>
        <w:pStyle w:val="189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 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bookmarkEnd w:id="36"/>
    <w:bookmarkStart w:id="37" w:name="ref-AGraphNeuralAlgham2021"/>
    <w:p>
      <w:pPr>
        <w:pStyle w:val="189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 cell-wise metabolic flux using single-cell rna-seq data.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bookmarkEnd w:id="37"/>
    <w:bookmarkStart w:id="38" w:name="ref-SingleCellCorAgoro2023"/>
    <w:p>
      <w:pPr>
        <w:pStyle w:val="189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 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bookmarkEnd w:id="38"/>
    <w:bookmarkEnd w:id="39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1eded69ee6026f99143613824753cc27043c9e6a.png"/>
<Relationship Id="rId10" Type="http://schemas.openxmlformats.org/officeDocument/2006/relationships/image" Target="media/1098c3c7a90224a1645154fce67aab64135fc3fb.png"/>
<Relationship Id="rId11" Type="http://schemas.openxmlformats.org/officeDocument/2006/relationships/image" Target="media/a963be79b534276ee36d1897b657ab1708d18afd.png"/>
<Relationship Id="rId12" Type="http://schemas.openxmlformats.org/officeDocument/2006/relationships/image" Target="media/9597bb33793703cec5d8c6876327bbe16bdae420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2024-11-28T01:28:46Z</dcterms:created>
  <dcterms:modified xsi:type="dcterms:W3CDTF">2024-11-28T09:28:47Z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