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SimHei" w:hAnsi="SimHei" w:eastAsia="SimHei" w:cs="SimHei"/>
          <w:i w:val="false"/>
          <w:b w:val="true"/>
          <w:u w:val="none"/>
          <w:sz w:val="52"/>
          <w:szCs w:val="52"/>
          <w:color w:val="000000"/>
        </w:rPr>
        <w:t xml:space="preserve">生物医药合作项目开发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研究方向：再生障碍性贫血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委托人：邓姝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受托人：杭州铂赛生物科技有限公司</w:t>
      </w:r>
    </w:p>
    <w:p>
      <w:r>
        <w:br w:type="page"/>
      </w:r>
    </w:p>
    <w:p>
      <w:pPr>
        <w:pStyle w:val="2"/>
      </w:pPr>
      <w:bookmarkStart w:id="20" w:name="abstract"/>
      <w:r>
        <w:t xml:space="preserve">1	研究背景</w:t>
      </w:r>
      <w:bookmarkEnd w:id="20"/>
    </w:p>
    <w:p>
      <w:pPr>
        <w:pStyle w:val="4"/>
      </w:pPr>
      <w:bookmarkStart w:id="21" w:name="introduction"/>
      <w:r>
        <w:t xml:space="preserve">1.1	思路</w:t>
      </w:r>
      <w:bookmarkEnd w:id="21"/>
    </w:p>
    <w:p>
      <w:pPr>
        <w:pStyle w:val="38"/>
      </w:pPr>
      <w:r>
        <w:t xml:space="preserve">再生障碍性贫血 (Aplastic anemia，AA) 是指骨髓无法形成血液，这是多种病理生理机制对终末器官的影响)</w:t>
      </w:r>
      <w:r>
        <w:t xml:space="preserve"> </w:t>
      </w:r>
      <w:r>
        <w:t xml:space="preserve">(2018,</w:t>
      </w:r>
      <w:r>
        <w:t xml:space="preserve"> </w:t>
      </w:r>
      <w:r>
        <w:rPr>
          <w:b/>
        </w:rPr>
        <w:t xml:space="preserve">IF:96.2</w:t>
      </w:r>
      <w:r>
        <w:t xml:space="preserve">, Q1, The New England journal of medicine)</w:t>
      </w:r>
      <w:r>
        <w:rPr>
          <w:vertAlign w:val="superscript"/>
        </w:rPr>
        <w:t xml:space="preserve">1</w:t>
      </w:r>
      <w:r>
        <w:t xml:space="preserve">。</w:t>
      </w:r>
      <w:r>
        <w:t xml:space="preserve"> </w:t>
      </w:r>
      <w:r>
        <w:t xml:space="preserve">骨髓被脂肪取代的常见病理可能是化学或物理损伤（医源性；苯）；免疫破坏（主要是 T 细胞）；以及维持细胞完整性和免疫调节的重要基因的体质缺陷 (Constitutional Syndromes)。</w:t>
      </w:r>
      <w:r>
        <w:t xml:space="preserve"> </w:t>
      </w:r>
      <w:r>
        <w:t xml:space="preserve">体质性骨髓衰竭的患者中，大多数患者年龄在 18 岁以下，约 50% 在基因组筛查中出现突变。</w:t>
      </w:r>
      <w:r>
        <w:t xml:space="preserve"> </w:t>
      </w:r>
      <w:r>
        <w:t xml:space="preserve">免疫性 AA (Immune aplastic anemia，IAA) 中，细胞毒性 T 细胞在功能和表型上处于激活态，通过 Fas/FasL 诱导细胞凋亡，并以寡克隆形式循环 (2018,</w:t>
      </w:r>
      <w:r>
        <w:t xml:space="preserve"> </w:t>
      </w:r>
      <w:r>
        <w:rPr>
          <w:b/>
        </w:rPr>
        <w:t xml:space="preserve">IF:96.2</w:t>
      </w:r>
      <w:r>
        <w:t xml:space="preserve">, Q1, The New England journal of medicine)</w:t>
      </w:r>
      <w:r>
        <w:rPr>
          <w:vertAlign w:val="superscript"/>
        </w:rPr>
        <w:t xml:space="preserve">1</w:t>
      </w:r>
      <w:r>
        <w:t xml:space="preserve">。</w:t>
      </w:r>
      <w:r>
        <w:t xml:space="preserve"> </w:t>
      </w:r>
      <w:r>
        <w:t xml:space="preserve">此外，免疫性 AA 会发生干细胞突变导致的免疫逃逸 (丢失了包含 HLA 等位基因的 6 号染色体区域的粒细胞) ，通过克隆扩增发挥替代造血的功能。</w:t>
      </w:r>
      <w:r>
        <w:t xml:space="preserve"> </w:t>
      </w:r>
      <w:r>
        <w:t xml:space="preserve">全基因组关联研究 (Genome-Wide Association Study，GWAS) 研究显示，HLA-DPB1 种系的 SNP 提高了重症 AA (SAA) 的风险 (2020,</w:t>
      </w:r>
      <w:r>
        <w:t xml:space="preserve"> </w:t>
      </w:r>
      <w:r>
        <w:rPr>
          <w:b/>
        </w:rPr>
        <w:t xml:space="preserve">IF:8.1</w:t>
      </w:r>
      <w:r>
        <w:t xml:space="preserve">, Q1, American journal of human genetics)</w:t>
      </w:r>
      <w:r>
        <w:rPr>
          <w:vertAlign w:val="superscript"/>
        </w:rPr>
        <w:t xml:space="preserve">2</w:t>
      </w:r>
      <w:r>
        <w:t xml:space="preserve">。</w:t>
      </w:r>
    </w:p>
    <w:p>
      <w:pPr>
        <w:pStyle w:val="3"/>
      </w:pPr>
      <w:r>
        <w:t xml:space="preserve">细胞代谢与 AA 的发展有所关联。最近的研究表明，SAA 患者的血浆代谢组和肠道微生物组成均异常 (2021,</w:t>
      </w:r>
      <w:r>
        <w:t xml:space="preserve"> </w:t>
      </w:r>
      <w:r>
        <w:rPr>
          <w:b/>
        </w:rPr>
        <w:t xml:space="preserve">IF:4.6</w:t>
      </w:r>
      <w:r>
        <w:t xml:space="preserve">, Q1, Frontiers in cell and developmental biology)</w:t>
      </w:r>
      <w:r>
        <w:rPr>
          <w:vertAlign w:val="superscript"/>
        </w:rPr>
        <w:t xml:space="preserve">3</w:t>
      </w:r>
      <w:r>
        <w:t xml:space="preserve">。此外，一项儿童的 scRNA-seq 数据分析表明，T淋巴细胞的代谢异常主要集中在糖酵解/糖异生上。此外，自然杀伤细胞的代谢异常集中在氧化磷酸化上，治疗免疫细胞的异常代谢途径可能有助于开发治疗 AA 的新策略 (2023,</w:t>
      </w:r>
      <w:r>
        <w:t xml:space="preserve"> </w:t>
      </w:r>
      <w:r>
        <w:rPr>
          <w:b/>
        </w:rPr>
        <w:t xml:space="preserve">IF:3.5</w:t>
      </w:r>
      <w:r>
        <w:t xml:space="preserve">, Q2, Frontiers in oncology)</w:t>
      </w:r>
      <w:r>
        <w:rPr>
          <w:vertAlign w:val="superscript"/>
        </w:rPr>
        <w:t xml:space="preserve">4</w:t>
      </w:r>
      <w:r>
        <w:t xml:space="preserve">。</w:t>
      </w:r>
    </w:p>
    <w:p>
      <w:pPr>
        <w:pStyle w:val="3"/>
      </w:pPr>
      <w:r>
        <w:t xml:space="preserve">综上，结合 TWAS 以及 AA 的细胞代谢的分析策略将可能成为发现 AA 疾病机制或治疗的重要方法。通过 TWAS 发现源于遗传突变导致的基因表达改变，随后在 AA 的细胞代写上分析这种影响，从而发现基因突变对于 AA 患者细胞代谢的改变。</w:t>
      </w:r>
    </w:p>
    <w:p>
      <w:pPr>
        <w:pStyle w:val="2"/>
      </w:pPr>
      <w:bookmarkStart w:id="22" w:name="methods"/>
      <w:r>
        <w:t xml:space="preserve">2	可行性</w:t>
      </w:r>
      <w:bookmarkEnd w:id="22"/>
    </w:p>
    <w:p>
      <w:pPr>
        <w:pStyle w:val="4"/>
      </w:pPr>
      <w:bookmarkStart w:id="23" w:name="以-aplastic-anemia-and-gwas-搜索文献"/>
      <w:r>
        <w:t xml:space="preserve">2.1	以</w:t>
      </w:r>
      <w:r>
        <w:t xml:space="preserve"> </w:t>
      </w:r>
      <w:r>
        <w:rPr>
          <w:rStyle w:val="197"/>
        </w:rPr>
        <w:t xml:space="preserve">"Aplastic anemia" AND "GWAS"</w:t>
      </w:r>
      <w:r>
        <w:t xml:space="preserve"> </w:t>
      </w:r>
      <w:r>
        <w:t xml:space="preserve">搜索文献。</w:t>
      </w:r>
      <w:bookmarkEnd w:id="23"/>
    </w:p>
    <w:p>
      <w:pPr>
        <w:jc w:val="center"/>
        <w:pStyle w:val="1"/>
      </w:pPr>
      <w:r>
        <w:rPr/>
        <w:drawing>
          <wp:inline distT="0" distB="0" distL="0" distR="0">
            <wp:extent cx="5669280" cy="2583566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35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17da62de-8942-4953-b806-4715e70e68b9" w:name="unnamed-chunk-6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7da62de-8942-4953-b806-4715e70e68b9"/>
      <w:r>
        <w:rPr>
          <w:rFonts/>
          <w:b w:val="true"/>
        </w:rPr>
        <w:t xml:space="preserve"> </w:t>
      </w:r>
      <w:r>
        <w:t xml:space="preserve">Unnamed chunk 6</w:t>
      </w:r>
    </w:p>
    <w:p>
      <w:pPr>
        <w:pStyle w:val="4"/>
      </w:pPr>
      <w:bookmarkStart w:id="24" w:name="以-aplastic-anemia-and-metabolic-搜索文献"/>
      <w:r>
        <w:t xml:space="preserve">2.2	以</w:t>
      </w:r>
      <w:r>
        <w:t xml:space="preserve"> </w:t>
      </w:r>
      <w:r>
        <w:rPr>
          <w:rStyle w:val="197"/>
        </w:rPr>
        <w:t xml:space="preserve">"Aplastic anemia" AND "metabolic"</w:t>
      </w:r>
      <w:r>
        <w:t xml:space="preserve"> </w:t>
      </w:r>
      <w:r>
        <w:t xml:space="preserve">搜索文献。</w:t>
      </w:r>
      <w:bookmarkEnd w:id="24"/>
    </w:p>
    <w:p>
      <w:pPr>
        <w:jc w:val="center"/>
        <w:pStyle w:val="1"/>
      </w:pPr>
      <w:r>
        <w:rPr/>
        <w:drawing>
          <wp:inline distT="0" distB="0" distL="0" distR="0">
            <wp:extent cx="5669280" cy="2729227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37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4422e93e-9106-415a-825e-26f960431ed2" w:name="unnamed-chunk-7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4422e93e-9106-415a-825e-26f960431ed2"/>
      <w:r>
        <w:rPr>
          <w:rFonts/>
          <w:b w:val="true"/>
        </w:rPr>
        <w:t xml:space="preserve"> </w:t>
      </w:r>
      <w:r>
        <w:t xml:space="preserve">Unnamed chunk 7</w:t>
      </w:r>
    </w:p>
    <w:p>
      <w:pPr>
        <w:pStyle w:val="2"/>
      </w:pPr>
      <w:bookmarkStart w:id="25" w:name="results"/>
      <w:r>
        <w:t xml:space="preserve">3	创新性</w:t>
      </w:r>
      <w:bookmarkEnd w:id="25"/>
    </w:p>
    <w:p>
      <w:pPr>
        <w:pStyle w:val="4"/>
      </w:pPr>
      <w:bookmarkStart w:id="26" w:name="以-aplastic-anemia-and-twas-搜索文献"/>
      <w:r>
        <w:t xml:space="preserve">3.1	以</w:t>
      </w:r>
      <w:r>
        <w:t xml:space="preserve"> </w:t>
      </w:r>
      <w:r>
        <w:rPr>
          <w:rStyle w:val="197"/>
        </w:rPr>
        <w:t xml:space="preserve">"Aplastic anemia" AND "TWAS"</w:t>
      </w:r>
      <w:r>
        <w:t xml:space="preserve"> </w:t>
      </w:r>
      <w:r>
        <w:t xml:space="preserve">搜索文献。</w:t>
      </w:r>
      <w:bookmarkEnd w:id="26"/>
    </w:p>
    <w:p>
      <w:pPr>
        <w:jc w:val="center"/>
        <w:pStyle w:val="1"/>
      </w:pPr>
      <w:r>
        <w:rPr/>
        <w:drawing>
          <wp:inline distT="0" distB="0" distL="0" distR="0">
            <wp:extent cx="5669280" cy="2388074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33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c846d0da-44f2-4504-a980-281c610154c9" w:name="unnamed-chunk-8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c846d0da-44f2-4504-a980-281c610154c9"/>
      <w:r>
        <w:rPr>
          <w:rFonts/>
          <w:b w:val="true"/>
        </w:rPr>
        <w:t xml:space="preserve"> </w:t>
      </w:r>
      <w:r>
        <w:t xml:space="preserve">Unnamed chunk 8</w:t>
      </w:r>
    </w:p>
    <w:p>
      <w:pPr>
        <w:pStyle w:val="4"/>
      </w:pPr>
      <w:bookmarkStart w:id="27" w:name="X5948dad09c42f53f6c84b1fd03ded1a1e00636c"/>
      <w:r>
        <w:t xml:space="preserve">3.2	以</w:t>
      </w:r>
      <w:r>
        <w:t xml:space="preserve"> </w:t>
      </w:r>
      <w:r>
        <w:rPr>
          <w:rStyle w:val="197"/>
        </w:rPr>
        <w:t xml:space="preserve">"Aplastic anemia" AND "TWAS" AND "metabolic"</w:t>
      </w:r>
      <w:r>
        <w:t xml:space="preserve"> </w:t>
      </w:r>
      <w:r>
        <w:t xml:space="preserve">搜索文献。</w:t>
      </w:r>
      <w:bookmarkEnd w:id="27"/>
    </w:p>
    <w:p>
      <w:pPr>
        <w:jc w:val="center"/>
        <w:pStyle w:val="1"/>
      </w:pPr>
      <w:r>
        <w:rPr/>
        <w:drawing>
          <wp:inline distT="0" distB="0" distL="0" distR="0">
            <wp:extent cx="5669280" cy="2146809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29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81178a2c-9d1b-4147-88d6-24e1d2fadc33" w:name="unnamed-chunk-9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81178a2c-9d1b-4147-88d6-24e1d2fadc33"/>
      <w:r>
        <w:rPr>
          <w:rFonts/>
          <w:b w:val="true"/>
        </w:rPr>
        <w:t xml:space="preserve"> </w:t>
      </w:r>
      <w:r>
        <w:t xml:space="preserve">Unnamed chunk 9</w:t>
      </w:r>
    </w:p>
    <w:p>
      <w:pPr>
        <w:pStyle w:val="2"/>
      </w:pPr>
      <w:bookmarkStart w:id="28" w:name="workflow"/>
      <w:r>
        <w:t xml:space="preserve">4	参考文献和数据集</w:t>
      </w:r>
      <w:bookmarkEnd w:id="28"/>
    </w:p>
    <w:p>
      <w:pPr>
        <w:pStyle w:val="4"/>
      </w:pPr>
      <w:bookmarkStart w:id="29" w:name="gwas-数据"/>
      <w:r>
        <w:t xml:space="preserve">4.1	GWAS 数据</w:t>
      </w:r>
      <w:bookmarkEnd w:id="29"/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Tab.  </w:t>
      </w:r>
      <w:bookmarkStart w:id="37d83b11-4e51-40bb-9ef5-955f568e744b" w:name="Traits-in-Open-GWAS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37d83b11-4e51-40bb-9ef5-955f568e744b"/>
      <w:r>
        <w:rPr>
          <w:rFonts/>
          <w:b w:val="true"/>
        </w:rPr>
        <w:t xml:space="preserve">  </w:t>
      </w:r>
      <w:r>
        <w:t xml:space="preserve">Traits in Open GWAS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Group ...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Consor...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Pmid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Popula...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Ebi-a-...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Public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Sakaue 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34594039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European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Ebi-a-...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Public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Sakaue 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34594039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East A...</w:t>
            </w:r>
          </w:p>
        </w:tc>
      </w:tr>
    </w:tbl>
    <w:p>
      <w:pPr>
        <w:pStyle w:val="4"/>
      </w:pPr>
      <w:bookmarkStart w:id="30" w:name="scrna-seq"/>
      <w:r>
        <w:t xml:space="preserve">4.2	scRNA-seq</w:t>
      </w:r>
      <w:bookmarkEnd w:id="30"/>
    </w:p>
    <w:p>
      <w:pPr>
        <w:numPr>
          <w:ilvl w:val="0"/>
          <w:numId w:val="1001"/>
        </w:numPr>
        <w:pStyle w:val="186"/>
      </w:pPr>
      <w:r>
        <w:t xml:space="preserve">GSE279914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Tab.  </w:t>
      </w:r>
      <w:bookmarkStart w:id="693205af-9692-4ea2-bed7-5f5950fd48ea" w:name="AA-GSE279914-metadata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693205af-9692-4ea2-bed7-5f5950fd48ea"/>
      <w:r>
        <w:rPr>
          <w:rFonts/>
          <w:b w:val="true"/>
        </w:rPr>
        <w:t xml:space="preserve">  </w:t>
      </w:r>
      <w:r>
        <w:t xml:space="preserve">AA GSE279914 metadata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Rownames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Title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Batch.ch1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Cell.l...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Diseas...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Diseas...1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Donor.ch1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Tissue...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EG34, ...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D21, D22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EG36,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Follow-up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D21,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EG38,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Refrac...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D24,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EG40,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Refrac...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D26, D27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EG46,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D32,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EG54,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D38,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EG57,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D41, D42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EG34,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D21, D22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EG36,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Follow-up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D21,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EG38,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Refrac...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D24,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EG40,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Refrac...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D26, D27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EG46,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D32,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EG54,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D38,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EG57, 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D41, D42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</w:tbl>
    <w:p>
      <w:pPr>
        <w:pStyle w:val="4"/>
      </w:pPr>
      <w:bookmarkStart w:id="31" w:name="单细胞数据预测代谢通量的方法"/>
      <w:r>
        <w:t xml:space="preserve">4.3	单细胞数据预测代谢通量的方法</w:t>
      </w:r>
      <w:bookmarkEnd w:id="31"/>
    </w:p>
    <w:p>
      <w:pPr>
        <w:numPr>
          <w:ilvl w:val="0"/>
          <w:numId w:val="1002"/>
        </w:numPr>
        <w:pStyle w:val="186"/>
      </w:pPr>
      <w:r>
        <w:t xml:space="preserve">scFEA 通过scRNA-seq 预测代谢通量 (2021,</w:t>
      </w:r>
      <w:r>
        <w:t xml:space="preserve"> </w:t>
      </w:r>
      <w:r>
        <w:rPr>
          <w:b/>
        </w:rPr>
        <w:t xml:space="preserve">IF:6.2</w:t>
      </w:r>
      <w:r>
        <w:t xml:space="preserve">, Q1, Genome research)</w:t>
      </w:r>
      <w:r>
        <w:rPr>
          <w:vertAlign w:val="superscript"/>
        </w:rPr>
        <w:t xml:space="preserve">5</w:t>
      </w:r>
    </w:p>
    <w:p>
      <w:pPr>
        <w:numPr>
          <w:ilvl w:val="0"/>
          <w:numId w:val="1002"/>
        </w:numPr>
        <w:pStyle w:val="186"/>
      </w:pPr>
      <w:r>
        <w:t xml:space="preserve">scFEA 的应用实例 (2023,</w:t>
      </w:r>
      <w:r>
        <w:t xml:space="preserve"> </w:t>
      </w:r>
      <w:r>
        <w:rPr>
          <w:b/>
        </w:rPr>
        <w:t xml:space="preserve">IF:3.9</w:t>
      </w:r>
      <w:r>
        <w:t xml:space="preserve">, Q2, Frontiers in endocrinology)</w:t>
      </w:r>
      <w:r>
        <w:rPr>
          <w:vertAlign w:val="superscript"/>
        </w:rPr>
        <w:t xml:space="preserve">6</w:t>
      </w:r>
    </w:p>
    <w:p>
      <w:pPr>
        <w:pStyle w:val="2"/>
      </w:pPr>
      <w:bookmarkStart w:id="32" w:name="bibliography"/>
      <w:r>
        <w:t xml:space="preserve">Reference</w:t>
      </w:r>
      <w:bookmarkEnd w:id="32"/>
    </w:p>
    <w:bookmarkStart w:id="39" w:name="refs"/>
    <w:bookmarkStart w:id="33" w:name="ref-Aplastic_Anemia_Young_2018"/>
    <w:p>
      <w:pPr>
        <w:pStyle w:val="189"/>
      </w:pPr>
      <w:r>
        <w:t xml:space="preserve">1. Young, N. S. Aplastic anemia.</w:t>
      </w:r>
      <w:r>
        <w:t xml:space="preserve"> </w:t>
      </w:r>
      <w:r>
        <w:rPr>
          <w:i/>
        </w:rPr>
        <w:t xml:space="preserve">The New England journal of medicine</w:t>
      </w:r>
      <w:r>
        <w:t xml:space="preserve"> </w:t>
      </w:r>
      <w:r>
        <w:rPr>
          <w:b/>
        </w:rPr>
        <w:t xml:space="preserve">379</w:t>
      </w:r>
      <w:r>
        <w:t xml:space="preserve">, 1643–1656 (2018).</w:t>
      </w:r>
    </w:p>
    <w:bookmarkEnd w:id="33"/>
    <w:bookmarkStart w:id="34" w:name="ref-Genome_wide_Ass_Savage_2020"/>
    <w:p>
      <w:pPr>
        <w:pStyle w:val="189"/>
      </w:pPr>
      <w:r>
        <w:t xml:space="preserve">2. Savage, S. A.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Genome-wide association study identifies hla-dpb1 as a significant risk factor for severe aplastic anemia.</w:t>
      </w:r>
      <w:r>
        <w:t xml:space="preserve"> </w:t>
      </w:r>
      <w:r>
        <w:rPr>
          <w:i/>
        </w:rPr>
        <w:t xml:space="preserve">American journal of human genetics</w:t>
      </w:r>
      <w:r>
        <w:t xml:space="preserve"> </w:t>
      </w:r>
      <w:r>
        <w:rPr>
          <w:b/>
        </w:rPr>
        <w:t xml:space="preserve">106</w:t>
      </w:r>
      <w:r>
        <w:t xml:space="preserve">, 264–271 (2020).</w:t>
      </w:r>
    </w:p>
    <w:bookmarkEnd w:id="34"/>
    <w:bookmarkStart w:id="35" w:name="ref-Plasma_Metabolo_Shao_2021"/>
    <w:p>
      <w:pPr>
        <w:pStyle w:val="189"/>
      </w:pPr>
      <w:r>
        <w:t xml:space="preserve">3. Shao, Y.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Plasma metabolomic and intestinal microbial analyses of patients with severe aplastic anemia.</w:t>
      </w:r>
      <w:r>
        <w:t xml:space="preserve"> </w:t>
      </w:r>
      <w:r>
        <w:rPr>
          <w:i/>
        </w:rPr>
        <w:t xml:space="preserve">Frontiers in cell and developmental biology</w:t>
      </w:r>
      <w:r>
        <w:t xml:space="preserve"> </w:t>
      </w:r>
      <w:r>
        <w:rPr>
          <w:b/>
        </w:rPr>
        <w:t xml:space="preserve">9</w:t>
      </w:r>
      <w:r>
        <w:t xml:space="preserve">, (2021).</w:t>
      </w:r>
    </w:p>
    <w:bookmarkEnd w:id="35"/>
    <w:bookmarkStart w:id="36" w:name="ref-Single_cell_RNA_Zhou_2023"/>
    <w:p>
      <w:pPr>
        <w:pStyle w:val="189"/>
      </w:pPr>
      <w:r>
        <w:t xml:space="preserve">4. Zhou, Q.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Single-cell rna sequencing depicts metabolic changes in children with aplastic anemia.</w:t>
      </w:r>
      <w:r>
        <w:t xml:space="preserve"> </w:t>
      </w:r>
      <w:r>
        <w:rPr>
          <w:i/>
        </w:rPr>
        <w:t xml:space="preserve">Frontiers in oncology</w:t>
      </w:r>
      <w:r>
        <w:t xml:space="preserve"> </w:t>
      </w:r>
      <w:r>
        <w:rPr>
          <w:b/>
        </w:rPr>
        <w:t xml:space="preserve">13</w:t>
      </w:r>
      <w:r>
        <w:t xml:space="preserve">, (2023).</w:t>
      </w:r>
    </w:p>
    <w:bookmarkEnd w:id="36"/>
    <w:bookmarkStart w:id="37" w:name="ref-AGraphNeuralAlgham2021"/>
    <w:p>
      <w:pPr>
        <w:pStyle w:val="189"/>
      </w:pPr>
      <w:r>
        <w:t xml:space="preserve">5. Alghamdi, N.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A graph neural network model to estimate cell-wise metabolic flux using single-cell rna-seq data.</w:t>
      </w:r>
      <w:r>
        <w:t xml:space="preserve"> </w:t>
      </w:r>
      <w:r>
        <w:rPr>
          <w:i/>
        </w:rPr>
        <w:t xml:space="preserve">Genome research</w:t>
      </w:r>
      <w:r>
        <w:t xml:space="preserve"> </w:t>
      </w:r>
      <w:r>
        <w:rPr>
          <w:b/>
        </w:rPr>
        <w:t xml:space="preserve">31</w:t>
      </w:r>
      <w:r>
        <w:t xml:space="preserve">, 1867–1884 (2021).</w:t>
      </w:r>
    </w:p>
    <w:bookmarkEnd w:id="37"/>
    <w:bookmarkStart w:id="38" w:name="ref-SingleCellCorAgoro2023"/>
    <w:p>
      <w:pPr>
        <w:pStyle w:val="189"/>
      </w:pPr>
      <w:r>
        <w:t xml:space="preserve">6. Agoro, R.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Single cell cortical bone transcriptomics define novel osteolineage gene sets altered in chronic kidney disease.</w:t>
      </w:r>
      <w:r>
        <w:t xml:space="preserve"> </w:t>
      </w:r>
      <w:r>
        <w:rPr>
          <w:i/>
        </w:rPr>
        <w:t xml:space="preserve">Frontiers in endocrinology</w:t>
      </w:r>
      <w:r>
        <w:t xml:space="preserve"> </w:t>
      </w:r>
      <w:r>
        <w:rPr>
          <w:b/>
        </w:rPr>
        <w:t xml:space="preserve">14</w:t>
      </w:r>
      <w:r>
        <w:t xml:space="preserve">, (2023).</w:t>
      </w:r>
    </w:p>
    <w:bookmarkEnd w:id="38"/>
    <w:bookmarkEnd w:id="39"/>
    <w:sectPr>
      <w:type w:val="continuous"/>
      <w:pgSz w:w="11906" w:h="16838"/>
      <w:pgMar w:top="1134" w:right="850" w:bottom="1134" w:left="1701" w:header="709" w:footer="709" w:gutter="0"/>
      <w:cols w:space="720" w:num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S Mincho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uiPriority w:val="99"/>
    <w:rPr>
      <w:sz w:val="21"/>
    </w:rPr>
  </w:style>
  <w:style w:type="character" w:customStyle="1" w:styleId="185">
    <w:name w:val="Endnote Text Char"/>
    <w:link w:val="18"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uiPriority w:val="0"/>
    <w:rPr>
      <w:sz w:val="21"/>
    </w:rPr>
  </w:style>
  <w:style w:type="paragraph" w:customStyle="1" w:styleId="193">
    <w:name w:val="Table Caption"/>
    <w:basedOn w:val="15"/>
    <w:uiPriority w:val="0"/>
    <w:pPr>
      <w:keepNext/>
    </w:pPr>
    <w:rPr>
      <w:sz w:val="21"/>
    </w:rPr>
  </w:style>
  <w:style w:type="paragraph" w:customStyle="1" w:styleId="194">
    <w:name w:val="Image Caption"/>
    <w:basedOn w:val="15"/>
    <w:uiPriority w:val="0"/>
  </w:style>
  <w:style w:type="paragraph" w:customStyle="1" w:styleId="195">
    <w:name w:val="Figure"/>
    <w:basedOn w:val="1"/>
    <w:uiPriority w:val="0"/>
  </w:style>
  <w:style w:type="paragraph" w:customStyle="1" w:styleId="196">
    <w:name w:val="Captioned Figure"/>
    <w:basedOn w:val="195"/>
    <w:uiPriority w:val="0"/>
    <w:pPr>
      <w:keepNext/>
    </w:pPr>
    <w:rPr>
      <w:sz w:val="21"/>
    </w:rPr>
  </w:style>
  <w:style w:type="character" w:customStyle="1" w:styleId="197">
    <w:name w:val="Verbatim Char"/>
    <w:basedOn w:val="21"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uiPriority w:val="0"/>
    <w:rPr>
      <w:color w:val="204A87"/>
      <w:sz w:val="21"/>
      <w:shd w:val="clear" w:fill="EDEDED"/>
    </w:rPr>
  </w:style>
  <w:style w:type="character" w:customStyle="1" w:styleId="203">
    <w:name w:val="DecValTok"/>
    <w:uiPriority w:val="0"/>
    <w:rPr>
      <w:color w:val="0000CF"/>
      <w:sz w:val="21"/>
      <w:shd w:val="clear" w:fill="EDEDED"/>
    </w:rPr>
  </w:style>
  <w:style w:type="character" w:customStyle="1" w:styleId="204">
    <w:name w:val="BaseNTok"/>
    <w:uiPriority w:val="0"/>
    <w:rPr>
      <w:color w:val="0000CF"/>
      <w:sz w:val="21"/>
      <w:shd w:val="clear" w:fill="EDEDED"/>
    </w:rPr>
  </w:style>
  <w:style w:type="character" w:customStyle="1" w:styleId="205">
    <w:name w:val="FloatTok"/>
    <w:uiPriority w:val="0"/>
    <w:rPr>
      <w:color w:val="0000CF"/>
      <w:sz w:val="21"/>
      <w:shd w:val="clear" w:fill="EDEDED"/>
    </w:rPr>
  </w:style>
  <w:style w:type="character" w:customStyle="1" w:styleId="206">
    <w:name w:val="ConstantTok"/>
    <w:uiPriority w:val="0"/>
    <w:rPr>
      <w:color w:val="000000"/>
      <w:sz w:val="21"/>
      <w:shd w:val="clear" w:fill="EDEDED"/>
    </w:rPr>
  </w:style>
  <w:style w:type="character" w:customStyle="1" w:styleId="207">
    <w:name w:val="CharTok"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uiPriority w:val="0"/>
    <w:rPr>
      <w:color w:val="000000"/>
      <w:sz w:val="21"/>
      <w:shd w:val="clear" w:fill="EDEDED"/>
    </w:rPr>
  </w:style>
  <w:style w:type="character" w:customStyle="1" w:styleId="209">
    <w:name w:val="StringTok"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uiPriority w:val="0"/>
    <w:rPr>
      <w:color w:val="4E9A06"/>
      <w:sz w:val="21"/>
      <w:shd w:val="clear" w:fill="EDEDED"/>
    </w:rPr>
  </w:style>
  <w:style w:type="character" w:customStyle="1" w:styleId="212">
    <w:name w:val="ImportTok"/>
    <w:uiPriority w:val="0"/>
    <w:rPr>
      <w:sz w:val="21"/>
      <w:shd w:val="clear" w:fill="EDEDED"/>
    </w:rPr>
  </w:style>
  <w:style w:type="character" w:customStyle="1" w:styleId="213">
    <w:name w:val="CommentTok"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uiPriority w:val="0"/>
    <w:rPr>
      <w:color w:val="8F5902"/>
      <w:sz w:val="21"/>
      <w:shd w:val="clear" w:fill="EDEDED"/>
    </w:rPr>
  </w:style>
  <w:style w:type="character" w:customStyle="1" w:styleId="218">
    <w:name w:val="FunctionTok"/>
    <w:uiPriority w:val="0"/>
    <w:rPr>
      <w:color w:val="000000"/>
      <w:sz w:val="21"/>
      <w:shd w:val="clear" w:fill="EDEDED"/>
    </w:rPr>
  </w:style>
  <w:style w:type="character" w:customStyle="1" w:styleId="219">
    <w:name w:val="VariableTok"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uiPriority w:val="0"/>
    <w:rPr>
      <w:sz w:val="21"/>
      <w:shd w:val="clear" w:fill="EDEDED"/>
    </w:rPr>
  </w:style>
  <w:style w:type="character" w:customStyle="1" w:styleId="223">
    <w:name w:val="ExtensionTok"/>
    <w:uiPriority w:val="0"/>
    <w:rPr>
      <w:sz w:val="21"/>
      <w:shd w:val="clear" w:fill="EDEDED"/>
    </w:rPr>
  </w:style>
  <w:style w:type="character" w:customStyle="1" w:styleId="224">
    <w:name w:val="PreprocessorTok"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uiPriority w:val="0"/>
    <w:rPr>
      <w:sz w:val="21"/>
      <w:shd w:val="clear" w:fill="EDEDED"/>
    </w:rPr>
  </w:style>
  <w:style w:type="character" w:customStyle="1" w:styleId="227">
    <w:name w:val="InformationTok"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uiPriority w:val="0"/>
    <w:rPr>
      <w:color w:val="EF2929"/>
      <w:sz w:val="21"/>
      <w:shd w:val="clear" w:fill="EDEDED"/>
    </w:rPr>
  </w:style>
  <w:style w:type="character" w:customStyle="1" w:styleId="230">
    <w:name w:val="ErrorTok"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uiPriority w:val="0"/>
    <w:rPr>
      <w:sz w:val="21"/>
      <w:shd w:val="clear" w:fill="EDEDED"/>
    </w:rPr>
  </w:style>
  <w:style w:type="paragraph" w:customStyle="1" w:styleId="232">
    <w:name w:val="Source Code1"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uiPriority w:val="0"/>
    <w:rPr>
      <w:color w:val="204A87"/>
      <w:sz w:val="21"/>
      <w:shd w:val="clear" w:fill="EDEDED"/>
    </w:rPr>
  </w:style>
  <w:style w:type="character" w:customStyle="1" w:styleId="235">
    <w:name w:val="DecValTok1"/>
    <w:uiPriority w:val="0"/>
    <w:rPr>
      <w:color w:val="0000CF"/>
      <w:sz w:val="21"/>
      <w:shd w:val="clear" w:fill="EDEDED"/>
    </w:rPr>
  </w:style>
  <w:style w:type="character" w:customStyle="1" w:styleId="236">
    <w:name w:val="BaseNTok1"/>
    <w:uiPriority w:val="0"/>
    <w:rPr>
      <w:color w:val="0000CF"/>
      <w:sz w:val="21"/>
      <w:shd w:val="clear" w:fill="EDEDED"/>
    </w:rPr>
  </w:style>
  <w:style w:type="character" w:customStyle="1" w:styleId="237">
    <w:name w:val="FloatTok1"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uiPriority w:val="0"/>
    <w:rPr>
      <w:color w:val="000000"/>
      <w:sz w:val="21"/>
      <w:shd w:val="clear" w:fill="EDEDED"/>
    </w:rPr>
  </w:style>
  <w:style w:type="character" w:customStyle="1" w:styleId="239">
    <w:name w:val="CharTok1"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uiPriority w:val="0"/>
    <w:rPr>
      <w:color w:val="000000"/>
      <w:sz w:val="21"/>
      <w:shd w:val="clear" w:fill="EDEDED"/>
    </w:rPr>
  </w:style>
  <w:style w:type="character" w:customStyle="1" w:styleId="241">
    <w:name w:val="StringTok1"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uiPriority w:val="0"/>
    <w:rPr>
      <w:color w:val="4E9A06"/>
      <w:sz w:val="21"/>
      <w:shd w:val="clear" w:fill="EDEDED"/>
    </w:rPr>
  </w:style>
  <w:style w:type="character" w:customStyle="1" w:styleId="244">
    <w:name w:val="ImportTok1"/>
    <w:uiPriority w:val="0"/>
    <w:rPr>
      <w:sz w:val="21"/>
      <w:shd w:val="clear" w:fill="EDEDED"/>
    </w:rPr>
  </w:style>
  <w:style w:type="character" w:customStyle="1" w:styleId="245">
    <w:name w:val="CommentTok1"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uiPriority w:val="0"/>
    <w:rPr>
      <w:sz w:val="21"/>
      <w:shd w:val="clear" w:fill="EDEDED"/>
    </w:rPr>
  </w:style>
  <w:style w:type="character" w:customStyle="1" w:styleId="255">
    <w:name w:val="ExtensionTok1"/>
    <w:uiPriority w:val="0"/>
    <w:rPr>
      <w:sz w:val="21"/>
      <w:shd w:val="clear" w:fill="EDEDED"/>
    </w:rPr>
  </w:style>
  <w:style w:type="character" w:customStyle="1" w:styleId="256">
    <w:name w:val="PreprocessorTok1"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uiPriority w:val="0"/>
    <w:rPr>
      <w:sz w:val="21"/>
      <w:shd w:val="clear" w:fill="EDEDED"/>
    </w:rPr>
  </w:style>
  <w:style w:type="character" w:customStyle="1" w:styleId="259">
    <w:name w:val="InformationTok1"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uiPriority w:val="0"/>
    <w:rPr>
      <w:color w:val="EF2929"/>
      <w:sz w:val="21"/>
      <w:shd w:val="clear" w:fill="EDEDED"/>
    </w:rPr>
  </w:style>
  <w:style w:type="character" w:customStyle="1" w:styleId="262">
    <w:name w:val="ErrorTok1"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uiPriority w:val="0"/>
    <w:rPr>
      <w:sz w:val="21"/>
      <w:shd w:val="clear" w:fill="EDEDED"/>
    </w:rPr>
  </w:style>
  <w:style w:type="paragraph" w:customStyle="1" w:styleId="264">
    <w:name w:val="Source Code2"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uiPriority w:val="0"/>
    <w:rPr>
      <w:b/>
      <w:color w:val="204A87"/>
      <w:shd w:val="clear" w:fill="F8F8F8"/>
    </w:rPr>
  </w:style>
  <w:style w:type="character" w:customStyle="1" w:styleId="266">
    <w:name w:val="DataTypeTok2"/>
    <w:uiPriority w:val="0"/>
    <w:rPr>
      <w:color w:val="204A87"/>
      <w:shd w:val="clear" w:fill="F8F8F8"/>
    </w:rPr>
  </w:style>
  <w:style w:type="character" w:customStyle="1" w:styleId="267">
    <w:name w:val="DecValTok2"/>
    <w:uiPriority w:val="0"/>
    <w:rPr>
      <w:color w:val="0000CF"/>
      <w:shd w:val="clear" w:fill="F8F8F8"/>
    </w:rPr>
  </w:style>
  <w:style w:type="character" w:customStyle="1" w:styleId="268">
    <w:name w:val="BaseNTok2"/>
    <w:uiPriority w:val="0"/>
    <w:rPr>
      <w:color w:val="0000CF"/>
      <w:shd w:val="clear" w:fill="F8F8F8"/>
    </w:rPr>
  </w:style>
  <w:style w:type="character" w:customStyle="1" w:styleId="269">
    <w:name w:val="FloatTok2"/>
    <w:uiPriority w:val="0"/>
    <w:rPr>
      <w:color w:val="0000CF"/>
      <w:shd w:val="clear" w:fill="F8F8F8"/>
    </w:rPr>
  </w:style>
  <w:style w:type="character" w:customStyle="1" w:styleId="270">
    <w:name w:val="ConstantTok2"/>
    <w:uiPriority w:val="0"/>
    <w:rPr>
      <w:color w:val="000000"/>
      <w:shd w:val="clear" w:fill="F8F8F8"/>
    </w:rPr>
  </w:style>
  <w:style w:type="character" w:customStyle="1" w:styleId="271">
    <w:name w:val="CharTok2"/>
    <w:uiPriority w:val="0"/>
    <w:rPr>
      <w:color w:val="4E9A06"/>
      <w:shd w:val="clear" w:fill="F8F8F8"/>
    </w:rPr>
  </w:style>
  <w:style w:type="character" w:customStyle="1" w:styleId="272">
    <w:name w:val="SpecialCharTok2"/>
    <w:uiPriority w:val="0"/>
    <w:rPr>
      <w:color w:val="000000"/>
      <w:shd w:val="clear" w:fill="F8F8F8"/>
    </w:rPr>
  </w:style>
  <w:style w:type="character" w:customStyle="1" w:styleId="273">
    <w:name w:val="StringTok2"/>
    <w:uiPriority w:val="0"/>
    <w:rPr>
      <w:color w:val="4E9A06"/>
      <w:shd w:val="clear" w:fill="F8F8F8"/>
    </w:rPr>
  </w:style>
  <w:style w:type="character" w:customStyle="1" w:styleId="274">
    <w:name w:val="VerbatimStringTok2"/>
    <w:uiPriority w:val="0"/>
    <w:rPr>
      <w:color w:val="4E9A06"/>
      <w:shd w:val="clear" w:fill="F8F8F8"/>
    </w:rPr>
  </w:style>
  <w:style w:type="character" w:customStyle="1" w:styleId="275">
    <w:name w:val="SpecialStringTok2"/>
    <w:uiPriority w:val="0"/>
    <w:rPr>
      <w:color w:val="4E9A06"/>
      <w:shd w:val="clear" w:fill="F8F8F8"/>
    </w:rPr>
  </w:style>
  <w:style w:type="character" w:customStyle="1" w:styleId="276">
    <w:name w:val="ImportTok2"/>
    <w:uiPriority w:val="0"/>
    <w:rPr>
      <w:shd w:val="clear" w:fill="F8F8F8"/>
    </w:rPr>
  </w:style>
  <w:style w:type="character" w:customStyle="1" w:styleId="277">
    <w:name w:val="CommentTok2"/>
    <w:uiPriority w:val="0"/>
    <w:rPr>
      <w:i/>
      <w:color w:val="8F5902"/>
      <w:shd w:val="clear" w:fill="F8F8F8"/>
    </w:rPr>
  </w:style>
  <w:style w:type="character" w:customStyle="1" w:styleId="278">
    <w:name w:val="DocumentationTok2"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uiPriority w:val="0"/>
    <w:rPr>
      <w:b/>
      <w:i/>
      <w:color w:val="8F5902"/>
      <w:shd w:val="clear" w:fill="F8F8F8"/>
    </w:rPr>
  </w:style>
  <w:style w:type="character" w:customStyle="1" w:styleId="281">
    <w:name w:val="OtherTok2"/>
    <w:uiPriority w:val="0"/>
    <w:rPr>
      <w:color w:val="8F5902"/>
      <w:shd w:val="clear" w:fill="F8F8F8"/>
    </w:rPr>
  </w:style>
  <w:style w:type="character" w:customStyle="1" w:styleId="282">
    <w:name w:val="FunctionTok2"/>
    <w:uiPriority w:val="0"/>
    <w:rPr>
      <w:color w:val="000000"/>
      <w:shd w:val="clear" w:fill="F8F8F8"/>
    </w:rPr>
  </w:style>
  <w:style w:type="character" w:customStyle="1" w:styleId="283">
    <w:name w:val="VariableTok2"/>
    <w:uiPriority w:val="0"/>
    <w:rPr>
      <w:color w:val="000000"/>
      <w:shd w:val="clear" w:fill="F8F8F8"/>
    </w:rPr>
  </w:style>
  <w:style w:type="character" w:customStyle="1" w:styleId="284">
    <w:name w:val="ControlFlowTok2"/>
    <w:uiPriority w:val="0"/>
    <w:rPr>
      <w:b/>
      <w:color w:val="204A87"/>
      <w:shd w:val="clear" w:fill="F8F8F8"/>
    </w:rPr>
  </w:style>
  <w:style w:type="character" w:customStyle="1" w:styleId="285">
    <w:name w:val="OperatorTok2"/>
    <w:uiPriority w:val="0"/>
    <w:rPr>
      <w:b/>
      <w:color w:val="CE5C00"/>
      <w:shd w:val="clear" w:fill="F8F8F8"/>
    </w:rPr>
  </w:style>
  <w:style w:type="character" w:customStyle="1" w:styleId="286">
    <w:name w:val="BuiltInTok2"/>
    <w:uiPriority w:val="0"/>
    <w:rPr>
      <w:shd w:val="clear" w:fill="F8F8F8"/>
    </w:rPr>
  </w:style>
  <w:style w:type="character" w:customStyle="1" w:styleId="287">
    <w:name w:val="ExtensionTok2"/>
    <w:uiPriority w:val="0"/>
    <w:rPr>
      <w:shd w:val="clear" w:fill="F8F8F8"/>
    </w:rPr>
  </w:style>
  <w:style w:type="character" w:customStyle="1" w:styleId="288">
    <w:name w:val="PreprocessorTok2"/>
    <w:uiPriority w:val="0"/>
    <w:rPr>
      <w:i/>
      <w:color w:val="8F5902"/>
      <w:shd w:val="clear" w:fill="F8F8F8"/>
    </w:rPr>
  </w:style>
  <w:style w:type="character" w:customStyle="1" w:styleId="289">
    <w:name w:val="AttributeTok2"/>
    <w:uiPriority w:val="0"/>
    <w:rPr>
      <w:color w:val="C4A000"/>
      <w:shd w:val="clear" w:fill="F8F8F8"/>
    </w:rPr>
  </w:style>
  <w:style w:type="character" w:customStyle="1" w:styleId="290">
    <w:name w:val="RegionMarkerTok2"/>
    <w:uiPriority w:val="0"/>
    <w:rPr>
      <w:shd w:val="clear" w:fill="F8F8F8"/>
    </w:rPr>
  </w:style>
  <w:style w:type="character" w:customStyle="1" w:styleId="291">
    <w:name w:val="InformationTok2"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uiPriority w:val="0"/>
    <w:rPr>
      <w:b/>
      <w:i/>
      <w:color w:val="8F5902"/>
      <w:shd w:val="clear" w:fill="F8F8F8"/>
    </w:rPr>
  </w:style>
  <w:style w:type="character" w:customStyle="1" w:styleId="293">
    <w:name w:val="AlertTok2"/>
    <w:uiPriority w:val="0"/>
    <w:rPr>
      <w:color w:val="EF2929"/>
      <w:shd w:val="clear" w:fill="F8F8F8"/>
    </w:rPr>
  </w:style>
  <w:style w:type="character" w:customStyle="1" w:styleId="294">
    <w:name w:val="ErrorTok2"/>
    <w:uiPriority w:val="0"/>
    <w:rPr>
      <w:b/>
      <w:color w:val="A40000"/>
      <w:shd w:val="clear" w:fill="F8F8F8"/>
    </w:rPr>
  </w:style>
  <w:style w:type="character" w:customStyle="1" w:styleId="295">
    <w:name w:val="NormalTok2"/>
    <w:uiPriority w:val="0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8be93f94572c2a7d9151bd23672af99172e4820c.png"/>
<Relationship Id="rId10" Type="http://schemas.openxmlformats.org/officeDocument/2006/relationships/image" Target="media/830c7260480fffb0d866b01325458fa0962c74e7.png"/>
<Relationship Id="rId11" Type="http://schemas.openxmlformats.org/officeDocument/2006/relationships/image" Target="media/893b2f9a18c78d0043f98fff0a4fbe92f1474a0c.png"/>
<Relationship Id="rId12" Type="http://schemas.openxmlformats.org/officeDocument/2006/relationships/image" Target="media/63394cd11627fd98a878ec0080b0e7f141a71343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ScaleCrop>false</ScaleCrop>
  <LinksUpToDate>false</LinksUpToDate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2024-11-28T01:31:06Z</dcterms:created>
  <dcterms:modified xsi:type="dcterms:W3CDTF">2024-11-28T09:31:06Z</dcterms:modified>
  <cp:lastModifiedBy>echo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</Properties>
</file>