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" ContentType="application/octet-stream"/>
  <Override PartName="/word/media/image1.jpeg" ContentType="image/jpeg"/>
  <Override PartName="/word/media/image2.png" ContentType="image/pn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 w:ascii="Microsoft YaHei" w:hAnsi="Microsoft YaHei" w:eastAsia="Microsoft YaHei" w:cs="Microsoft YaHei"/>
          <w:i w:val="false"/>
          <w:b w:val="true"/>
          <w:u w:val="none"/>
          <w:sz w:val="52"/>
          <w:szCs w:val="52"/>
          <w:color w:val="000000"/>
        </w:rPr>
        <w:t xml:space="preserve">生物医药合作项目开发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研究方向：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脓毒症发病标志物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委托人：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许冠华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受托人：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杭州铂赛生物科技有限公司           .</w:t>
      </w:r>
    </w:p>
    <w:p>
      <w:r>
        <w:br w:type="page"/>
      </w:r>
    </w:p>
    <w:p>
      <w:pPr>
        <w:pStyle w:val="2"/>
      </w:pPr>
      <w:bookmarkStart w:id="20" w:name="abstract"/>
      <w:r>
        <w:t xml:space="preserve">1	研究背景</w:t>
      </w:r>
      <w:bookmarkEnd w:id="20"/>
    </w:p>
    <w:p>
      <w:pPr>
        <w:pStyle w:val="38"/>
      </w:pPr>
      <w:r>
        <w:t xml:space="preserve">脓毒症 (sepsis) 是一种由细菌、病毒或真菌等病原体引起的全身炎症性疾病，可导致多器官功能障碍，严重时甚至导致死亡 (2023,</w:t>
      </w:r>
      <w:r>
        <w:t xml:space="preserve"> </w:t>
      </w:r>
      <w:r>
        <w:rPr>
          <w:b/>
        </w:rPr>
        <w:t xml:space="preserve">IF:4.2</w:t>
      </w:r>
      <w:r>
        <w:t xml:space="preserve">, Q2, Journal of inflammation research)</w:t>
      </w:r>
      <w:r>
        <w:rPr>
          <w:vertAlign w:val="superscript"/>
        </w:rPr>
        <w:t xml:space="preserve">1</w:t>
      </w:r>
      <w:r>
        <w:t xml:space="preserve">。</w:t>
      </w:r>
      <w:r>
        <w:t xml:space="preserve"> </w:t>
      </w:r>
      <w:r>
        <w:t xml:space="preserve">在脓毒症期间，免疫细胞和非免疫细胞的代谢会发生重大变化，最终导致心脏、肺、肾、肝和脑等器官功能障碍。器官功能障碍的病理生理学特征是宿主对感染的反应紊乱，包括炎症过度和免疫抑制，这是一种病理改变，也称为免疫麻痹。在脓毒症期间，细胞能量代谢途径会发生改变。为了满足伴随脓毒症而增加的能量需求，细胞通过改变其代谢模式来促进细胞增殖和生长，这有助于细胞抵抗外部压力并赋予细胞新功能。</w:t>
      </w:r>
    </w:p>
    <w:p>
      <w:pPr>
        <w:pStyle w:val="3"/>
      </w:pPr>
      <w:r>
        <w:t xml:space="preserve">全面研究高炎症与免疫抑制的代谢关系，通过研究细胞代谢状态的生物标志物及时调控免疫细胞代谢，抑制过度炎症反应引起的器官损害，预防免疫麻痹，对今后的临床治疗，提高脓毒症患者的生存率具有重要意义。</w:t>
      </w:r>
    </w:p>
    <w:p>
      <w:pPr>
        <w:pStyle w:val="3"/>
      </w:pPr>
      <w:r>
        <w:t xml:space="preserve">然而，目前较少研究从细胞代谢水平 (scRNA-seq + cellular metabolic flux) 发现脓毒症细胞代谢状态的生物标志物。</w:t>
      </w:r>
    </w:p>
    <w:p>
      <w:pPr>
        <w:pStyle w:val="4"/>
      </w:pPr>
      <w:bookmarkStart w:id="21" w:name="introduction"/>
      <w:r>
        <w:t xml:space="preserve">1.1	思路</w:t>
      </w:r>
      <w:bookmarkEnd w:id="21"/>
    </w:p>
    <w:p>
      <w:pPr>
        <w:pStyle w:val="38"/>
      </w:pPr>
      <w:r>
        <w:t xml:space="preserve">以单细胞数据结合细胞代谢通量预测 (scRNA-seq + scFEA)，发掘免疫细胞和非免疫细胞的代谢变化，筛选表征细胞代谢状态的生物标志物，进而以多个数据集验证。</w:t>
      </w:r>
    </w:p>
    <w:p>
      <w:pPr>
        <w:pStyle w:val="2"/>
      </w:pPr>
      <w:bookmarkStart w:id="22" w:name="methods"/>
      <w:r>
        <w:t xml:space="preserve">2	可行性</w:t>
      </w:r>
      <w:bookmarkEnd w:id="22"/>
    </w:p>
    <w:p>
      <w:pPr>
        <w:pStyle w:val="4"/>
      </w:pPr>
      <w:bookmarkStart w:id="23" w:name="文献依据"/>
      <w:r>
        <w:t xml:space="preserve">2.1	文献依据</w:t>
      </w:r>
      <w:bookmarkEnd w:id="23"/>
    </w:p>
    <w:p>
      <w:pPr>
        <w:pStyle w:val="38"/>
      </w:pPr>
      <w:r>
        <w:t xml:space="preserve">脓毒症会改变能量代谢，导致免疫细胞代谢重编程，从而破坏先天和适应性免疫反应，引发过度炎症和免疫抑制，</w:t>
      </w:r>
      <w:r>
        <w:t xml:space="preserve"> </w:t>
      </w:r>
      <w:r>
        <w:t xml:space="preserve">代谢重编程有望成为未来脓毒症治疗的新靶点 (2023,</w:t>
      </w:r>
      <w:r>
        <w:t xml:space="preserve"> </w:t>
      </w:r>
      <w:r>
        <w:rPr>
          <w:b/>
        </w:rPr>
        <w:t xml:space="preserve">IF:4.2</w:t>
      </w:r>
      <w:r>
        <w:t xml:space="preserve">, Q2, Journal of inflammation research)</w:t>
      </w:r>
      <w:r>
        <w:rPr>
          <w:vertAlign w:val="superscript"/>
        </w:rPr>
        <w:t xml:space="preserve">1</w:t>
      </w:r>
      <w:r>
        <w:t xml:space="preserve">。</w:t>
      </w:r>
    </w:p>
    <w:p>
      <w:pPr>
        <w:pStyle w:val="4"/>
      </w:pPr>
      <w:bookmarkStart w:id="24" w:name="X762a2ccec29aea03b25bbee902a75e43da28fa7"/>
      <w:r>
        <w:t xml:space="preserve">2.2	以</w:t>
      </w:r>
      <w:r>
        <w:t xml:space="preserve"> </w:t>
      </w:r>
      <w:r>
        <w:rPr>
          <w:rStyle w:val="197"/>
        </w:rPr>
        <w:t xml:space="preserve">sepsis AND metabolic AND scRNA-seq</w:t>
      </w:r>
      <w:r>
        <w:t xml:space="preserve"> </w:t>
      </w:r>
      <w:r>
        <w:t xml:space="preserve">搜索文献。</w:t>
      </w:r>
      <w:bookmarkEnd w:id="24"/>
    </w:p>
    <w:p>
      <w:pPr>
        <w:pStyle w:val="38"/>
      </w:pPr>
      <w:r>
        <w:rPr/>
        <w:drawing>
          <wp:inline distT="0" distB="0" distL="0" distR="0">
            <wp:extent cx="5669280" cy="2560004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5" w:name="results"/>
      <w:r>
        <w:t xml:space="preserve">3	创新性</w:t>
      </w:r>
      <w:bookmarkEnd w:id="25"/>
    </w:p>
    <w:p>
      <w:pPr>
        <w:pStyle w:val="4"/>
      </w:pPr>
      <w:bookmarkStart w:id="26" w:name="X1cd10c2de518da71938237ba331f89473475c12"/>
      <w:r>
        <w:t xml:space="preserve">3.1	以</w:t>
      </w:r>
      <w:r>
        <w:t xml:space="preserve"> </w:t>
      </w:r>
      <w:r>
        <w:rPr>
          <w:rStyle w:val="197"/>
        </w:rPr>
        <w:t xml:space="preserve">sepsis AND "metabolic flux" AND scRNA-seq</w:t>
      </w:r>
      <w:r>
        <w:t xml:space="preserve"> </w:t>
      </w:r>
      <w:r>
        <w:t xml:space="preserve">搜索文献。</w:t>
      </w:r>
      <w:bookmarkEnd w:id="26"/>
    </w:p>
    <w:p>
      <w:pPr>
        <w:pStyle w:val="38"/>
      </w:pPr>
      <w:r>
        <w:rPr/>
        <w:drawing>
          <wp:inline distT="0" distB="0" distL="0" distR="0">
            <wp:extent cx="5669280" cy="2560004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以-sepsis-and-cell-metabolic-搜索文献"/>
      <w:r>
        <w:t xml:space="preserve">3.2	以</w:t>
      </w:r>
      <w:r>
        <w:t xml:space="preserve"> </w:t>
      </w:r>
      <w:r>
        <w:rPr>
          <w:rStyle w:val="197"/>
        </w:rPr>
        <w:t xml:space="preserve">sepsis AND "cell metabolic"</w:t>
      </w:r>
      <w:r>
        <w:t xml:space="preserve"> </w:t>
      </w:r>
      <w:r>
        <w:t xml:space="preserve">搜索文献。</w:t>
      </w:r>
      <w:bookmarkEnd w:id="27"/>
    </w:p>
    <w:p>
      <w:pPr>
        <w:pStyle w:val="38"/>
      </w:pPr>
      <w:r>
        <w:t xml:space="preserve">仅发现 6 篇文献，且与单细胞数据分析无关。</w:t>
      </w:r>
    </w:p>
    <w:p>
      <w:pPr>
        <w:pStyle w:val="3"/>
      </w:pPr>
      <w:r>
        <w:rPr/>
        <w:drawing>
          <wp:inline distT="0" distB="0" distL="0" distR="0">
            <wp:extent cx="5669280" cy="2560004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8" w:name="workflow"/>
      <w:r>
        <w:t xml:space="preserve">4	参考文献和数据集</w:t>
      </w:r>
      <w:bookmarkEnd w:id="28"/>
    </w:p>
    <w:p>
      <w:pPr>
        <w:pStyle w:val="4"/>
      </w:pPr>
      <w:bookmarkStart w:id="29" w:name="scfea"/>
      <w:r>
        <w:t xml:space="preserve">4.1	scFEA</w:t>
      </w:r>
      <w:bookmarkEnd w:id="29"/>
    </w:p>
    <w:p>
      <w:pPr>
        <w:pStyle w:val="38"/>
      </w:pPr>
      <w:r>
        <w:t xml:space="preserve">(2021,</w:t>
      </w:r>
      <w:r>
        <w:t xml:space="preserve"> </w:t>
      </w:r>
      <w:r>
        <w:rPr>
          <w:b/>
        </w:rPr>
        <w:t xml:space="preserve">IF:6.2</w:t>
      </w:r>
      <w:r>
        <w:t xml:space="preserve">, Q1, Genome research)</w:t>
      </w:r>
      <w:r>
        <w:rPr>
          <w:vertAlign w:val="superscript"/>
        </w:rPr>
        <w:t xml:space="preserve">2</w:t>
      </w:r>
    </w:p>
    <w:p>
      <w:pPr>
        <w:pStyle w:val="4"/>
      </w:pPr>
      <w:bookmarkStart w:id="30" w:name="单细胞数据集"/>
      <w:r>
        <w:t xml:space="preserve">4.2	单细胞数据集</w:t>
      </w:r>
      <w:bookmarkEnd w:id="30"/>
    </w:p>
    <w:p>
      <w:pPr>
        <w:pStyle w:val="38"/>
      </w:pPr>
      <w:r>
        <w:t xml:space="preserve">(2020,</w:t>
      </w:r>
      <w:r>
        <w:t xml:space="preserve"> </w:t>
      </w:r>
      <w:r>
        <w:rPr>
          <w:b/>
        </w:rPr>
        <w:t xml:space="preserve">IF:58.7</w:t>
      </w:r>
      <w:r>
        <w:t xml:space="preserve">, Q1, Nature medicine)</w:t>
      </w:r>
      <w:r>
        <w:rPr>
          <w:vertAlign w:val="superscript"/>
        </w:rPr>
        <w:t xml:space="preserve">3</w:t>
      </w:r>
      <w:r>
        <w:t xml:space="preserve"> </w:t>
      </w:r>
      <w:hyperlink r:id="rId31">
        <w:r>
          <w:rPr>
            <w:rStyle w:val="24"/>
          </w:rPr>
          <w:t xml:space="preserve">https://singlecell.broadinstitute.org/single_cell/study/SCP548/an-immune-cell-signature-of-bacterial-sepsis-patient-pbmcs#study-summary</w:t>
        </w:r>
      </w:hyperlink>
    </w:p>
    <w:p>
      <w:pPr>
        <w:pStyle w:val="4"/>
      </w:pPr>
      <w:bookmarkStart w:id="32" w:name="geo-bulk-rna-seq"/>
      <w:r>
        <w:t xml:space="preserve">4.3	GEO bulk RNA-seq</w:t>
      </w:r>
      <w:bookmarkEnd w:id="32"/>
    </w:p>
    <w:p>
      <w:pPr>
        <w:numPr>
          <w:ilvl w:val="0"/>
          <w:numId w:val="1001"/>
        </w:numPr>
        <w:pStyle w:val="186"/>
      </w:pPr>
      <w:r>
        <w:t xml:space="preserve">GSE65682</w:t>
      </w:r>
    </w:p>
    <w:p>
      <w:pPr>
        <w:numPr>
          <w:ilvl w:val="0"/>
          <w:numId w:val="1001"/>
        </w:numPr>
        <w:pStyle w:val="186"/>
      </w:pPr>
      <w:r>
        <w:t xml:space="preserve">GSE69063</w:t>
      </w:r>
    </w:p>
    <w:p>
      <w:pPr>
        <w:numPr>
          <w:ilvl w:val="0"/>
          <w:numId w:val="1001"/>
        </w:numPr>
        <w:pStyle w:val="186"/>
      </w:pPr>
      <w:r>
        <w:t xml:space="preserve">GSE28750</w:t>
      </w:r>
    </w:p>
    <w:p>
      <w:pPr>
        <w:numPr>
          <w:ilvl w:val="0"/>
          <w:numId w:val="1001"/>
        </w:numPr>
        <w:pStyle w:val="186"/>
      </w:pPr>
      <w:r>
        <w:t xml:space="preserve">GSE95233</w:t>
      </w:r>
    </w:p>
    <w:p>
      <w:pPr>
        <w:numPr>
          <w:ilvl w:val="0"/>
          <w:numId w:val="1001"/>
        </w:numPr>
        <w:pStyle w:val="186"/>
      </w:pPr>
      <w:r>
        <w:t xml:space="preserve">GSE57065</w:t>
      </w:r>
    </w:p>
    <w:p>
      <w:pPr>
        <w:pStyle w:val="2"/>
      </w:pPr>
      <w:bookmarkStart w:id="33" w:name="bibliography"/>
      <w:r>
        <w:t xml:space="preserve">Reference</w:t>
      </w:r>
      <w:bookmarkEnd w:id="33"/>
    </w:p>
    <w:bookmarkStart w:id="37" w:name="refs"/>
    <w:bookmarkStart w:id="34" w:name="ref-Metabolic_Repro_Liu_W_2023"/>
    <w:p>
      <w:pPr>
        <w:pStyle w:val="189"/>
      </w:pPr>
      <w:r>
        <w:t xml:space="preserve">1. Liu, W., Liu, T., Zheng, Y. &amp; Xia, Z. Metabolic reprogramming and its regulatory mechanism in sepsis-mediated inflammation.</w:t>
      </w:r>
      <w:r>
        <w:t xml:space="preserve"> </w:t>
      </w:r>
      <w:r>
        <w:rPr>
          <w:i/>
        </w:rPr>
        <w:t xml:space="preserve">Journal of inflammation research</w:t>
      </w:r>
      <w:r>
        <w:t xml:space="preserve"> </w:t>
      </w:r>
      <w:r>
        <w:rPr>
          <w:b/>
        </w:rPr>
        <w:t xml:space="preserve">16</w:t>
      </w:r>
      <w:r>
        <w:t xml:space="preserve">, 1195–1207 (2023).</w:t>
      </w:r>
    </w:p>
    <w:bookmarkEnd w:id="34"/>
    <w:bookmarkStart w:id="35" w:name="ref-AGraphNeuralAlgham2021"/>
    <w:p>
      <w:pPr>
        <w:pStyle w:val="189"/>
      </w:pPr>
      <w:r>
        <w:t xml:space="preserve">2. Alghamdi, N.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A graph neural network model to estimate cell-wise metabolic flux using single-cell rna-seq data.</w:t>
      </w:r>
      <w:r>
        <w:t xml:space="preserve"> </w:t>
      </w:r>
      <w:r>
        <w:rPr>
          <w:i/>
        </w:rPr>
        <w:t xml:space="preserve">Genome research</w:t>
      </w:r>
      <w:r>
        <w:t xml:space="preserve"> </w:t>
      </w:r>
      <w:r>
        <w:rPr>
          <w:b/>
        </w:rPr>
        <w:t xml:space="preserve">31</w:t>
      </w:r>
      <w:r>
        <w:t xml:space="preserve">, 1867–1884 (2021).</w:t>
      </w:r>
    </w:p>
    <w:bookmarkEnd w:id="35"/>
    <w:bookmarkStart w:id="36" w:name="ref-An_immune_cell_Reyes_2020"/>
    <w:p>
      <w:pPr>
        <w:pStyle w:val="189"/>
      </w:pPr>
      <w:r>
        <w:t xml:space="preserve">3. Reyes, M.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An immune-cell signature of bacterial sepsis.</w:t>
      </w:r>
      <w:r>
        <w:t xml:space="preserve"> </w:t>
      </w:r>
      <w:r>
        <w:rPr>
          <w:i/>
        </w:rPr>
        <w:t xml:space="preserve">Nature medicine</w:t>
      </w:r>
      <w:r>
        <w:t xml:space="preserve"> </w:t>
      </w:r>
      <w:r>
        <w:rPr>
          <w:b/>
        </w:rPr>
        <w:t xml:space="preserve">26</w:t>
      </w:r>
      <w:r>
        <w:t xml:space="preserve">, 333–340 (2020).</w:t>
      </w:r>
    </w:p>
    <w:bookmarkEnd w:id="36"/>
    <w:bookmarkEnd w:id="37"/>
    <w:sectPr>
      <w:headerReference r:id="rId9" w:type="first"/>
      <w:headerReference r:id="rId10" w:type="default"/>
      <w:footerReference r:id="rId11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xQ6k5s4BAACY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qSmO3XGLAz/9+H76+fv0&#10;6xu5fJn16QJUmHYXMDH1b32PWzP5AZ2Zdq+izV8kRDCO6h7P6so+EYHOq+X1YrmkRGBocfn6Gm1E&#10;Zw8/hwjpnfSWZKOmEYdXNOWHD5CG1Ckl13L+VhtTBmjcXw7EzB6WOx86zFbqt/1IZ+ubI7LpcO41&#10;dbjmlJj3DmXNKzIZcTK2k7EPUe/askO5HoQ3+4RNlN5yhQF2LIwDK+zG5cob8ee9ZD08qPU9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UOpOb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footer" Target="footer1.xml"/>
<Relationship Id="rId31" Type="http://schemas.openxmlformats.org/officeDocument/2006/relationships/hyperlink" Target="https://singlecell.broadinstitute.org/single_cell/study/SCP548/an-immune-cell-signature-of-bacterial-sepsis-patient-pbmcs#study-summary" TargetMode="External"/>
<Relationship Id="rId32" Type="http://schemas.openxmlformats.org/officeDocument/2006/relationships/image" Target="media/90e6e2b836e024e5e083fc558ac07ce01e6ad9bc.png"/>
<Relationship Id="rId33" Type="http://schemas.openxmlformats.org/officeDocument/2006/relationships/image" Target="media/df81e7ffb653131fa59a19d9f3c33ecfaeaa9b3f.png"/>
<Relationship Id="rId34" Type="http://schemas.openxmlformats.org/officeDocument/2006/relationships/image" Target="media/2087565cfd4cbd1bd239bb6c96545d45ea0686ce.png"/>
</Relationships>

</file>

<file path=word/_rels/footnotes.xml.rels><?xml version="1.0" encoding="UTF-8" standalone="yes"?>

<Relationships  xmlns="http://schemas.openxmlformats.org/package/2006/relationships">
<Relationship Id="rId31" Type="http://schemas.openxmlformats.org/officeDocument/2006/relationships/hyperlink" Target="https://singlecell.broadinstitute.org/single_cell/study/SCP548/an-immune-cell-signature-of-bacterial-sepsis-patient-pbmcs#study-summary" TargetMode="External"/>
</Relationships>
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eg"/>
</Relationships>

</file>

<file path=word/_rels/head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.jpeg"/>
<Relationship Id="rId1" Type="http://schemas.openxmlformats.org/officeDocument/2006/relationships/image" Target="media/image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2024-12-03T09:40:22Z</dcterms:created>
  <dcterms:modified xsi:type="dcterms:W3CDTF">2024-12-03T17:40:22Z</dcterms:modified>
  <cp:lastModifiedBy>echo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</Properties>
</file>