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4DBF72">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9D82B67">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477DFA1">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669FCFBE">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1C03CC15">
      <w:pPr>
        <w:pBdr>
          <w:top w:val="none" w:color="000000" w:sz="0" w:space="0"/>
          <w:left w:val="none" w:color="000000" w:sz="0" w:space="0"/>
          <w:bottom w:val="none" w:color="000000" w:sz="0" w:space="0"/>
          <w:right w:val="none" w:color="000000" w:sz="0" w:space="0"/>
        </w:pBdr>
        <w:spacing w:before="0" w:after="0" w:line="480" w:lineRule="auto"/>
        <w:ind w:left="0" w:right="0" w:firstLine="0" w:firstLineChars="0"/>
        <w:jc w:val="center"/>
      </w:pPr>
      <w:r>
        <w:rPr>
          <w:rFonts w:ascii="Microsoft YaHei" w:hAnsi="Microsoft YaHei" w:eastAsia="Microsoft YaHei" w:cs="Microsoft YaHei"/>
          <w:b/>
          <w:i w:val="0"/>
          <w:color w:val="000000"/>
          <w:sz w:val="52"/>
          <w:szCs w:val="52"/>
          <w:u w:val="none"/>
        </w:rPr>
        <w:t>生信分析报告</w:t>
      </w:r>
    </w:p>
    <w:p w14:paraId="0E3BE391">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0AAA330">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49ADC2E">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01AB3A94">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项目标题：</w:t>
      </w:r>
      <w:r>
        <w:rPr>
          <w:rFonts w:ascii="SimSun" w:hAnsi="SimSun" w:eastAsia="SimSun" w:cs="SimSun"/>
          <w:b/>
          <w:i w:val="0"/>
          <w:color w:val="000000"/>
          <w:sz w:val="28"/>
          <w:szCs w:val="28"/>
          <w:u w:val="single"/>
        </w:rPr>
        <w:t xml:space="preserve">   CAP2通过靶向EMT信号通路促进黑色素瘤进展   ;</w:t>
      </w:r>
    </w:p>
    <w:p w14:paraId="3A215A4E">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单    号：</w:t>
      </w:r>
      <w:r>
        <w:rPr>
          <w:rFonts w:ascii="SimSun" w:hAnsi="SimSun" w:eastAsia="SimSun" w:cs="SimSun"/>
          <w:b/>
          <w:i w:val="0"/>
          <w:color w:val="000000"/>
          <w:sz w:val="28"/>
          <w:szCs w:val="28"/>
          <w:u w:val="single"/>
        </w:rPr>
        <w:t xml:space="preserve">                 BSHQ240813                  ;</w:t>
      </w:r>
    </w:p>
    <w:p w14:paraId="7E4CFDCE">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分析人员：</w:t>
      </w:r>
      <w:r>
        <w:rPr>
          <w:rFonts w:ascii="SimSun" w:hAnsi="SimSun" w:eastAsia="SimSun" w:cs="SimSun"/>
          <w:b/>
          <w:i w:val="0"/>
          <w:color w:val="000000"/>
          <w:sz w:val="28"/>
          <w:szCs w:val="28"/>
          <w:u w:val="single"/>
        </w:rPr>
        <w:t xml:space="preserve">                   黄礼闯                    ;</w:t>
      </w:r>
    </w:p>
    <w:p w14:paraId="6E429149">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分析类型：</w:t>
      </w:r>
      <w:r>
        <w:rPr>
          <w:rFonts w:ascii="SimSun" w:hAnsi="SimSun" w:eastAsia="SimSun" w:cs="SimSun"/>
          <w:b/>
          <w:i w:val="0"/>
          <w:color w:val="000000"/>
          <w:sz w:val="28"/>
          <w:szCs w:val="28"/>
          <w:u w:val="single"/>
        </w:rPr>
        <w:t xml:space="preserve">                  生信分析                   ;</w:t>
      </w:r>
    </w:p>
    <w:p w14:paraId="136C1B25">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委 托 人：</w:t>
      </w:r>
      <w:r>
        <w:rPr>
          <w:rFonts w:ascii="SimSun" w:hAnsi="SimSun" w:eastAsia="SimSun" w:cs="SimSun"/>
          <w:b/>
          <w:i w:val="0"/>
          <w:color w:val="000000"/>
          <w:sz w:val="28"/>
          <w:szCs w:val="28"/>
          <w:u w:val="single"/>
        </w:rPr>
        <w:t xml:space="preserve">                    王凯                     ;</w:t>
      </w:r>
    </w:p>
    <w:p w14:paraId="2B30C36B">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受 托 人：</w:t>
      </w:r>
      <w:r>
        <w:rPr>
          <w:rFonts w:ascii="SimSun" w:hAnsi="SimSun" w:eastAsia="SimSun" w:cs="SimSun"/>
          <w:b/>
          <w:i w:val="0"/>
          <w:color w:val="000000"/>
          <w:sz w:val="28"/>
          <w:szCs w:val="28"/>
          <w:u w:val="single"/>
        </w:rPr>
        <w:t xml:space="preserve">          杭州铂赛生物科技有限公司           .</w:t>
      </w:r>
    </w:p>
    <w:p w14:paraId="4631176F">
      <w:r>
        <w:br w:type="page"/>
      </w:r>
    </w:p>
    <w:p w14:paraId="107A70B6">
      <w:pPr>
        <w:pStyle w:val="2"/>
      </w:pPr>
      <w:bookmarkStart w:id="0" w:name="abstract"/>
      <w:r>
        <w:t>1</w:t>
      </w:r>
      <w:r>
        <w:tab/>
        <w:t>分析流程</w:t>
      </w:r>
      <w:bookmarkEnd w:id="0"/>
    </w:p>
    <w:p w14:paraId="7AE3D459">
      <w:pPr>
        <w:pStyle w:val="4"/>
      </w:pPr>
      <w:bookmarkStart w:id="1" w:name="需求"/>
      <w:r>
        <w:t>1.1</w:t>
      </w:r>
      <w:r>
        <w:tab/>
        <w:t>需求</w:t>
      </w:r>
      <w:bookmarkEnd w:id="1"/>
    </w:p>
    <w:p w14:paraId="6BF8FB1D">
      <w:pPr>
        <w:pStyle w:val="186"/>
        <w:numPr>
          <w:ilvl w:val="0"/>
          <w:numId w:val="1"/>
        </w:numPr>
      </w:pPr>
      <w:r>
        <w:t>通过生物信息分析分析 CAP2 在黑色素瘤异常表达且与预后相关。HPA数据库分析。</w:t>
      </w:r>
    </w:p>
    <w:p w14:paraId="3040D4B3">
      <w:pPr>
        <w:pStyle w:val="186"/>
        <w:numPr>
          <w:ilvl w:val="0"/>
          <w:numId w:val="1"/>
        </w:numPr>
      </w:pPr>
      <w:r>
        <w:t>为了研究CAP2影响黑色素瘤进展的机制，进行GSEA等生物信息分析，寻找与CAP2R显著相关的下游信号通路</w:t>
      </w:r>
    </w:p>
    <w:p w14:paraId="0A5A6AC4">
      <w:pPr>
        <w:pStyle w:val="4"/>
      </w:pPr>
      <w:bookmarkStart w:id="2" w:name="实际分析"/>
      <w:r>
        <w:t>1.2</w:t>
      </w:r>
      <w:r>
        <w:tab/>
        <w:t>实际分析</w:t>
      </w:r>
      <w:bookmarkEnd w:id="2"/>
    </w:p>
    <w:p w14:paraId="132D1E97">
      <w:pPr>
        <w:pStyle w:val="38"/>
      </w:pPr>
      <w:r>
        <w:t>因为 CAP2 未找到符合要求的数据集，改换寻找其他满足条件的基因，并寻找下游通路。</w:t>
      </w:r>
    </w:p>
    <w:p w14:paraId="49261167">
      <w:pPr>
        <w:pStyle w:val="3"/>
      </w:pPr>
      <w:r>
        <w:drawing>
          <wp:inline distT="0" distB="0" distL="0" distR="0">
            <wp:extent cx="5669280" cy="50965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tretch>
                      <a:fillRect/>
                    </a:stretch>
                  </pic:blipFill>
                  <pic:spPr>
                    <a:xfrm>
                      <a:off x="0" y="0"/>
                      <a:ext cx="78740" cy="70791"/>
                    </a:xfrm>
                    <a:prstGeom prst="rect">
                      <a:avLst/>
                    </a:prstGeom>
                    <a:noFill/>
                  </pic:spPr>
                </pic:pic>
              </a:graphicData>
            </a:graphic>
          </wp:inline>
        </w:drawing>
      </w:r>
    </w:p>
    <w:p w14:paraId="3BA0BEA2">
      <w:pPr>
        <w:pStyle w:val="194"/>
      </w:pPr>
      <w:r>
        <w:rPr>
          <w:b/>
        </w:rPr>
        <w:t xml:space="preserve">Fig. </w:t>
      </w:r>
      <w:bookmarkStart w:id="3" w:name="Route"/>
      <w:r>
        <w:rPr>
          <w:b/>
        </w:rPr>
        <w:fldChar w:fldCharType="begin"/>
      </w:r>
      <w:r>
        <w:rPr>
          <w:b/>
        </w:rPr>
        <w:instrText xml:space="preserve">SEQ fig: \* Arabic</w:instrText>
      </w:r>
      <w:r>
        <w:rPr>
          <w:b/>
        </w:rPr>
        <w:fldChar w:fldCharType="separate"/>
      </w:r>
      <w:r>
        <w:rPr>
          <w:b/>
        </w:rPr>
        <w:t>1</w:t>
      </w:r>
      <w:r>
        <w:rPr>
          <w:b/>
        </w:rPr>
        <w:fldChar w:fldCharType="end"/>
      </w:r>
      <w:bookmarkEnd w:id="3"/>
      <w:r>
        <w:rPr>
          <w:b/>
        </w:rPr>
        <w:t xml:space="preserve"> </w:t>
      </w:r>
      <w:r>
        <w:t>Route</w:t>
      </w:r>
    </w:p>
    <w:p w14:paraId="73392D76">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Figure+Table/1.2_实际分析/Route.pdf)</w:t>
      </w:r>
    </w:p>
    <w:p w14:paraId="2F718DCB">
      <w:pPr>
        <w:pStyle w:val="2"/>
      </w:pPr>
      <w:bookmarkStart w:id="4" w:name="introduction"/>
      <w:r>
        <w:t>2</w:t>
      </w:r>
      <w:r>
        <w:tab/>
        <w:t>材料和方法</w:t>
      </w:r>
      <w:bookmarkEnd w:id="4"/>
    </w:p>
    <w:p w14:paraId="7CB950E9">
      <w:pPr>
        <w:pStyle w:val="4"/>
      </w:pPr>
      <w:bookmarkStart w:id="5" w:name="数据分析平台"/>
      <w:r>
        <w:t>2.1</w:t>
      </w:r>
      <w:r>
        <w:tab/>
        <w:t>数据分析平台</w:t>
      </w:r>
      <w:bookmarkEnd w:id="5"/>
    </w:p>
    <w:p w14:paraId="239D6303">
      <w:pPr>
        <w:pStyle w:val="38"/>
      </w:pPr>
      <w:r>
        <w:t>在 Linux pop-os x86_64 (6.9.3-76060903-generic) 上，使用 R version 4.4.2 (2024-10-31) (</w:t>
      </w:r>
      <w:r>
        <w:fldChar w:fldCharType="begin"/>
      </w:r>
      <w:r>
        <w:instrText xml:space="preserve"> HYPERLINK "https://www.r-project.org/" \h </w:instrText>
      </w:r>
      <w:r>
        <w:fldChar w:fldCharType="separate"/>
      </w:r>
      <w:r>
        <w:rPr>
          <w:rStyle w:val="24"/>
        </w:rPr>
        <w:t>https://www.r-project.org/</w:t>
      </w:r>
      <w:r>
        <w:rPr>
          <w:rStyle w:val="24"/>
        </w:rPr>
        <w:fldChar w:fldCharType="end"/>
      </w:r>
      <w:r>
        <w:t>) 对数据统计分析与整合分析。</w:t>
      </w:r>
    </w:p>
    <w:p w14:paraId="4AC04603">
      <w:pPr>
        <w:pStyle w:val="4"/>
      </w:pPr>
      <w:bookmarkStart w:id="6" w:name="geo-数据获取-dataset-gse11907"/>
      <w:r>
        <w:t>2.2</w:t>
      </w:r>
      <w:r>
        <w:tab/>
        <w:t>GEO 数据获取 (Dataset: GSE11907)</w:t>
      </w:r>
      <w:bookmarkEnd w:id="6"/>
    </w:p>
    <w:p w14:paraId="5720AC5B">
      <w:pPr>
        <w:pStyle w:val="38"/>
      </w:pPr>
      <w:r>
        <w:t xml:space="preserve">以 R 包 </w:t>
      </w:r>
      <w:r>
        <w:rPr>
          <w:rStyle w:val="197"/>
        </w:rPr>
        <w:t>GEOquery</w:t>
      </w:r>
      <w:r>
        <w:t xml:space="preserve"> (2.74.0) 获取 GSE11907 数据集。</w:t>
      </w:r>
    </w:p>
    <w:p w14:paraId="408C0C93">
      <w:pPr>
        <w:pStyle w:val="4"/>
      </w:pPr>
      <w:bookmarkStart w:id="7" w:name="limma-差异分析-dataset-gse11907"/>
      <w:r>
        <w:t>2.3</w:t>
      </w:r>
      <w:r>
        <w:tab/>
        <w:t>Limma 差异分析 (Dataset: GSE11907)</w:t>
      </w:r>
      <w:bookmarkEnd w:id="7"/>
    </w:p>
    <w:p w14:paraId="39A3FC88">
      <w:pPr>
        <w:pStyle w:val="38"/>
      </w:pPr>
      <w:r>
        <w:t xml:space="preserve">使用 </w:t>
      </w:r>
      <w:r>
        <w:rPr>
          <w:rStyle w:val="197"/>
        </w:rPr>
        <w:t>log2</w:t>
      </w:r>
      <w:r>
        <w:t xml:space="preserve"> 和 </w:t>
      </w:r>
      <w:r>
        <w:rPr>
          <w:rStyle w:val="197"/>
        </w:rPr>
        <w:t>limma::normalizeBetweenArrays</w:t>
      </w:r>
      <w:r>
        <w:t xml:space="preserve"> 对数据标准化。 以 </w:t>
      </w:r>
      <w:r>
        <w:rPr>
          <w:rStyle w:val="197"/>
        </w:rPr>
        <w:t>limma</w:t>
      </w:r>
      <w:r>
        <w:t xml:space="preserve"> (3.62.1) (2005)</w:t>
      </w:r>
      <w:r>
        <w:rPr>
          <w:vertAlign w:val="superscript"/>
        </w:rPr>
        <w:t>1</w:t>
      </w:r>
      <w:r>
        <w:t xml:space="preserve"> 差异分析。创建设计矩阵，对比矩阵，差异分析：Melanoma vs Healthy。使用 </w:t>
      </w:r>
      <w:r>
        <w:rPr>
          <w:rStyle w:val="197"/>
        </w:rPr>
        <w:t>limma::lmFit</w:t>
      </w:r>
      <w:r>
        <w:t xml:space="preserve">, </w:t>
      </w:r>
      <w:r>
        <w:rPr>
          <w:rStyle w:val="197"/>
        </w:rPr>
        <w:t>limma::contrasts.fit</w:t>
      </w:r>
      <w:r>
        <w:t xml:space="preserve">, </w:t>
      </w:r>
      <w:r>
        <w:rPr>
          <w:rStyle w:val="197"/>
        </w:rPr>
        <w:t>limma::eBayes</w:t>
      </w:r>
      <w:r>
        <w:t xml:space="preserve"> 拟合线形模型。以 </w:t>
      </w:r>
      <w:r>
        <w:rPr>
          <w:rStyle w:val="197"/>
        </w:rPr>
        <w:t>limma::topTable</w:t>
      </w:r>
      <w:r>
        <w:t xml:space="preserve"> 提取所有结果，并过滤得到 adj.P.Val 小于 0.05，|Log2(FC)| 大于 1 的统计结果。</w:t>
      </w:r>
    </w:p>
    <w:p w14:paraId="57751DE0">
      <w:pPr>
        <w:pStyle w:val="4"/>
      </w:pPr>
      <w:bookmarkStart w:id="8" w:name="tcga-数据获取-dataset-tcga_skcm"/>
      <w:r>
        <w:t>2.4</w:t>
      </w:r>
      <w:r>
        <w:tab/>
        <w:t>TCGA 数据获取 (Dataset: TCGA_SKCM)</w:t>
      </w:r>
      <w:bookmarkEnd w:id="8"/>
    </w:p>
    <w:p w14:paraId="471F2868">
      <w:pPr>
        <w:pStyle w:val="38"/>
      </w:pPr>
      <w:r>
        <w:t xml:space="preserve">以 R 包 </w:t>
      </w:r>
      <w:r>
        <w:rPr>
          <w:rStyle w:val="197"/>
        </w:rPr>
        <w:t>TCGAbiolinks</w:t>
      </w:r>
      <w:r>
        <w:t xml:space="preserve"> (2.34.0) (2015, </w:t>
      </w:r>
      <w:r>
        <w:rPr>
          <w:b/>
        </w:rPr>
        <w:t>IF:16.6</w:t>
      </w:r>
      <w:r>
        <w:t>, Q1, Nucleic Acids Research)</w:t>
      </w:r>
      <w:r>
        <w:rPr>
          <w:vertAlign w:val="superscript"/>
        </w:rPr>
        <w:t>2</w:t>
      </w:r>
      <w:r>
        <w:t xml:space="preserve"> 获取 TCGA-SKCM 数据集。</w:t>
      </w:r>
    </w:p>
    <w:p w14:paraId="326957D6">
      <w:pPr>
        <w:pStyle w:val="4"/>
      </w:pPr>
      <w:bookmarkStart w:id="9" w:name="cox-回归-dataset-tcga_skcm"/>
      <w:r>
        <w:t>2.5</w:t>
      </w:r>
      <w:r>
        <w:tab/>
        <w:t>COX 回归 (Dataset: TCGA_SKCM)</w:t>
      </w:r>
      <w:bookmarkEnd w:id="9"/>
    </w:p>
    <w:p w14:paraId="65ED2626">
      <w:pPr>
        <w:pStyle w:val="38"/>
      </w:pPr>
      <w:r>
        <w:t xml:space="preserve">以 R 包 </w:t>
      </w:r>
      <w:r>
        <w:rPr>
          <w:rStyle w:val="197"/>
        </w:rPr>
        <w:t>survival</w:t>
      </w:r>
      <w:r>
        <w:t xml:space="preserve"> (3.7.0) 进行单因素 COX 回归 (</w:t>
      </w:r>
      <w:r>
        <w:rPr>
          <w:rStyle w:val="197"/>
        </w:rPr>
        <w:t>survival::coxph</w:t>
      </w:r>
      <w:r>
        <w:t xml:space="preserve">)。筛选 </w:t>
      </w:r>
      <w:r>
        <w:rPr>
          <w:rStyle w:val="197"/>
        </w:rPr>
        <w:t>Pr(&gt;|z|)</w:t>
      </w:r>
      <w:r>
        <w:t xml:space="preserve"> &lt; .05` 的基因。</w:t>
      </w:r>
    </w:p>
    <w:p w14:paraId="597E98B5">
      <w:pPr>
        <w:pStyle w:val="4"/>
      </w:pPr>
      <w:bookmarkStart w:id="10" w:name="survival-生存分析-dataset-tcga_skcm"/>
      <w:r>
        <w:t>2.6</w:t>
      </w:r>
      <w:r>
        <w:tab/>
        <w:t>Survival 生存分析 (Dataset: TCGA_SKCM)</w:t>
      </w:r>
      <w:bookmarkEnd w:id="10"/>
    </w:p>
    <w:p w14:paraId="732FEB91">
      <w:pPr>
        <w:pStyle w:val="38"/>
      </w:pPr>
      <w:r>
        <w:t xml:space="preserve">以 R 包 </w:t>
      </w:r>
      <w:r>
        <w:rPr>
          <w:rStyle w:val="197"/>
        </w:rPr>
        <w:t>edgeR</w:t>
      </w:r>
      <w:r>
        <w:t xml:space="preserve"> (4.4.0) ()</w:t>
      </w:r>
      <w:r>
        <w:rPr>
          <w:vertAlign w:val="superscript"/>
        </w:rPr>
        <w:t>3</w:t>
      </w:r>
      <w:r>
        <w:t xml:space="preserve"> 对数据预处理。以 </w:t>
      </w:r>
      <w:r>
        <w:rPr>
          <w:rStyle w:val="197"/>
        </w:rPr>
        <w:t>edgeR::filterByExpr</w:t>
      </w:r>
      <w:r>
        <w:t xml:space="preserve"> 过滤 count 数量小于 10 的基因。以 </w:t>
      </w:r>
      <w:r>
        <w:rPr>
          <w:rStyle w:val="197"/>
        </w:rPr>
        <w:t>edgeR::calcNormFactors</w:t>
      </w:r>
      <w:r>
        <w:t>，</w:t>
      </w:r>
      <w:r>
        <w:rPr>
          <w:rStyle w:val="197"/>
        </w:rPr>
        <w:t>limma::voom</w:t>
      </w:r>
      <w:r>
        <w:t xml:space="preserve"> 转化 count 数据为 log2 counts-per-million (logCPM)。使用标准化过的基因表达数据。 以 R 包 </w:t>
      </w:r>
      <w:r>
        <w:rPr>
          <w:rStyle w:val="197"/>
        </w:rPr>
        <w:t>survival</w:t>
      </w:r>
      <w:r>
        <w:t xml:space="preserve"> (3.7.0) 生存分析，以 R 包 </w:t>
      </w:r>
      <w:r>
        <w:rPr>
          <w:rStyle w:val="197"/>
        </w:rPr>
        <w:t>survminer</w:t>
      </w:r>
      <w:r>
        <w:t xml:space="preserve"> (0.5.0) 绘制生存曲线。以 R 包 </w:t>
      </w:r>
      <w:r>
        <w:rPr>
          <w:rStyle w:val="197"/>
        </w:rPr>
        <w:t>timeROC</w:t>
      </w:r>
      <w:r>
        <w:t xml:space="preserve"> (0.4) 绘制 1, 3, 5 年生存曲线。</w:t>
      </w:r>
    </w:p>
    <w:p w14:paraId="52C2A9EA">
      <w:pPr>
        <w:pStyle w:val="4"/>
      </w:pPr>
      <w:bookmarkStart w:id="11" w:name="富集分析-dataset-sig"/>
      <w:r>
        <w:t>2.7</w:t>
      </w:r>
      <w:r>
        <w:tab/>
        <w:t>富集分析 (Dataset: SIG)</w:t>
      </w:r>
      <w:bookmarkEnd w:id="11"/>
    </w:p>
    <w:p w14:paraId="3BDA45F1">
      <w:pPr>
        <w:pStyle w:val="38"/>
      </w:pPr>
      <w:r>
        <w:t xml:space="preserve">以 ClusterProfiler R 包 (4.15.0.2) (2021, </w:t>
      </w:r>
      <w:r>
        <w:rPr>
          <w:b/>
        </w:rPr>
        <w:t>IF:33.2</w:t>
      </w:r>
      <w:r>
        <w:t>, Q1, The Innovation)</w:t>
      </w:r>
      <w:r>
        <w:rPr>
          <w:vertAlign w:val="superscript"/>
        </w:rPr>
        <w:t>4</w:t>
      </w:r>
      <w:r>
        <w:t>进行 KEGG 和 GO 富集分析。以 p.adjust 表示显著水平。</w:t>
      </w:r>
    </w:p>
    <w:p w14:paraId="0F32EAA4">
      <w:pPr>
        <w:pStyle w:val="4"/>
      </w:pPr>
      <w:bookmarkStart w:id="12" w:name="pathview-通路可视化-dataset-sig"/>
      <w:r>
        <w:t>2.8</w:t>
      </w:r>
      <w:r>
        <w:tab/>
        <w:t>Pathview 通路可视化 (Dataset: SIG)</w:t>
      </w:r>
      <w:bookmarkEnd w:id="12"/>
    </w:p>
    <w:p w14:paraId="257A774E">
      <w:pPr>
        <w:pStyle w:val="38"/>
      </w:pPr>
      <w:r>
        <w:t xml:space="preserve">以 R 包 </w:t>
      </w:r>
      <w:r>
        <w:rPr>
          <w:rStyle w:val="197"/>
        </w:rPr>
        <w:t>pathview</w:t>
      </w:r>
      <w:r>
        <w:t xml:space="preserve"> (2013, Bioinformatics (Oxford, England))</w:t>
      </w:r>
      <w:r>
        <w:rPr>
          <w:vertAlign w:val="superscript"/>
        </w:rPr>
        <w:t>5</w:t>
      </w:r>
      <w:r>
        <w:t xml:space="preserve"> 将 </w:t>
      </w:r>
      <w:r>
        <w:rPr>
          <w:rStyle w:val="197"/>
        </w:rPr>
        <w:t>clusterProfiler</w:t>
      </w:r>
      <w:r>
        <w:t xml:space="preserve"> 富集的 KEGG 通路可视化。</w:t>
      </w:r>
    </w:p>
    <w:p w14:paraId="6A86C329">
      <w:pPr>
        <w:pStyle w:val="2"/>
      </w:pPr>
      <w:bookmarkStart w:id="13" w:name="workflow"/>
      <w:r>
        <w:t>3</w:t>
      </w:r>
      <w:r>
        <w:tab/>
        <w:t>分析结果</w:t>
      </w:r>
      <w:bookmarkEnd w:id="13"/>
    </w:p>
    <w:p w14:paraId="362293AF">
      <w:pPr>
        <w:pStyle w:val="4"/>
      </w:pPr>
      <w:bookmarkStart w:id="14" w:name="geo-数据获取-gse11907"/>
      <w:r>
        <w:t>3.1</w:t>
      </w:r>
      <w:r>
        <w:tab/>
        <w:t>GEO 数据获取 (GSE11907)</w:t>
      </w:r>
      <w:bookmarkEnd w:id="14"/>
    </w:p>
    <w:p w14:paraId="73C0F216">
      <w:pPr>
        <w:pStyle w:val="38"/>
      </w:pPr>
      <w:r>
        <w:t xml:space="preserve">以 </w:t>
      </w:r>
      <w:r>
        <w:rPr>
          <w:rStyle w:val="197"/>
        </w:rPr>
        <w:t>GEOquery</w:t>
      </w:r>
      <w:r>
        <w:t xml:space="preserve"> 获取 GSE11907 的数据信息。</w:t>
      </w:r>
    </w:p>
    <w:p w14:paraId="3E030598">
      <w:pPr>
        <w:pStyle w:val="186"/>
        <w:numPr>
          <w:ilvl w:val="0"/>
          <w:numId w:val="2"/>
        </w:numPr>
      </w:pPr>
      <w:r>
        <w:t>Data Source ID: GSE11907</w:t>
      </w:r>
    </w:p>
    <w:p w14:paraId="1A8CB013">
      <w:pPr>
        <w:pStyle w:val="186"/>
        <w:numPr>
          <w:ilvl w:val="0"/>
          <w:numId w:val="2"/>
        </w:numPr>
      </w:pPr>
      <w:r>
        <w:t>data_processing: The data were analyzed with Microarray Suite version 5.0 (MAS 5.0) using Affymetrix default analysis settings and global scaling as normalization method. The trimmed mean target intensity of each array was arbitrarily set to 500.</w:t>
      </w:r>
    </w:p>
    <w:p w14:paraId="5448A8B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(见Figure+Table/3.1_GEO_数据获取_(GSE11907)/GSE11907-GSE11907-content)</w:t>
      </w:r>
    </w:p>
    <w:p w14:paraId="39D74B69">
      <w:pPr>
        <w:pStyle w:val="4"/>
      </w:pPr>
      <w:bookmarkStart w:id="15" w:name="limma-差异分析-gse11907"/>
      <w:r>
        <w:t>3.2</w:t>
      </w:r>
      <w:r>
        <w:tab/>
        <w:t>Limma 差异分析 (GSE11907)</w:t>
      </w:r>
      <w:bookmarkEnd w:id="15"/>
    </w:p>
    <w:p w14:paraId="05614331">
      <w:pPr>
        <w:pStyle w:val="38"/>
      </w:pPr>
      <w:r>
        <w:t>匹配 group 中包含 “Healthy|Melanoma” 字符的数据，最终得到 51 例数据。匹配 group 中包含 “Healthy|Melanoma” 字符的数据，未过滤掉任何数据 (n = 51)。样本分组：Healthy (n=12) , Melanoma (n=39) , Others (n=0) 。以 公式 ~ 0 + group 创建设计矩阵 (design matrix) 。差异分析：Melanoma vs Healthy。(若 A vs B，则为前者比后者，LogFC 大于 0 时，A 表达量高于 B)。上调或下调 DEGs 统计：up (n=392) , down (n=245)</w:t>
      </w:r>
    </w:p>
    <w:p w14:paraId="63137582">
      <w:pPr>
        <w:pStyle w:val="3"/>
      </w:pPr>
      <w:r>
        <w:drawing>
          <wp:inline distT="0" distB="0" distL="0" distR="0">
            <wp:extent cx="5669280" cy="45713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stretch>
                      <a:fillRect/>
                    </a:stretch>
                  </pic:blipFill>
                  <pic:spPr>
                    <a:xfrm>
                      <a:off x="0" y="0"/>
                      <a:ext cx="78740" cy="63498"/>
                    </a:xfrm>
                    <a:prstGeom prst="rect">
                      <a:avLst/>
                    </a:prstGeom>
                    <a:noFill/>
                  </pic:spPr>
                </pic:pic>
              </a:graphicData>
            </a:graphic>
          </wp:inline>
        </w:drawing>
      </w:r>
    </w:p>
    <w:p w14:paraId="7544DB12">
      <w:pPr>
        <w:pStyle w:val="194"/>
      </w:pPr>
      <w:r>
        <w:rPr>
          <w:b/>
        </w:rPr>
        <w:t xml:space="preserve">Fig. </w:t>
      </w:r>
      <w:bookmarkStart w:id="16" w:name="GSE11907-Melanoma-vs-Healthy"/>
      <w:r>
        <w:rPr>
          <w:b/>
        </w:rPr>
        <w:fldChar w:fldCharType="begin"/>
      </w:r>
      <w:r>
        <w:rPr>
          <w:b/>
        </w:rPr>
        <w:instrText xml:space="preserve">SEQ fig: \* Arabic</w:instrText>
      </w:r>
      <w:r>
        <w:rPr>
          <w:b/>
        </w:rPr>
        <w:fldChar w:fldCharType="separate"/>
      </w:r>
      <w:r>
        <w:rPr>
          <w:b/>
        </w:rPr>
        <w:t>2</w:t>
      </w:r>
      <w:r>
        <w:rPr>
          <w:b/>
        </w:rPr>
        <w:fldChar w:fldCharType="end"/>
      </w:r>
      <w:bookmarkEnd w:id="16"/>
      <w:r>
        <w:rPr>
          <w:b/>
        </w:rPr>
        <w:t xml:space="preserve"> </w:t>
      </w:r>
      <w:r>
        <w:t>GSE11907 Melanoma vs Healthy</w:t>
      </w:r>
    </w:p>
    <w:p w14:paraId="5ABE98C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Figure+Table/3.2_Limma_差异分析_(GSE11907)/GSE11907-Melanoma-vs-Healthy.pdf)</w:t>
      </w:r>
    </w:p>
    <w:p w14:paraId="40EF96AC">
      <w:pPr>
        <w:pStyle w:val="186"/>
        <w:numPr>
          <w:ilvl w:val="0"/>
          <w:numId w:val="2"/>
        </w:numPr>
      </w:pPr>
      <w:r>
        <w:t>adj.P.Val cut-off: 0.05</w:t>
      </w:r>
    </w:p>
    <w:p w14:paraId="2B0EC56A">
      <w:pPr>
        <w:pStyle w:val="186"/>
        <w:numPr>
          <w:ilvl w:val="0"/>
          <w:numId w:val="2"/>
        </w:numPr>
      </w:pPr>
      <w:r>
        <w:t>Log2(FC) cut-off: 1</w:t>
      </w:r>
    </w:p>
    <w:p w14:paraId="3E6ACFAB">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Figure+Table/3.2_Limma_差异分析_(GSE11907)/GSE11907-Melanoma-vs-Healthy-content)</w:t>
      </w:r>
    </w:p>
    <w:p w14:paraId="361B45C6">
      <w:pPr>
        <w:pStyle w:val="4"/>
      </w:pPr>
      <w:bookmarkStart w:id="17" w:name="tcga-数据获取-tcga_skcm"/>
      <w:r>
        <w:t>3.3</w:t>
      </w:r>
      <w:r>
        <w:tab/>
        <w:t>TCGA 数据获取 (TCGA_SKCM)</w:t>
      </w:r>
      <w:bookmarkEnd w:id="17"/>
    </w:p>
    <w:p w14:paraId="51D3CE09">
      <w:pPr>
        <w:pStyle w:val="38"/>
      </w:pPr>
      <w:r>
        <w:t>获取 TCGA-SKCM 数据。</w:t>
      </w:r>
    </w:p>
    <w:p w14:paraId="5CD5780C">
      <w:pPr>
        <w:pStyle w:val="4"/>
      </w:pPr>
      <w:bookmarkStart w:id="18" w:name="cox-回归-tcga_skcm"/>
      <w:r>
        <w:t>3.4</w:t>
      </w:r>
      <w:r>
        <w:tab/>
        <w:t>COX 回归 (TCGA_SKCM)</w:t>
      </w:r>
      <w:bookmarkEnd w:id="18"/>
    </w:p>
    <w:p w14:paraId="1DA086A2">
      <w:pPr>
        <w:pStyle w:val="38"/>
      </w:pPr>
      <w:r>
        <w:t xml:space="preserve">将基因集 (Melanoma - Healthy, 来自于Limma 差异分析(Section: GSE11907)) 用于 COX 回归分析。共 576 个基因在数据集 TCGA-SKCM 中找到 (根据基因名匹配)。所有数据生存状态 (去除生存状态未知的数据)，(Alive (n=244) , Dead (n=218) )。执行单因素 COX 回归，筛选 P 值 &lt; 0.05，共筛选到 21 个基因。 Tab. </w:t>
      </w:r>
      <w:r>
        <w:fldChar w:fldCharType="begin"/>
      </w:r>
      <w:r>
        <w:instrText xml:space="preserve"> HYPERLINK \l "TCGA-SKCM-sig-Univariate-Cox-Coefficients" \h </w:instrText>
      </w:r>
      <w:r>
        <w:fldChar w:fldCharType="separate"/>
      </w:r>
      <w:r>
        <w:fldChar w:fldCharType="begin"/>
      </w:r>
      <w:r>
        <w:instrText xml:space="preserve"> REF TCGA-SKCM-sig-Univariate-Cox-Coefficients \h</w:instrText>
      </w:r>
      <w:r>
        <w:fldChar w:fldCharType="separate"/>
      </w:r>
      <w:r>
        <w:rPr>
          <w:b/>
        </w:rPr>
        <w:t>1</w:t>
      </w:r>
      <w:r>
        <w:fldChar w:fldCharType="end"/>
      </w:r>
      <w:r>
        <w:fldChar w:fldCharType="end"/>
      </w:r>
      <w:r>
        <w:t xml:space="preserve"> 。</w:t>
      </w:r>
    </w:p>
    <w:p w14:paraId="717C263D">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19" w:name="TCGA-SKCM-sig-Univariate-Cox-Coefficients"/>
      <w:r>
        <w:rPr>
          <w:b/>
        </w:rPr>
        <w:fldChar w:fldCharType="begin"/>
      </w:r>
      <w:r>
        <w:rPr>
          <w:b/>
        </w:rPr>
        <w:instrText xml:space="preserve">SEQ tab \* Arabic</w:instrText>
      </w:r>
      <w:r>
        <w:rPr>
          <w:b/>
        </w:rPr>
        <w:fldChar w:fldCharType="separate"/>
      </w:r>
      <w:r>
        <w:rPr>
          <w:b/>
        </w:rPr>
        <w:t>1</w:t>
      </w:r>
      <w:r>
        <w:rPr>
          <w:b/>
        </w:rPr>
        <w:fldChar w:fldCharType="end"/>
      </w:r>
      <w:bookmarkEnd w:id="19"/>
      <w:r>
        <w:rPr>
          <w:b/>
        </w:rPr>
        <w:t xml:space="preserve">  </w:t>
      </w:r>
      <w:r>
        <w:t>TCGA SKCM sig Univariate Cox Coefficients</w:t>
      </w:r>
    </w:p>
    <w:tbl>
      <w:tblPr>
        <w:tblStyle w:val="13"/>
        <w:tblW w:w="0" w:type="auto"/>
        <w:jc w:val="center"/>
        <w:tblLayout w:type="fixed"/>
        <w:tblCellMar>
          <w:top w:w="0" w:type="dxa"/>
          <w:left w:w="108" w:type="dxa"/>
          <w:bottom w:w="0" w:type="dxa"/>
          <w:right w:w="108" w:type="dxa"/>
        </w:tblCellMar>
      </w:tblPr>
      <w:tblGrid>
        <w:gridCol w:w="1234"/>
        <w:gridCol w:w="1234"/>
        <w:gridCol w:w="1234"/>
        <w:gridCol w:w="1234"/>
        <w:gridCol w:w="1234"/>
        <w:gridCol w:w="1234"/>
        <w:gridCol w:w="1234"/>
      </w:tblGrid>
      <w:tr w14:paraId="6F2402CF">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887322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Feature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80BDCC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Coef</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41F863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Exp(coef)</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A9CEF5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Se(coef)</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3199A8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Z</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DDBADE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1279A2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P.adjust</w:t>
            </w:r>
          </w:p>
        </w:tc>
      </w:tr>
      <w:tr w14:paraId="5CB74F0F">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471005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ACSM3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C393CB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-0.1052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4B753E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0.9002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9F5E5E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0.04506</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0775A4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-2.334</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C76292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0.0196</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5580F4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0.936</w:t>
            </w:r>
          </w:p>
        </w:tc>
      </w:tr>
      <w:tr w14:paraId="1845ED69">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669767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ADRB1</w:t>
            </w:r>
          </w:p>
        </w:tc>
        <w:tc>
          <w:tcPr>
            <w:tcBorders>
              <w:top w:val="nil"/>
              <w:left w:val="nil"/>
              <w:bottom w:val="nil"/>
              <w:right w:val="nil"/>
            </w:tcBorders>
            <w:shd w:val="clear" w:color="auto" w:fill="FFFFFF"/>
            <w:tcMar>
              <w:top w:w="0" w:type="dxa"/>
              <w:left w:w="0" w:type="dxa"/>
              <w:bottom w:w="0" w:type="dxa"/>
              <w:right w:w="0" w:type="dxa"/>
            </w:tcMar>
            <w:vAlign w:val="top"/>
          </w:tcPr>
          <w:p w14:paraId="6DFF470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-0.05621</w:t>
            </w:r>
          </w:p>
        </w:tc>
        <w:tc>
          <w:tcPr>
            <w:tcBorders>
              <w:top w:val="nil"/>
              <w:left w:val="nil"/>
              <w:bottom w:val="nil"/>
              <w:right w:val="nil"/>
            </w:tcBorders>
            <w:shd w:val="clear" w:color="auto" w:fill="FFFFFF"/>
            <w:tcMar>
              <w:top w:w="0" w:type="dxa"/>
              <w:left w:w="0" w:type="dxa"/>
              <w:bottom w:w="0" w:type="dxa"/>
              <w:right w:w="0" w:type="dxa"/>
            </w:tcMar>
            <w:vAlign w:val="top"/>
          </w:tcPr>
          <w:p w14:paraId="77B4E25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0.9453</w:t>
            </w:r>
          </w:p>
        </w:tc>
        <w:tc>
          <w:tcPr>
            <w:tcBorders>
              <w:top w:val="nil"/>
              <w:left w:val="nil"/>
              <w:bottom w:val="nil"/>
              <w:right w:val="nil"/>
            </w:tcBorders>
            <w:shd w:val="clear" w:color="auto" w:fill="FFFFFF"/>
            <w:tcMar>
              <w:top w:w="0" w:type="dxa"/>
              <w:left w:w="0" w:type="dxa"/>
              <w:bottom w:w="0" w:type="dxa"/>
              <w:right w:w="0" w:type="dxa"/>
            </w:tcMar>
            <w:vAlign w:val="top"/>
          </w:tcPr>
          <w:p w14:paraId="3A9B53F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0.027</w:t>
            </w:r>
          </w:p>
        </w:tc>
        <w:tc>
          <w:tcPr>
            <w:tcBorders>
              <w:top w:val="nil"/>
              <w:left w:val="nil"/>
              <w:bottom w:val="nil"/>
              <w:right w:val="nil"/>
            </w:tcBorders>
            <w:shd w:val="clear" w:color="auto" w:fill="FFFFFF"/>
            <w:tcMar>
              <w:top w:w="0" w:type="dxa"/>
              <w:left w:w="0" w:type="dxa"/>
              <w:bottom w:w="0" w:type="dxa"/>
              <w:right w:w="0" w:type="dxa"/>
            </w:tcMar>
            <w:vAlign w:val="top"/>
          </w:tcPr>
          <w:p w14:paraId="7065564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-2.082</w:t>
            </w:r>
          </w:p>
        </w:tc>
        <w:tc>
          <w:tcPr>
            <w:tcBorders>
              <w:top w:val="nil"/>
              <w:left w:val="nil"/>
              <w:bottom w:val="nil"/>
              <w:right w:val="nil"/>
            </w:tcBorders>
            <w:shd w:val="clear" w:color="auto" w:fill="FFFFFF"/>
            <w:tcMar>
              <w:top w:w="0" w:type="dxa"/>
              <w:left w:w="0" w:type="dxa"/>
              <w:bottom w:w="0" w:type="dxa"/>
              <w:right w:w="0" w:type="dxa"/>
            </w:tcMar>
            <w:vAlign w:val="top"/>
          </w:tcPr>
          <w:p w14:paraId="133F2DE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0.03734</w:t>
            </w:r>
          </w:p>
        </w:tc>
        <w:tc>
          <w:tcPr>
            <w:tcBorders>
              <w:top w:val="nil"/>
              <w:left w:val="nil"/>
              <w:bottom w:val="nil"/>
              <w:right w:val="nil"/>
            </w:tcBorders>
            <w:shd w:val="clear" w:color="auto" w:fill="FFFFFF"/>
            <w:tcMar>
              <w:top w:w="0" w:type="dxa"/>
              <w:left w:w="0" w:type="dxa"/>
              <w:bottom w:w="0" w:type="dxa"/>
              <w:right w:w="0" w:type="dxa"/>
            </w:tcMar>
            <w:vAlign w:val="top"/>
          </w:tcPr>
          <w:p w14:paraId="7086674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0.936</w:t>
            </w:r>
          </w:p>
        </w:tc>
      </w:tr>
      <w:tr w14:paraId="550BAE4A">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0A642B7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SYT1</w:t>
            </w:r>
          </w:p>
        </w:tc>
        <w:tc>
          <w:tcPr>
            <w:tcBorders>
              <w:top w:val="nil"/>
              <w:left w:val="nil"/>
              <w:bottom w:val="nil"/>
              <w:right w:val="nil"/>
            </w:tcBorders>
            <w:shd w:val="clear" w:color="auto" w:fill="FFFFFF"/>
            <w:tcMar>
              <w:top w:w="0" w:type="dxa"/>
              <w:left w:w="0" w:type="dxa"/>
              <w:bottom w:w="0" w:type="dxa"/>
              <w:right w:w="0" w:type="dxa"/>
            </w:tcMar>
            <w:vAlign w:val="top"/>
          </w:tcPr>
          <w:p w14:paraId="2E7DF01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-0.06554</w:t>
            </w:r>
          </w:p>
        </w:tc>
        <w:tc>
          <w:tcPr>
            <w:tcBorders>
              <w:top w:val="nil"/>
              <w:left w:val="nil"/>
              <w:bottom w:val="nil"/>
              <w:right w:val="nil"/>
            </w:tcBorders>
            <w:shd w:val="clear" w:color="auto" w:fill="FFFFFF"/>
            <w:tcMar>
              <w:top w:w="0" w:type="dxa"/>
              <w:left w:w="0" w:type="dxa"/>
              <w:bottom w:w="0" w:type="dxa"/>
              <w:right w:w="0" w:type="dxa"/>
            </w:tcMar>
            <w:vAlign w:val="top"/>
          </w:tcPr>
          <w:p w14:paraId="6DEB325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0.9366</w:t>
            </w:r>
          </w:p>
        </w:tc>
        <w:tc>
          <w:tcPr>
            <w:tcBorders>
              <w:top w:val="nil"/>
              <w:left w:val="nil"/>
              <w:bottom w:val="nil"/>
              <w:right w:val="nil"/>
            </w:tcBorders>
            <w:shd w:val="clear" w:color="auto" w:fill="FFFFFF"/>
            <w:tcMar>
              <w:top w:w="0" w:type="dxa"/>
              <w:left w:w="0" w:type="dxa"/>
              <w:bottom w:w="0" w:type="dxa"/>
              <w:right w:w="0" w:type="dxa"/>
            </w:tcMar>
            <w:vAlign w:val="top"/>
          </w:tcPr>
          <w:p w14:paraId="611FE8A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0.02583</w:t>
            </w:r>
          </w:p>
        </w:tc>
        <w:tc>
          <w:tcPr>
            <w:tcBorders>
              <w:top w:val="nil"/>
              <w:left w:val="nil"/>
              <w:bottom w:val="nil"/>
              <w:right w:val="nil"/>
            </w:tcBorders>
            <w:shd w:val="clear" w:color="auto" w:fill="FFFFFF"/>
            <w:tcMar>
              <w:top w:w="0" w:type="dxa"/>
              <w:left w:w="0" w:type="dxa"/>
              <w:bottom w:w="0" w:type="dxa"/>
              <w:right w:w="0" w:type="dxa"/>
            </w:tcMar>
            <w:vAlign w:val="top"/>
          </w:tcPr>
          <w:p w14:paraId="0FA3002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-2.537</w:t>
            </w:r>
          </w:p>
        </w:tc>
        <w:tc>
          <w:tcPr>
            <w:tcBorders>
              <w:top w:val="nil"/>
              <w:left w:val="nil"/>
              <w:bottom w:val="nil"/>
              <w:right w:val="nil"/>
            </w:tcBorders>
            <w:shd w:val="clear" w:color="auto" w:fill="FFFFFF"/>
            <w:tcMar>
              <w:top w:w="0" w:type="dxa"/>
              <w:left w:w="0" w:type="dxa"/>
              <w:bottom w:w="0" w:type="dxa"/>
              <w:right w:w="0" w:type="dxa"/>
            </w:tcMar>
            <w:vAlign w:val="top"/>
          </w:tcPr>
          <w:p w14:paraId="204F5AA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0.01117</w:t>
            </w:r>
          </w:p>
        </w:tc>
        <w:tc>
          <w:tcPr>
            <w:tcBorders>
              <w:top w:val="nil"/>
              <w:left w:val="nil"/>
              <w:bottom w:val="nil"/>
              <w:right w:val="nil"/>
            </w:tcBorders>
            <w:shd w:val="clear" w:color="auto" w:fill="FFFFFF"/>
            <w:tcMar>
              <w:top w:w="0" w:type="dxa"/>
              <w:left w:w="0" w:type="dxa"/>
              <w:bottom w:w="0" w:type="dxa"/>
              <w:right w:w="0" w:type="dxa"/>
            </w:tcMar>
            <w:vAlign w:val="top"/>
          </w:tcPr>
          <w:p w14:paraId="09D30E2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0.936</w:t>
            </w:r>
          </w:p>
        </w:tc>
      </w:tr>
      <w:tr w14:paraId="7AA46CEE">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5A67B9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NME8</w:t>
            </w:r>
          </w:p>
        </w:tc>
        <w:tc>
          <w:tcPr>
            <w:tcBorders>
              <w:top w:val="nil"/>
              <w:left w:val="nil"/>
              <w:bottom w:val="nil"/>
              <w:right w:val="nil"/>
            </w:tcBorders>
            <w:shd w:val="clear" w:color="auto" w:fill="FFFFFF"/>
            <w:tcMar>
              <w:top w:w="0" w:type="dxa"/>
              <w:left w:w="0" w:type="dxa"/>
              <w:bottom w:w="0" w:type="dxa"/>
              <w:right w:w="0" w:type="dxa"/>
            </w:tcMar>
            <w:vAlign w:val="top"/>
          </w:tcPr>
          <w:p w14:paraId="029F9EC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-0.06992</w:t>
            </w:r>
          </w:p>
        </w:tc>
        <w:tc>
          <w:tcPr>
            <w:tcBorders>
              <w:top w:val="nil"/>
              <w:left w:val="nil"/>
              <w:bottom w:val="nil"/>
              <w:right w:val="nil"/>
            </w:tcBorders>
            <w:shd w:val="clear" w:color="auto" w:fill="FFFFFF"/>
            <w:tcMar>
              <w:top w:w="0" w:type="dxa"/>
              <w:left w:w="0" w:type="dxa"/>
              <w:bottom w:w="0" w:type="dxa"/>
              <w:right w:w="0" w:type="dxa"/>
            </w:tcMar>
            <w:vAlign w:val="top"/>
          </w:tcPr>
          <w:p w14:paraId="021D803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0.9325</w:t>
            </w:r>
          </w:p>
        </w:tc>
        <w:tc>
          <w:tcPr>
            <w:tcBorders>
              <w:top w:val="nil"/>
              <w:left w:val="nil"/>
              <w:bottom w:val="nil"/>
              <w:right w:val="nil"/>
            </w:tcBorders>
            <w:shd w:val="clear" w:color="auto" w:fill="FFFFFF"/>
            <w:tcMar>
              <w:top w:w="0" w:type="dxa"/>
              <w:left w:w="0" w:type="dxa"/>
              <w:bottom w:w="0" w:type="dxa"/>
              <w:right w:w="0" w:type="dxa"/>
            </w:tcMar>
            <w:vAlign w:val="top"/>
          </w:tcPr>
          <w:p w14:paraId="2114CF5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0.03384</w:t>
            </w:r>
          </w:p>
        </w:tc>
        <w:tc>
          <w:tcPr>
            <w:tcBorders>
              <w:top w:val="nil"/>
              <w:left w:val="nil"/>
              <w:bottom w:val="nil"/>
              <w:right w:val="nil"/>
            </w:tcBorders>
            <w:shd w:val="clear" w:color="auto" w:fill="FFFFFF"/>
            <w:tcMar>
              <w:top w:w="0" w:type="dxa"/>
              <w:left w:w="0" w:type="dxa"/>
              <w:bottom w:w="0" w:type="dxa"/>
              <w:right w:w="0" w:type="dxa"/>
            </w:tcMar>
            <w:vAlign w:val="top"/>
          </w:tcPr>
          <w:p w14:paraId="3500DFF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-2.066</w:t>
            </w:r>
          </w:p>
        </w:tc>
        <w:tc>
          <w:tcPr>
            <w:tcBorders>
              <w:top w:val="nil"/>
              <w:left w:val="nil"/>
              <w:bottom w:val="nil"/>
              <w:right w:val="nil"/>
            </w:tcBorders>
            <w:shd w:val="clear" w:color="auto" w:fill="FFFFFF"/>
            <w:tcMar>
              <w:top w:w="0" w:type="dxa"/>
              <w:left w:w="0" w:type="dxa"/>
              <w:bottom w:w="0" w:type="dxa"/>
              <w:right w:w="0" w:type="dxa"/>
            </w:tcMar>
            <w:vAlign w:val="top"/>
          </w:tcPr>
          <w:p w14:paraId="6EAF72C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0.03879</w:t>
            </w:r>
          </w:p>
        </w:tc>
        <w:tc>
          <w:tcPr>
            <w:tcBorders>
              <w:top w:val="nil"/>
              <w:left w:val="nil"/>
              <w:bottom w:val="nil"/>
              <w:right w:val="nil"/>
            </w:tcBorders>
            <w:shd w:val="clear" w:color="auto" w:fill="FFFFFF"/>
            <w:tcMar>
              <w:top w:w="0" w:type="dxa"/>
              <w:left w:w="0" w:type="dxa"/>
              <w:bottom w:w="0" w:type="dxa"/>
              <w:right w:w="0" w:type="dxa"/>
            </w:tcMar>
            <w:vAlign w:val="top"/>
          </w:tcPr>
          <w:p w14:paraId="3BF2B3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0.936</w:t>
            </w:r>
          </w:p>
        </w:tc>
      </w:tr>
      <w:tr w14:paraId="65F2322E">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22112C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CLC</w:t>
            </w:r>
          </w:p>
        </w:tc>
        <w:tc>
          <w:tcPr>
            <w:tcBorders>
              <w:top w:val="nil"/>
              <w:left w:val="nil"/>
              <w:bottom w:val="nil"/>
              <w:right w:val="nil"/>
            </w:tcBorders>
            <w:shd w:val="clear" w:color="auto" w:fill="FFFFFF"/>
            <w:tcMar>
              <w:top w:w="0" w:type="dxa"/>
              <w:left w:w="0" w:type="dxa"/>
              <w:bottom w:w="0" w:type="dxa"/>
              <w:right w:w="0" w:type="dxa"/>
            </w:tcMar>
            <w:vAlign w:val="top"/>
          </w:tcPr>
          <w:p w14:paraId="2D8EE0B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-0.122</w:t>
            </w:r>
          </w:p>
        </w:tc>
        <w:tc>
          <w:tcPr>
            <w:tcBorders>
              <w:top w:val="nil"/>
              <w:left w:val="nil"/>
              <w:bottom w:val="nil"/>
              <w:right w:val="nil"/>
            </w:tcBorders>
            <w:shd w:val="clear" w:color="auto" w:fill="FFFFFF"/>
            <w:tcMar>
              <w:top w:w="0" w:type="dxa"/>
              <w:left w:w="0" w:type="dxa"/>
              <w:bottom w:w="0" w:type="dxa"/>
              <w:right w:w="0" w:type="dxa"/>
            </w:tcMar>
            <w:vAlign w:val="top"/>
          </w:tcPr>
          <w:p w14:paraId="6BB529F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0.8851</w:t>
            </w:r>
          </w:p>
        </w:tc>
        <w:tc>
          <w:tcPr>
            <w:tcBorders>
              <w:top w:val="nil"/>
              <w:left w:val="nil"/>
              <w:bottom w:val="nil"/>
              <w:right w:val="nil"/>
            </w:tcBorders>
            <w:shd w:val="clear" w:color="auto" w:fill="FFFFFF"/>
            <w:tcMar>
              <w:top w:w="0" w:type="dxa"/>
              <w:left w:w="0" w:type="dxa"/>
              <w:bottom w:w="0" w:type="dxa"/>
              <w:right w:w="0" w:type="dxa"/>
            </w:tcMar>
            <w:vAlign w:val="top"/>
          </w:tcPr>
          <w:p w14:paraId="2E574CA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0.05348</w:t>
            </w:r>
          </w:p>
        </w:tc>
        <w:tc>
          <w:tcPr>
            <w:tcBorders>
              <w:top w:val="nil"/>
              <w:left w:val="nil"/>
              <w:bottom w:val="nil"/>
              <w:right w:val="nil"/>
            </w:tcBorders>
            <w:shd w:val="clear" w:color="auto" w:fill="FFFFFF"/>
            <w:tcMar>
              <w:top w:w="0" w:type="dxa"/>
              <w:left w:w="0" w:type="dxa"/>
              <w:bottom w:w="0" w:type="dxa"/>
              <w:right w:w="0" w:type="dxa"/>
            </w:tcMar>
            <w:vAlign w:val="top"/>
          </w:tcPr>
          <w:p w14:paraId="67FB06A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-2.281</w:t>
            </w:r>
          </w:p>
        </w:tc>
        <w:tc>
          <w:tcPr>
            <w:tcBorders>
              <w:top w:val="nil"/>
              <w:left w:val="nil"/>
              <w:bottom w:val="nil"/>
              <w:right w:val="nil"/>
            </w:tcBorders>
            <w:shd w:val="clear" w:color="auto" w:fill="FFFFFF"/>
            <w:tcMar>
              <w:top w:w="0" w:type="dxa"/>
              <w:left w:w="0" w:type="dxa"/>
              <w:bottom w:w="0" w:type="dxa"/>
              <w:right w:w="0" w:type="dxa"/>
            </w:tcMar>
            <w:vAlign w:val="top"/>
          </w:tcPr>
          <w:p w14:paraId="4D9E345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0.02253</w:t>
            </w:r>
          </w:p>
        </w:tc>
        <w:tc>
          <w:tcPr>
            <w:tcBorders>
              <w:top w:val="nil"/>
              <w:left w:val="nil"/>
              <w:bottom w:val="nil"/>
              <w:right w:val="nil"/>
            </w:tcBorders>
            <w:shd w:val="clear" w:color="auto" w:fill="FFFFFF"/>
            <w:tcMar>
              <w:top w:w="0" w:type="dxa"/>
              <w:left w:w="0" w:type="dxa"/>
              <w:bottom w:w="0" w:type="dxa"/>
              <w:right w:w="0" w:type="dxa"/>
            </w:tcMar>
            <w:vAlign w:val="top"/>
          </w:tcPr>
          <w:p w14:paraId="64015A9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0.936</w:t>
            </w:r>
          </w:p>
        </w:tc>
      </w:tr>
      <w:tr w14:paraId="560863C5">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8D004C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2AF9D4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168EAD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7FC483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50FAC1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96ABB4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1DBA68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4F2643C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Figure+Table/3.4_COX_回归_(TCGA_SKCM)/TCGA-SKCM-sig-Univariate-Cox-Coefficients.csv)</w:t>
      </w:r>
    </w:p>
    <w:p w14:paraId="615B4F6B">
      <w:pPr>
        <w:pStyle w:val="4"/>
      </w:pPr>
      <w:bookmarkStart w:id="20" w:name="survival-生存分析-tcga_skcm"/>
      <w:r>
        <w:t>3.5</w:t>
      </w:r>
      <w:r>
        <w:tab/>
        <w:t>Survival 生存分析 (TCGA_SKCM)</w:t>
      </w:r>
      <w:bookmarkEnd w:id="20"/>
    </w:p>
    <w:p w14:paraId="6AD4BE08">
      <w:pPr>
        <w:pStyle w:val="38"/>
      </w:pPr>
      <w:r>
        <w:t xml:space="preserve">对基因集 (ACSM3, ADRB1, etc., 来自于COX 回归(Section: TCGA_SKCM)) 进行Survival 生存分析。按 </w:t>
      </w:r>
      <w:r>
        <w:rPr>
          <w:rStyle w:val="197"/>
        </w:rPr>
        <w:t>survminer::surv_cutpoint</w:t>
      </w:r>
      <w:r>
        <w:t xml:space="preserve"> 计算的 cutoff，将样本分为 Low 和 High 风险组。生存数据为TCGA-SKCM，使用标准化过的基因表达数据。根据元数据信息 (即临床数据) ，去除了生存状态未知的样例。根据 P value &lt; 0.05, 共筛到 13 个特征。 分别为 ACSM3, SYT1, CLC, MS4A4A, ECE1, HIVEP3, MYBPH, FOLH1B, DSC1, CLIC2, DEFA4, DLK2, LILRA5。</w:t>
      </w:r>
    </w:p>
    <w:p w14:paraId="567D3329">
      <w:pPr>
        <w:pStyle w:val="3"/>
      </w:pPr>
      <w:r>
        <w:t xml:space="preserve">Tab. </w:t>
      </w:r>
      <w:r>
        <w:fldChar w:fldCharType="begin"/>
      </w:r>
      <w:r>
        <w:instrText xml:space="preserve"> HYPERLINK \l "TCGA-SKCM-Significant-Survival-PValue" \h </w:instrText>
      </w:r>
      <w:r>
        <w:fldChar w:fldCharType="separate"/>
      </w:r>
      <w:r>
        <w:fldChar w:fldCharType="begin"/>
      </w:r>
      <w:r>
        <w:instrText xml:space="preserve"> REF TCGA-SKCM-Significant-Survival-PValue \h</w:instrText>
      </w:r>
      <w:r>
        <w:fldChar w:fldCharType="separate"/>
      </w:r>
      <w:r>
        <w:rPr>
          <w:b/>
        </w:rPr>
        <w:t>2</w:t>
      </w:r>
      <w:r>
        <w:fldChar w:fldCharType="end"/>
      </w:r>
      <w:r>
        <w:fldChar w:fldCharType="end"/>
      </w:r>
      <w:r>
        <w:t xml:space="preserve">  。 Fig. </w:t>
      </w:r>
      <w:r>
        <w:fldChar w:fldCharType="begin"/>
      </w:r>
      <w:r>
        <w:instrText xml:space="preserve"> HYPERLINK \l "TCGA-SKCM-survival-curve-of-LILRA5" \h </w:instrText>
      </w:r>
      <w:r>
        <w:fldChar w:fldCharType="separate"/>
      </w:r>
      <w:r>
        <w:fldChar w:fldCharType="begin"/>
      </w:r>
      <w:r>
        <w:instrText xml:space="preserve"> REF TCGA-SKCM-survival-curve-of-LILRA5 \h</w:instrText>
      </w:r>
      <w:r>
        <w:fldChar w:fldCharType="separate"/>
      </w:r>
      <w:r>
        <w:rPr>
          <w:b/>
        </w:rPr>
        <w:t>3</w:t>
      </w:r>
      <w:r>
        <w:fldChar w:fldCharType="end"/>
      </w:r>
      <w:r>
        <w:fldChar w:fldCharType="end"/>
      </w:r>
      <w:r>
        <w:t xml:space="preserve"> 为 LILRA5 生存曲线。</w:t>
      </w:r>
    </w:p>
    <w:p w14:paraId="191B3342">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21" w:name="TCGA-SKCM-Significant-Survival-PValue"/>
      <w:r>
        <w:rPr>
          <w:b/>
        </w:rPr>
        <w:fldChar w:fldCharType="begin"/>
      </w:r>
      <w:r>
        <w:rPr>
          <w:b/>
        </w:rPr>
        <w:instrText xml:space="preserve">SEQ tab \* Arabic</w:instrText>
      </w:r>
      <w:r>
        <w:rPr>
          <w:b/>
        </w:rPr>
        <w:fldChar w:fldCharType="separate"/>
      </w:r>
      <w:r>
        <w:rPr>
          <w:b/>
        </w:rPr>
        <w:t>2</w:t>
      </w:r>
      <w:r>
        <w:rPr>
          <w:b/>
        </w:rPr>
        <w:fldChar w:fldCharType="end"/>
      </w:r>
      <w:bookmarkEnd w:id="21"/>
      <w:r>
        <w:rPr>
          <w:b/>
        </w:rPr>
        <w:t xml:space="preserve">  </w:t>
      </w:r>
      <w:r>
        <w:t>TCGA SKCM Significant Survival PValue</w:t>
      </w:r>
    </w:p>
    <w:tbl>
      <w:tblPr>
        <w:tblStyle w:val="13"/>
        <w:tblW w:w="0" w:type="auto"/>
        <w:jc w:val="center"/>
        <w:tblLayout w:type="fixed"/>
        <w:tblCellMar>
          <w:top w:w="0" w:type="dxa"/>
          <w:left w:w="108" w:type="dxa"/>
          <w:bottom w:w="0" w:type="dxa"/>
          <w:right w:w="108" w:type="dxa"/>
        </w:tblCellMar>
      </w:tblPr>
      <w:tblGrid>
        <w:gridCol w:w="4320"/>
        <w:gridCol w:w="4320"/>
      </w:tblGrid>
      <w:tr w14:paraId="5DADCB8A">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C6DF09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1AA6C9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Pvalue</w:t>
            </w:r>
          </w:p>
        </w:tc>
      </w:tr>
      <w:tr w14:paraId="20522E23">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B53E0D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ACSM3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F0FF6D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1.735e-06</w:t>
            </w:r>
          </w:p>
        </w:tc>
      </w:tr>
      <w:tr w14:paraId="5A5659F4">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9DB38C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SYT1</w:t>
            </w:r>
          </w:p>
        </w:tc>
        <w:tc>
          <w:tcPr>
            <w:tcBorders>
              <w:top w:val="nil"/>
              <w:left w:val="nil"/>
              <w:bottom w:val="nil"/>
              <w:right w:val="nil"/>
            </w:tcBorders>
            <w:shd w:val="clear" w:color="auto" w:fill="FFFFFF"/>
            <w:tcMar>
              <w:top w:w="0" w:type="dxa"/>
              <w:left w:w="0" w:type="dxa"/>
              <w:bottom w:w="0" w:type="dxa"/>
              <w:right w:w="0" w:type="dxa"/>
            </w:tcMar>
            <w:vAlign w:val="top"/>
          </w:tcPr>
          <w:p w14:paraId="64C8561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0.02008</w:t>
            </w:r>
          </w:p>
        </w:tc>
      </w:tr>
      <w:tr w14:paraId="7BAD19BE">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702812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CLC</w:t>
            </w:r>
          </w:p>
        </w:tc>
        <w:tc>
          <w:tcPr>
            <w:tcBorders>
              <w:top w:val="nil"/>
              <w:left w:val="nil"/>
              <w:bottom w:val="nil"/>
              <w:right w:val="nil"/>
            </w:tcBorders>
            <w:shd w:val="clear" w:color="auto" w:fill="FFFFFF"/>
            <w:tcMar>
              <w:top w:w="0" w:type="dxa"/>
              <w:left w:w="0" w:type="dxa"/>
              <w:bottom w:w="0" w:type="dxa"/>
              <w:right w:w="0" w:type="dxa"/>
            </w:tcMar>
            <w:vAlign w:val="top"/>
          </w:tcPr>
          <w:p w14:paraId="59FB166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0.01507</w:t>
            </w:r>
          </w:p>
        </w:tc>
      </w:tr>
      <w:tr w14:paraId="768AAA7B">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AB014B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MS4A4A</w:t>
            </w:r>
          </w:p>
        </w:tc>
        <w:tc>
          <w:tcPr>
            <w:tcBorders>
              <w:top w:val="nil"/>
              <w:left w:val="nil"/>
              <w:bottom w:val="nil"/>
              <w:right w:val="nil"/>
            </w:tcBorders>
            <w:shd w:val="clear" w:color="auto" w:fill="FFFFFF"/>
            <w:tcMar>
              <w:top w:w="0" w:type="dxa"/>
              <w:left w:w="0" w:type="dxa"/>
              <w:bottom w:w="0" w:type="dxa"/>
              <w:right w:w="0" w:type="dxa"/>
            </w:tcMar>
            <w:vAlign w:val="top"/>
          </w:tcPr>
          <w:p w14:paraId="00179CA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0.0001311</w:t>
            </w:r>
          </w:p>
        </w:tc>
      </w:tr>
      <w:tr w14:paraId="63173114">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901CF0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ECE1</w:t>
            </w:r>
          </w:p>
        </w:tc>
        <w:tc>
          <w:tcPr>
            <w:tcBorders>
              <w:top w:val="nil"/>
              <w:left w:val="nil"/>
              <w:bottom w:val="nil"/>
              <w:right w:val="nil"/>
            </w:tcBorders>
            <w:shd w:val="clear" w:color="auto" w:fill="FFFFFF"/>
            <w:tcMar>
              <w:top w:w="0" w:type="dxa"/>
              <w:left w:w="0" w:type="dxa"/>
              <w:bottom w:w="0" w:type="dxa"/>
              <w:right w:w="0" w:type="dxa"/>
            </w:tcMar>
            <w:vAlign w:val="top"/>
          </w:tcPr>
          <w:p w14:paraId="6E27C88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0.02166</w:t>
            </w:r>
          </w:p>
        </w:tc>
      </w:tr>
      <w:tr w14:paraId="2AD9A43B">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6DC739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E1AAE0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7ABDF7EC">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Figure+Table/3.5_Survival_生存分析_(TCGA_SKCM)/TCGA-SKCM-Significant-Survival-PValue.csv)</w:t>
      </w:r>
    </w:p>
    <w:p w14:paraId="0D23E8AD">
      <w:pPr>
        <w:pStyle w:val="3"/>
      </w:pPr>
      <w:r>
        <w:drawing>
          <wp:inline distT="0" distB="0" distL="0" distR="0">
            <wp:extent cx="5669280" cy="4328160"/>
            <wp:effectExtent l="0" t="0" r="762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tretch>
                      <a:fillRect/>
                    </a:stretch>
                  </pic:blipFill>
                  <pic:spPr>
                    <a:xfrm>
                      <a:off x="0" y="0"/>
                      <a:ext cx="78740" cy="60118"/>
                    </a:xfrm>
                    <a:prstGeom prst="rect">
                      <a:avLst/>
                    </a:prstGeom>
                    <a:noFill/>
                  </pic:spPr>
                </pic:pic>
              </a:graphicData>
            </a:graphic>
          </wp:inline>
        </w:drawing>
      </w:r>
    </w:p>
    <w:p w14:paraId="727EA60A">
      <w:pPr>
        <w:pStyle w:val="194"/>
      </w:pPr>
      <w:r>
        <w:rPr>
          <w:b/>
        </w:rPr>
        <w:t xml:space="preserve">Fig. </w:t>
      </w:r>
      <w:bookmarkStart w:id="22" w:name="TCGA-SKCM-survival-curve-of-LILRA5"/>
      <w:r>
        <w:rPr>
          <w:b/>
        </w:rPr>
        <w:fldChar w:fldCharType="begin"/>
      </w:r>
      <w:r>
        <w:rPr>
          <w:b/>
        </w:rPr>
        <w:instrText xml:space="preserve">SEQ fig: \* Arabic</w:instrText>
      </w:r>
      <w:r>
        <w:rPr>
          <w:b/>
        </w:rPr>
        <w:fldChar w:fldCharType="separate"/>
      </w:r>
      <w:r>
        <w:rPr>
          <w:b/>
        </w:rPr>
        <w:t>3</w:t>
      </w:r>
      <w:r>
        <w:rPr>
          <w:b/>
        </w:rPr>
        <w:fldChar w:fldCharType="end"/>
      </w:r>
      <w:bookmarkEnd w:id="22"/>
      <w:r>
        <w:rPr>
          <w:b/>
        </w:rPr>
        <w:t xml:space="preserve"> </w:t>
      </w:r>
      <w:r>
        <w:t>TCGA SKCM survival curve of LILRA5</w:t>
      </w:r>
    </w:p>
    <w:p w14:paraId="2C635800">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Figure+Table/3.5_Survival_生存分析_(TCGA_SKCM)/TCGA-SKCM-survival-curve-of-LILRA5.pdf)</w:t>
      </w:r>
    </w:p>
    <w:p w14:paraId="6E00CC00">
      <w:pPr>
        <w:pStyle w:val="4"/>
      </w:pPr>
      <w:bookmarkStart w:id="23" w:name="clusterprofiler-富集分析-sig"/>
      <w:r>
        <w:t>3.6</w:t>
      </w:r>
      <w:r>
        <w:tab/>
        <w:t>ClusterProfiler 富集分析 (SIG)</w:t>
      </w:r>
      <w:bookmarkEnd w:id="23"/>
    </w:p>
    <w:p w14:paraId="4CC5B4AC">
      <w:pPr>
        <w:pStyle w:val="38"/>
      </w:pPr>
      <w:r>
        <w:t>对基因集 (ACSM3, SYT1, etc., 来自于Survival 生存分析(Section: TCGA_SKCM)) 进行富集分析。</w:t>
      </w:r>
    </w:p>
    <w:p w14:paraId="58DC9FB6">
      <w:pPr>
        <w:pStyle w:val="3"/>
      </w:pPr>
      <w:r>
        <w:t xml:space="preserve">Fig. </w:t>
      </w:r>
      <w:r>
        <w:fldChar w:fldCharType="begin"/>
      </w:r>
      <w:r>
        <w:instrText xml:space="preserve"> HYPERLINK \l "SIG-KEGG-enrichment" \h </w:instrText>
      </w:r>
      <w:r>
        <w:fldChar w:fldCharType="separate"/>
      </w:r>
      <w:r>
        <w:fldChar w:fldCharType="begin"/>
      </w:r>
      <w:r>
        <w:instrText xml:space="preserve"> REF SIG-KEGG-enrichment \h</w:instrText>
      </w:r>
      <w:r>
        <w:fldChar w:fldCharType="separate"/>
      </w:r>
      <w:r>
        <w:rPr>
          <w:b/>
        </w:rPr>
        <w:t>4</w:t>
      </w:r>
      <w:r>
        <w:fldChar w:fldCharType="end"/>
      </w:r>
      <w:r>
        <w:fldChar w:fldCharType="end"/>
      </w:r>
      <w:r>
        <w:t xml:space="preserve"> , 观察到， B cell receptor signaling pathway 富集到一个基因，为信号通路 (P-value: 0.0522，其实这里 P 值不重要，主要是找到基因所在的通路)。</w:t>
      </w:r>
    </w:p>
    <w:p w14:paraId="043D7FD7">
      <w:pPr>
        <w:pStyle w:val="3"/>
      </w:pPr>
      <w:r>
        <w:drawing>
          <wp:inline distT="0" distB="0" distL="0" distR="0">
            <wp:extent cx="5669280" cy="32937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stretch>
                      <a:fillRect/>
                    </a:stretch>
                  </pic:blipFill>
                  <pic:spPr>
                    <a:xfrm>
                      <a:off x="0" y="0"/>
                      <a:ext cx="78740" cy="45752"/>
                    </a:xfrm>
                    <a:prstGeom prst="rect">
                      <a:avLst/>
                    </a:prstGeom>
                    <a:noFill/>
                  </pic:spPr>
                </pic:pic>
              </a:graphicData>
            </a:graphic>
          </wp:inline>
        </w:drawing>
      </w:r>
    </w:p>
    <w:p w14:paraId="0F3879E0">
      <w:pPr>
        <w:pStyle w:val="194"/>
      </w:pPr>
      <w:r>
        <w:rPr>
          <w:b/>
        </w:rPr>
        <w:t xml:space="preserve">Fig. </w:t>
      </w:r>
      <w:bookmarkStart w:id="24" w:name="SIG-KEGG-enrichment"/>
      <w:r>
        <w:rPr>
          <w:b/>
        </w:rPr>
        <w:fldChar w:fldCharType="begin"/>
      </w:r>
      <w:r>
        <w:rPr>
          <w:b/>
        </w:rPr>
        <w:instrText xml:space="preserve">SEQ fig: \* Arabic</w:instrText>
      </w:r>
      <w:r>
        <w:rPr>
          <w:b/>
        </w:rPr>
        <w:fldChar w:fldCharType="separate"/>
      </w:r>
      <w:r>
        <w:rPr>
          <w:b/>
        </w:rPr>
        <w:t>4</w:t>
      </w:r>
      <w:r>
        <w:rPr>
          <w:b/>
        </w:rPr>
        <w:fldChar w:fldCharType="end"/>
      </w:r>
      <w:bookmarkEnd w:id="24"/>
      <w:r>
        <w:rPr>
          <w:b/>
        </w:rPr>
        <w:t xml:space="preserve"> </w:t>
      </w:r>
      <w:r>
        <w:t>SIG KEGG enrichment</w:t>
      </w:r>
    </w:p>
    <w:p w14:paraId="789DA8C4">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Figure+Table/3.6_ClusterProfiler_富集分析_(SIG)/SIG-KEGG-enrichment.pdf)</w:t>
      </w:r>
    </w:p>
    <w:p w14:paraId="136C4A37">
      <w:pPr>
        <w:pStyle w:val="4"/>
      </w:pPr>
      <w:bookmarkStart w:id="25" w:name="pathview-通路可视化-sig"/>
      <w:r>
        <w:t>3.7</w:t>
      </w:r>
      <w:r>
        <w:tab/>
        <w:t>Pathview 通路可视化 (SIG)</w:t>
      </w:r>
      <w:bookmarkEnd w:id="25"/>
    </w:p>
    <w:p w14:paraId="69BB6078">
      <w:pPr>
        <w:pStyle w:val="38"/>
      </w:pPr>
      <w:r>
        <w:t xml:space="preserve">以 </w:t>
      </w:r>
      <w:r>
        <w:rPr>
          <w:rStyle w:val="197"/>
        </w:rPr>
        <w:t>pathview</w:t>
      </w:r>
      <w:r>
        <w:t xml:space="preserve"> 探究基因集在通路 hsa04662 中的上下游关系。</w:t>
      </w:r>
    </w:p>
    <w:p w14:paraId="05465496">
      <w:pPr>
        <w:pStyle w:val="3"/>
      </w:pPr>
      <w:r>
        <w:t xml:space="preserve">Fig. </w:t>
      </w:r>
      <w:r>
        <w:fldChar w:fldCharType="begin"/>
      </w:r>
      <w:r>
        <w:instrText xml:space="preserve"> HYPERLINK \l "SIG-pathviews" \h </w:instrText>
      </w:r>
      <w:r>
        <w:fldChar w:fldCharType="separate"/>
      </w:r>
      <w:r>
        <w:fldChar w:fldCharType="begin"/>
      </w:r>
      <w:r>
        <w:instrText xml:space="preserve"> REF SIG-pathviews \h</w:instrText>
      </w:r>
      <w:r>
        <w:fldChar w:fldCharType="separate"/>
      </w:r>
      <w:r>
        <w:rPr>
          <w:b/>
        </w:rPr>
        <w:t>5</w:t>
      </w:r>
      <w:r>
        <w:fldChar w:fldCharType="end"/>
      </w:r>
      <w:r>
        <w:fldChar w:fldCharType="end"/>
      </w:r>
      <w:r>
        <w:t xml:space="preserve"> KEGG 通路可视化 (hsa04662) 展示了富集基因在该通路的上下游关系。通路图中的基因的映射颜色表示是否显著富集。 富集的基因为 LILRA5。</w:t>
      </w:r>
    </w:p>
    <w:p w14:paraId="340F7983">
      <w:pPr>
        <w:pStyle w:val="3"/>
      </w:pPr>
      <w:r>
        <w:t xml:space="preserve">Fig. </w:t>
      </w:r>
      <w:r>
        <w:fldChar w:fldCharType="begin"/>
      </w:r>
      <w:r>
        <w:instrText xml:space="preserve"> HYPERLINK \l "SIG2-pathviews" \h </w:instrText>
      </w:r>
      <w:r>
        <w:fldChar w:fldCharType="separate"/>
      </w:r>
      <w:r>
        <w:fldChar w:fldCharType="begin"/>
      </w:r>
      <w:r>
        <w:instrText xml:space="preserve"> REF SIG2-pathviews \h</w:instrText>
      </w:r>
      <w:r>
        <w:fldChar w:fldCharType="separate"/>
      </w:r>
      <w:r>
        <w:rPr>
          <w:b/>
        </w:rPr>
        <w:t>6</w:t>
      </w:r>
      <w:r>
        <w:fldChar w:fldCharType="end"/>
      </w:r>
      <w:r>
        <w:fldChar w:fldCharType="end"/>
      </w:r>
      <w:r>
        <w:t xml:space="preserve"> , 发现下游基因 FOS。</w:t>
      </w:r>
    </w:p>
    <w:p w14:paraId="19F62A0A">
      <w:pPr>
        <w:pStyle w:val="3"/>
      </w:pPr>
      <w:r>
        <w:drawing>
          <wp:inline distT="0" distB="0" distL="0" distR="0">
            <wp:extent cx="5669280" cy="3684270"/>
            <wp:effectExtent l="0" t="0" r="762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stretch>
                      <a:fillRect/>
                    </a:stretch>
                  </pic:blipFill>
                  <pic:spPr>
                    <a:xfrm>
                      <a:off x="0" y="0"/>
                      <a:ext cx="78740" cy="51171"/>
                    </a:xfrm>
                    <a:prstGeom prst="rect">
                      <a:avLst/>
                    </a:prstGeom>
                    <a:noFill/>
                  </pic:spPr>
                </pic:pic>
              </a:graphicData>
            </a:graphic>
          </wp:inline>
        </w:drawing>
      </w:r>
    </w:p>
    <w:p w14:paraId="6CAB00C0">
      <w:pPr>
        <w:pStyle w:val="194"/>
      </w:pPr>
      <w:r>
        <w:rPr>
          <w:b/>
        </w:rPr>
        <w:t xml:space="preserve">Fig. </w:t>
      </w:r>
      <w:bookmarkStart w:id="26" w:name="SIG-pathviews"/>
      <w:r>
        <w:rPr>
          <w:b/>
        </w:rPr>
        <w:fldChar w:fldCharType="begin"/>
      </w:r>
      <w:r>
        <w:rPr>
          <w:b/>
        </w:rPr>
        <w:instrText xml:space="preserve">SEQ fig: \* Arabic</w:instrText>
      </w:r>
      <w:r>
        <w:rPr>
          <w:b/>
        </w:rPr>
        <w:fldChar w:fldCharType="separate"/>
      </w:r>
      <w:r>
        <w:rPr>
          <w:b/>
        </w:rPr>
        <w:t>5</w:t>
      </w:r>
      <w:r>
        <w:rPr>
          <w:b/>
        </w:rPr>
        <w:fldChar w:fldCharType="end"/>
      </w:r>
      <w:bookmarkEnd w:id="26"/>
      <w:r>
        <w:rPr>
          <w:b/>
        </w:rPr>
        <w:t xml:space="preserve"> </w:t>
      </w:r>
      <w:r>
        <w:t>SIG pathviews</w:t>
      </w:r>
    </w:p>
    <w:p w14:paraId="0A51500C">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Figure+Table/3.7_Pathview_通路可视化_(SIG)/SIG-pathviews.png)</w:t>
      </w:r>
    </w:p>
    <w:p w14:paraId="08B757E9">
      <w:pPr>
        <w:pStyle w:val="186"/>
        <w:numPr>
          <w:ilvl w:val="0"/>
          <w:numId w:val="2"/>
        </w:numPr>
      </w:pPr>
      <w:r>
        <w:t xml:space="preserve">Interactive figure: </w:t>
      </w:r>
      <w:r>
        <w:fldChar w:fldCharType="begin"/>
      </w:r>
      <w:r>
        <w:instrText xml:space="preserve"> HYPERLINK "https://www.genome.jp/pathway/hsa04662" \h </w:instrText>
      </w:r>
      <w:r>
        <w:fldChar w:fldCharType="separate"/>
      </w:r>
      <w:r>
        <w:rPr>
          <w:rStyle w:val="24"/>
        </w:rPr>
        <w:t>https://www.genome.jp/pathway/hsa04662</w:t>
      </w:r>
      <w:r>
        <w:rPr>
          <w:rStyle w:val="24"/>
        </w:rPr>
        <w:fldChar w:fldCharType="end"/>
      </w:r>
    </w:p>
    <w:p w14:paraId="31F917E9">
      <w:pPr>
        <w:pStyle w:val="186"/>
        <w:numPr>
          <w:ilvl w:val="0"/>
          <w:numId w:val="2"/>
        </w:numPr>
      </w:pPr>
      <w:r>
        <w:t>Enriched genes: LILRA5</w:t>
      </w:r>
    </w:p>
    <w:p w14:paraId="7C0C2B75">
      <w:pPr>
        <w:pStyle w:val="38"/>
      </w:pPr>
      <w:r>
        <w:drawing>
          <wp:inline distT="0" distB="0" distL="0" distR="0">
            <wp:extent cx="5669280" cy="368744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stretch>
                      <a:fillRect/>
                    </a:stretch>
                  </pic:blipFill>
                  <pic:spPr>
                    <a:xfrm>
                      <a:off x="0" y="0"/>
                      <a:ext cx="78740" cy="51218"/>
                    </a:xfrm>
                    <a:prstGeom prst="rect">
                      <a:avLst/>
                    </a:prstGeom>
                    <a:noFill/>
                  </pic:spPr>
                </pic:pic>
              </a:graphicData>
            </a:graphic>
          </wp:inline>
        </w:drawing>
      </w:r>
    </w:p>
    <w:p w14:paraId="62EB65D9">
      <w:pPr>
        <w:pStyle w:val="194"/>
      </w:pPr>
      <w:r>
        <w:rPr>
          <w:b/>
        </w:rPr>
        <w:t xml:space="preserve">Fig. </w:t>
      </w:r>
      <w:bookmarkStart w:id="27" w:name="SIG2-pathviews"/>
      <w:r>
        <w:rPr>
          <w:b/>
        </w:rPr>
        <w:fldChar w:fldCharType="begin"/>
      </w:r>
      <w:r>
        <w:rPr>
          <w:b/>
        </w:rPr>
        <w:instrText xml:space="preserve">SEQ fig: \* Arabic</w:instrText>
      </w:r>
      <w:r>
        <w:rPr>
          <w:b/>
        </w:rPr>
        <w:fldChar w:fldCharType="separate"/>
      </w:r>
      <w:r>
        <w:rPr>
          <w:b/>
        </w:rPr>
        <w:t>6</w:t>
      </w:r>
      <w:r>
        <w:rPr>
          <w:b/>
        </w:rPr>
        <w:fldChar w:fldCharType="end"/>
      </w:r>
      <w:bookmarkEnd w:id="27"/>
      <w:r>
        <w:rPr>
          <w:b/>
        </w:rPr>
        <w:t xml:space="preserve"> </w:t>
      </w:r>
      <w:r>
        <w:t>SIG2 pathviews</w:t>
      </w:r>
    </w:p>
    <w:p w14:paraId="7DF9C52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Figure+Table/3.7_Pathview_通路可视化_(SIG)/SIG2-pathviews.png)</w:t>
      </w:r>
    </w:p>
    <w:p w14:paraId="062D55C0">
      <w:pPr>
        <w:pStyle w:val="186"/>
        <w:numPr>
          <w:ilvl w:val="0"/>
          <w:numId w:val="2"/>
        </w:numPr>
      </w:pPr>
      <w:r>
        <w:t xml:space="preserve">Interactive figure: </w:t>
      </w:r>
      <w:r>
        <w:fldChar w:fldCharType="begin"/>
      </w:r>
      <w:r>
        <w:instrText xml:space="preserve"> HYPERLINK "https://www.genome.jp/pathway/hsa04662" \h </w:instrText>
      </w:r>
      <w:r>
        <w:fldChar w:fldCharType="separate"/>
      </w:r>
      <w:r>
        <w:rPr>
          <w:rStyle w:val="24"/>
        </w:rPr>
        <w:t>https://www.genome.jp/pathway/hsa04662</w:t>
      </w:r>
      <w:r>
        <w:rPr>
          <w:rStyle w:val="24"/>
        </w:rPr>
        <w:fldChar w:fldCharType="end"/>
      </w:r>
    </w:p>
    <w:p w14:paraId="19C68E63">
      <w:pPr>
        <w:pStyle w:val="186"/>
        <w:numPr>
          <w:ilvl w:val="0"/>
          <w:numId w:val="2"/>
        </w:numPr>
      </w:pPr>
      <w:r>
        <w:t>Enriched genes: CR2, FOS, LILRA5, BANK1</w:t>
      </w:r>
      <w:bookmarkStart w:id="39" w:name="_GoBack"/>
      <w:bookmarkEnd w:id="39"/>
    </w:p>
    <w:p w14:paraId="625C3233">
      <w:pPr>
        <w:pStyle w:val="4"/>
      </w:pPr>
      <w:bookmarkStart w:id="28" w:name="关联分析-gse11907"/>
      <w:r>
        <w:t>3.8</w:t>
      </w:r>
      <w:r>
        <w:tab/>
        <w:t>关联分析 (GSE11907)</w:t>
      </w:r>
      <w:bookmarkEnd w:id="28"/>
    </w:p>
    <w:p w14:paraId="3B40BCF0">
      <w:pPr>
        <w:pStyle w:val="38"/>
      </w:pPr>
      <w:r>
        <w:t xml:space="preserve">将基因 (LILRA5 -&gt; FOS) 关联分析， Fig. </w:t>
      </w:r>
      <w:r>
        <w:fldChar w:fldCharType="begin"/>
      </w:r>
      <w:r>
        <w:instrText xml:space="preserve"> HYPERLINK \l "Linear-regression" \h </w:instrText>
      </w:r>
      <w:r>
        <w:fldChar w:fldCharType="separate"/>
      </w:r>
      <w:r>
        <w:fldChar w:fldCharType="begin"/>
      </w:r>
      <w:r>
        <w:instrText xml:space="preserve"> REF Linear-regression \h</w:instrText>
      </w:r>
      <w:r>
        <w:fldChar w:fldCharType="separate"/>
      </w:r>
      <w:r>
        <w:rPr>
          <w:b/>
        </w:rPr>
        <w:t>7</w:t>
      </w:r>
      <w:r>
        <w:fldChar w:fldCharType="end"/>
      </w:r>
      <w:r>
        <w:fldChar w:fldCharType="end"/>
      </w:r>
      <w:r>
        <w:t xml:space="preserve"> ，两者显著关联。</w:t>
      </w:r>
    </w:p>
    <w:p w14:paraId="1D38CF5E">
      <w:pPr>
        <w:pStyle w:val="3"/>
      </w:pPr>
      <w:r>
        <w:drawing>
          <wp:inline distT="0" distB="0" distL="0" distR="0">
            <wp:extent cx="5669280" cy="54971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stretch>
                      <a:fillRect/>
                    </a:stretch>
                  </pic:blipFill>
                  <pic:spPr>
                    <a:xfrm>
                      <a:off x="0" y="0"/>
                      <a:ext cx="78740" cy="76356"/>
                    </a:xfrm>
                    <a:prstGeom prst="rect">
                      <a:avLst/>
                    </a:prstGeom>
                    <a:noFill/>
                  </pic:spPr>
                </pic:pic>
              </a:graphicData>
            </a:graphic>
          </wp:inline>
        </w:drawing>
      </w:r>
    </w:p>
    <w:p w14:paraId="2027F864">
      <w:pPr>
        <w:pStyle w:val="194"/>
      </w:pPr>
      <w:r>
        <w:rPr>
          <w:b/>
        </w:rPr>
        <w:t xml:space="preserve">Fig. </w:t>
      </w:r>
      <w:bookmarkStart w:id="29" w:name="Linear-regression"/>
      <w:r>
        <w:rPr>
          <w:b/>
        </w:rPr>
        <w:fldChar w:fldCharType="begin"/>
      </w:r>
      <w:r>
        <w:rPr>
          <w:b/>
        </w:rPr>
        <w:instrText xml:space="preserve">SEQ fig: \* Arabic</w:instrText>
      </w:r>
      <w:r>
        <w:rPr>
          <w:b/>
        </w:rPr>
        <w:fldChar w:fldCharType="separate"/>
      </w:r>
      <w:r>
        <w:rPr>
          <w:b/>
        </w:rPr>
        <w:t>7</w:t>
      </w:r>
      <w:r>
        <w:rPr>
          <w:b/>
        </w:rPr>
        <w:fldChar w:fldCharType="end"/>
      </w:r>
      <w:bookmarkEnd w:id="29"/>
      <w:r>
        <w:rPr>
          <w:b/>
        </w:rPr>
        <w:t xml:space="preserve"> </w:t>
      </w:r>
      <w:r>
        <w:t>Linear regression</w:t>
      </w:r>
    </w:p>
    <w:p w14:paraId="6D623424">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Figure+Table/3.8_关联分析_(GSE11907)/Linear-regression.pdf)</w:t>
      </w:r>
    </w:p>
    <w:p w14:paraId="0BA38EC1">
      <w:pPr>
        <w:pStyle w:val="2"/>
      </w:pPr>
      <w:bookmarkStart w:id="30" w:name="conclusion"/>
      <w:r>
        <w:t>4</w:t>
      </w:r>
      <w:r>
        <w:tab/>
        <w:t>总结</w:t>
      </w:r>
      <w:bookmarkEnd w:id="30"/>
    </w:p>
    <w:p w14:paraId="438860AD">
      <w:pPr>
        <w:pStyle w:val="38"/>
      </w:pPr>
      <w:r>
        <w:t xml:space="preserve">筛选的基因为 LILRA5, 相关通路为 B cell receptor signaling pathway， 下游通路为Fig. </w:t>
      </w:r>
      <w:r>
        <w:fldChar w:fldCharType="begin"/>
      </w:r>
      <w:r>
        <w:instrText xml:space="preserve"> HYPERLINK \l "SIG2-pathviews" \h </w:instrText>
      </w:r>
      <w:r>
        <w:fldChar w:fldCharType="separate"/>
      </w:r>
      <w:r>
        <w:fldChar w:fldCharType="begin"/>
      </w:r>
      <w:r>
        <w:instrText xml:space="preserve"> REF SIG2-pathviews \h</w:instrText>
      </w:r>
      <w:r>
        <w:fldChar w:fldCharType="separate"/>
      </w:r>
      <w:r>
        <w:rPr>
          <w:b/>
        </w:rPr>
        <w:t>6</w:t>
      </w:r>
      <w:r>
        <w:fldChar w:fldCharType="end"/>
      </w:r>
      <w:r>
        <w:fldChar w:fldCharType="end"/>
      </w:r>
      <w:r>
        <w:t xml:space="preserve"> KEGG 通路可视化 (hsa04662) 展示了富集基因在该通路的上下游关系。通路图中的基因的映射颜色表示基因显著富集，并在数据集中有上调或下调变化趋势。 中的 FOS，两者显著关联， 见Fig. </w:t>
      </w:r>
      <w:r>
        <w:fldChar w:fldCharType="begin"/>
      </w:r>
      <w:r>
        <w:instrText xml:space="preserve"> HYPERLINK \l "Linear-regression" \h </w:instrText>
      </w:r>
      <w:r>
        <w:fldChar w:fldCharType="separate"/>
      </w:r>
      <w:r>
        <w:fldChar w:fldCharType="begin"/>
      </w:r>
      <w:r>
        <w:instrText xml:space="preserve"> REF Linear-regression \h</w:instrText>
      </w:r>
      <w:r>
        <w:fldChar w:fldCharType="separate"/>
      </w:r>
      <w:r>
        <w:rPr>
          <w:b/>
        </w:rPr>
        <w:t>7</w:t>
      </w:r>
      <w:r>
        <w:fldChar w:fldCharType="end"/>
      </w:r>
      <w:r>
        <w:fldChar w:fldCharType="end"/>
      </w:r>
      <w:r>
        <w:t xml:space="preserve">  。</w:t>
      </w:r>
    </w:p>
    <w:p w14:paraId="21521253">
      <w:pPr>
        <w:pStyle w:val="3"/>
      </w:pPr>
      <w:r>
        <w:t xml:space="preserve">FOS 在多数 Melanoma 的文献中被报导，例如 (2021, </w:t>
      </w:r>
      <w:r>
        <w:rPr>
          <w:b/>
        </w:rPr>
        <w:t>IF:3.9</w:t>
      </w:r>
      <w:r>
        <w:t>, Q1, Journal of photochemistry and photobiology. B, Biology)</w:t>
      </w:r>
      <w:r>
        <w:rPr>
          <w:vertAlign w:val="superscript"/>
        </w:rPr>
        <w:t>6</w:t>
      </w:r>
      <w:r>
        <w:t>。 而 LILRA5 还未被报道。</w:t>
      </w:r>
    </w:p>
    <w:p w14:paraId="0A1C391B">
      <w:pPr>
        <w:pStyle w:val="3"/>
      </w:pPr>
      <w:r>
        <w:t>HPA 数据库未包含 LILRA5 的 Melanoma 组织染色等数据，仅 TCGA 表达量数据。未进一步分析。</w:t>
      </w:r>
    </w:p>
    <w:p w14:paraId="50679C6E">
      <w:pPr>
        <w:pStyle w:val="2"/>
      </w:pPr>
      <w:bookmarkStart w:id="31" w:name="bibliography"/>
      <w:r>
        <w:t>Reference</w:t>
      </w:r>
      <w:bookmarkEnd w:id="31"/>
    </w:p>
    <w:p w14:paraId="5C86C41F">
      <w:pPr>
        <w:pStyle w:val="189"/>
      </w:pPr>
      <w:bookmarkStart w:id="32" w:name="ref-LimmaLinearMSmyth2005"/>
      <w:bookmarkStart w:id="33" w:name="refs"/>
      <w:r>
        <w:t xml:space="preserve">1. Smyth, G. K. Limma: Linear models for microarray data. in </w:t>
      </w:r>
      <w:r>
        <w:rPr>
          <w:i/>
        </w:rPr>
        <w:t>Bioinformatics and Computational Biology Solutions Using R and Bioconductor</w:t>
      </w:r>
      <w:r>
        <w:t xml:space="preserve"> (eds. Gentleman, R., Carey, V. J., Huber, W., Irizarry, R. A. &amp; Dudoit, S.) 397–420 (Springer-Verlag, 2005). doi:</w:t>
      </w:r>
      <w:r>
        <w:fldChar w:fldCharType="begin"/>
      </w:r>
      <w:r>
        <w:instrText xml:space="preserve"> HYPERLINK "https://doi.org/10.1007/0-387-29362-0_23" \h </w:instrText>
      </w:r>
      <w:r>
        <w:fldChar w:fldCharType="separate"/>
      </w:r>
      <w:r>
        <w:rPr>
          <w:rStyle w:val="24"/>
        </w:rPr>
        <w:t>10.1007/0-387-29362-0_23</w:t>
      </w:r>
      <w:r>
        <w:rPr>
          <w:rStyle w:val="24"/>
        </w:rPr>
        <w:fldChar w:fldCharType="end"/>
      </w:r>
      <w:r>
        <w:t>.</w:t>
      </w:r>
    </w:p>
    <w:bookmarkEnd w:id="32"/>
    <w:p w14:paraId="56B9C6DD">
      <w:pPr>
        <w:pStyle w:val="189"/>
      </w:pPr>
      <w:bookmarkStart w:id="34" w:name="ref-TcgabiolinksAColapr2015"/>
      <w:r>
        <w:t xml:space="preserve">2. Colaprico, A. </w:t>
      </w:r>
      <w:r>
        <w:rPr>
          <w:i/>
        </w:rPr>
        <w:t>et al.</w:t>
      </w:r>
      <w:r>
        <w:t xml:space="preserve"> TCGAbiolinks: An r/bioconductor package for integrative analysis of tcga data. </w:t>
      </w:r>
      <w:r>
        <w:rPr>
          <w:i/>
        </w:rPr>
        <w:t>Nucleic Acids Research</w:t>
      </w:r>
      <w:r>
        <w:t xml:space="preserve"> </w:t>
      </w:r>
      <w:r>
        <w:rPr>
          <w:b/>
        </w:rPr>
        <w:t>44</w:t>
      </w:r>
      <w:r>
        <w:t>, (2015).</w:t>
      </w:r>
    </w:p>
    <w:bookmarkEnd w:id="34"/>
    <w:p w14:paraId="7FA95E20">
      <w:pPr>
        <w:pStyle w:val="189"/>
      </w:pPr>
      <w:bookmarkStart w:id="35" w:name="ref-EdgerDifferenChen"/>
      <w:r>
        <w:t>3. Chen, Y., McCarthy, D., Ritchie, M., Robinson, M. &amp; Smyth, G. EdgeR: Differential analysis of sequence read count data users guide. 119.</w:t>
      </w:r>
    </w:p>
    <w:bookmarkEnd w:id="35"/>
    <w:p w14:paraId="0449F2D9">
      <w:pPr>
        <w:pStyle w:val="189"/>
      </w:pPr>
      <w:bookmarkStart w:id="36" w:name="ref-ClusterprofilerWuTi2021"/>
      <w:r>
        <w:t xml:space="preserve">4. Wu, T. </w:t>
      </w:r>
      <w:r>
        <w:rPr>
          <w:i/>
        </w:rPr>
        <w:t>et al.</w:t>
      </w:r>
      <w:r>
        <w:t xml:space="preserve"> ClusterProfiler 4.0: A universal enrichment tool for interpreting omics data. </w:t>
      </w:r>
      <w:r>
        <w:rPr>
          <w:i/>
        </w:rPr>
        <w:t>The Innovation</w:t>
      </w:r>
      <w:r>
        <w:t xml:space="preserve"> </w:t>
      </w:r>
      <w:r>
        <w:rPr>
          <w:b/>
        </w:rPr>
        <w:t>2</w:t>
      </w:r>
      <w:r>
        <w:t>, (2021).</w:t>
      </w:r>
    </w:p>
    <w:bookmarkEnd w:id="36"/>
    <w:p w14:paraId="093111B1">
      <w:pPr>
        <w:pStyle w:val="189"/>
      </w:pPr>
      <w:bookmarkStart w:id="37" w:name="ref-PathviewAnRLuoW2013"/>
      <w:r>
        <w:t xml:space="preserve">5. Luo, W. &amp; Brouwer, C. Pathview: An r/bioconductor package for pathway-based data integration and visualization. </w:t>
      </w:r>
      <w:r>
        <w:rPr>
          <w:i/>
        </w:rPr>
        <w:t>Bioinformatics (Oxford, England)</w:t>
      </w:r>
      <w:r>
        <w:t xml:space="preserve"> </w:t>
      </w:r>
      <w:r>
        <w:rPr>
          <w:b/>
        </w:rPr>
        <w:t>29</w:t>
      </w:r>
      <w:r>
        <w:t>, 1830–1831 (2013).</w:t>
      </w:r>
    </w:p>
    <w:bookmarkEnd w:id="37"/>
    <w:p w14:paraId="13E0AA4D">
      <w:pPr>
        <w:pStyle w:val="189"/>
      </w:pPr>
      <w:bookmarkStart w:id="38" w:name="ref-The_role_of_FOS_Shao_2021"/>
      <w:r>
        <w:t xml:space="preserve">6. Shao, J. </w:t>
      </w:r>
      <w:r>
        <w:rPr>
          <w:i/>
        </w:rPr>
        <w:t>et al.</w:t>
      </w:r>
      <w:r>
        <w:t xml:space="preserve"> The role of fos-mediated autophagy activation in the indocyanine green-based photodynamic therapy for treating melanoma. </w:t>
      </w:r>
      <w:r>
        <w:rPr>
          <w:i/>
        </w:rPr>
        <w:t>Journal of photochemistry and photobiology. B, Biology</w:t>
      </w:r>
      <w:r>
        <w:t xml:space="preserve"> </w:t>
      </w:r>
      <w:r>
        <w:rPr>
          <w:b/>
        </w:rPr>
        <w:t>214</w:t>
      </w:r>
      <w:r>
        <w:t>, (2021).</w:t>
      </w:r>
    </w:p>
    <w:bookmarkEnd w:id="33"/>
    <w:bookmarkEnd w:id="38"/>
    <w:sectPr>
      <w:headerReference r:id="rId6" w:type="first"/>
      <w:headerReference r:id="rId5" w:type="default"/>
      <w:footerReference r:id="rId7" w:type="default"/>
      <w:type w:val="continuous"/>
      <w:pgSz w:w="11906" w:h="16838"/>
      <w:pgMar w:top="1440" w:right="1800" w:bottom="1440" w:left="1800" w:header="907" w:footer="90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21"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JBLhqtABAACZAwAADgAAAGRycy9lMm9Eb2MueG1srVPNjtMwEL4j&#10;8Q6W79RN2cJu1HQFqhYhIUBa9gFcx2ks+U8et0lfAN6AExfuPFefY8dO0l2Wyx64OOOZyTfzfTNe&#10;XfdGk4MMoJytaDGbUyKtcLWyu4refbt5dUkJRG5rrp2VFT1KoNfrly9WnS/lwrVO1zIQBLFQdr6i&#10;bYy+ZAxEKw2HmfPSYrBxwfCI17BjdeAdohvNFvP5G9a5UPvghARA72YI0hExPAfQNY0ScuPE3kgb&#10;B9QgNY9ICVrlga5zt00jRfzSNCAj0RVFpjGfWATtbTrZesXLXeC+VWJsgT+nhSecDFcWi56hNjxy&#10;sg/qHyijRHDgmjgTzrCBSFYEWRTzJ9rcttzLzAWlBn8WHf4frPh8+BqIqiu6KCix3ODETz9/nH79&#10;Of3+Ti5eJ4E6DyXm3XrMjP171+PaTH5AZ+LdN8GkLzIiGEd5j2d5ZR+JQOfl8qpYLikRGCou3l6h&#10;jejs4WcfIH6QzpBkVDTg9LKo/PAJ4pA6paRa1t0orfMEtf3LgZjJw1LnQ4fJiv22H+lsXX1ENh0O&#10;vqIW95wS/dGirmlHJiNMxnYy9j6oXZuXKNUD/24fsYncW6owwI6FcWKZ3bhdaSUe33PWw4ta3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hdWGZ0gAAAAQBAAAPAAAAAAAAAAEAIAAAACIAAABkcnMv&#10;ZG93bnJldi54bWxQSwECFAAUAAAACACHTuJAJBLhqtABAACZAwAADgAAAAAAAAABACAAAAAhAQAA&#10;ZHJzL2Uyb0RvYy54bWxQSwUGAAAAAAYABgBZAQAAYwU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15"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17"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19"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7"/>
  <w:documentProtection w:enforcement="0"/>
  <w:defaultTabStop w:val="720"/>
  <w:hyphenationZone w:val="360"/>
  <w:footnotePr>
    <w:footnote w:id="0"/>
    <w:footnote w:id="1"/>
  </w:footnotePr>
  <w:endnotePr>
    <w:endnote w:id="0"/>
    <w:endnote w:id="1"/>
  </w:endnotePr>
  <w:compat>
    <w:compatSetting w:name="compatibilityMode" w:uri="http://schemas.microsoft.com/office/word" w:val="15"/>
  </w:compat>
  <w:rsids>
    <w:rsidRoot w:val="00000000"/>
    <w:rsid w:val="BBB37B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TotalTime>2</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2024-12-31T15:18:00Z</dcterms:created>
  <dc:creator>echo</dc:creator>
  <cp:lastModifiedBy>echo</cp:lastModifiedBy>
  <dcterms:modified xsi:type="dcterms:W3CDTF">2024-12-31T15:20:59Z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y fmtid="{D5CDD505-2E9C-101B-9397-08002B2CF9AE}" pid="6" name="KSOProductBuildVer">
    <vt:lpwstr>1033-12.1.0.17900</vt:lpwstr>
  </property>
  <property fmtid="{D5CDD505-2E9C-101B-9397-08002B2CF9AE}" pid="7" name="ICV">
    <vt:lpwstr>406F0089D8D199B95B9B7367C7234A68_42</vt:lpwstr>
  </property>
</Properties>
</file>