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108BB0">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7A983DE8">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12A36AE">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7C3BB953">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F20AD59">
      <w:pPr>
        <w:pBdr>
          <w:top w:val="none" w:color="000000" w:sz="0" w:space="0"/>
          <w:left w:val="none" w:color="000000" w:sz="0" w:space="0"/>
          <w:bottom w:val="none" w:color="000000" w:sz="0" w:space="0"/>
          <w:right w:val="none" w:color="000000" w:sz="0" w:space="0"/>
        </w:pBdr>
        <w:spacing w:before="0" w:after="0" w:line="480" w:lineRule="auto"/>
        <w:ind w:left="0" w:right="0" w:firstLine="0" w:firstLineChars="0"/>
        <w:jc w:val="center"/>
      </w:pPr>
      <w:r>
        <w:rPr>
          <w:rFonts w:ascii="Microsoft YaHei" w:hAnsi="Microsoft YaHei" w:eastAsia="Microsoft YaHei" w:cs="Microsoft YaHei"/>
          <w:b/>
          <w:i w:val="0"/>
          <w:color w:val="000000"/>
          <w:sz w:val="52"/>
          <w:szCs w:val="52"/>
          <w:u w:val="none"/>
        </w:rPr>
        <w:t>生信分析报告</w:t>
      </w:r>
    </w:p>
    <w:p w14:paraId="4F5A338B">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677A84D8">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F6FFC89">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4B166C6">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项目标题：</w:t>
      </w:r>
      <w:r>
        <w:rPr>
          <w:rFonts w:ascii="SimSun" w:hAnsi="SimSun" w:eastAsia="SimSun" w:cs="SimSun"/>
          <w:b/>
          <w:i w:val="0"/>
          <w:color w:val="000000"/>
          <w:sz w:val="28"/>
          <w:szCs w:val="28"/>
          <w:u w:val="single"/>
        </w:rPr>
        <w:t xml:space="preserve">          清心莲子饮网络药理学分析           ;</w:t>
      </w:r>
    </w:p>
    <w:p w14:paraId="4C67367B">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单    号：</w:t>
      </w:r>
      <w:r>
        <w:rPr>
          <w:rFonts w:ascii="SimSun" w:hAnsi="SimSun" w:eastAsia="SimSun" w:cs="SimSun"/>
          <w:b/>
          <w:i w:val="0"/>
          <w:color w:val="000000"/>
          <w:sz w:val="28"/>
          <w:szCs w:val="28"/>
          <w:u w:val="single"/>
        </w:rPr>
        <w:t xml:space="preserve">                 BSJF240734                  ;</w:t>
      </w:r>
    </w:p>
    <w:p w14:paraId="74CA5C90">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分析人员：</w:t>
      </w:r>
      <w:r>
        <w:rPr>
          <w:rFonts w:ascii="SimSun" w:hAnsi="SimSun" w:eastAsia="SimSun" w:cs="SimSun"/>
          <w:b/>
          <w:i w:val="0"/>
          <w:color w:val="000000"/>
          <w:sz w:val="28"/>
          <w:szCs w:val="28"/>
          <w:u w:val="single"/>
        </w:rPr>
        <w:t xml:space="preserve">                   黄礼闯                    ;</w:t>
      </w:r>
    </w:p>
    <w:p w14:paraId="3300100E">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分析类型：</w:t>
      </w:r>
      <w:r>
        <w:rPr>
          <w:rFonts w:ascii="SimSun" w:hAnsi="SimSun" w:eastAsia="SimSun" w:cs="SimSun"/>
          <w:b/>
          <w:i w:val="0"/>
          <w:color w:val="000000"/>
          <w:sz w:val="28"/>
          <w:szCs w:val="28"/>
          <w:u w:val="single"/>
        </w:rPr>
        <w:t xml:space="preserve">                  生信分析                   ;</w:t>
      </w:r>
    </w:p>
    <w:p w14:paraId="378D2105">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委 托 人：</w:t>
      </w:r>
      <w:r>
        <w:rPr>
          <w:rFonts w:ascii="SimSun" w:hAnsi="SimSun" w:eastAsia="SimSun" w:cs="SimSun"/>
          <w:b/>
          <w:i w:val="0"/>
          <w:color w:val="000000"/>
          <w:sz w:val="28"/>
          <w:szCs w:val="28"/>
          <w:u w:val="single"/>
        </w:rPr>
        <w:t xml:space="preserve">                    林波                     ;</w:t>
      </w:r>
    </w:p>
    <w:p w14:paraId="53836C7F">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受 托 人：</w:t>
      </w:r>
      <w:r>
        <w:rPr>
          <w:rFonts w:ascii="SimSun" w:hAnsi="SimSun" w:eastAsia="SimSun" w:cs="SimSun"/>
          <w:b/>
          <w:i w:val="0"/>
          <w:color w:val="000000"/>
          <w:sz w:val="28"/>
          <w:szCs w:val="28"/>
          <w:u w:val="single"/>
        </w:rPr>
        <w:t xml:space="preserve">          杭州铂赛生物科技有限公司           .</w:t>
      </w:r>
    </w:p>
    <w:p w14:paraId="44D64BAA">
      <w:r>
        <w:br w:type="page"/>
      </w:r>
    </w:p>
    <w:p w14:paraId="606052C1">
      <w:pPr>
        <w:pStyle w:val="2"/>
      </w:pPr>
      <w:bookmarkStart w:id="0" w:name="abstract"/>
      <w:r>
        <w:t>1</w:t>
      </w:r>
      <w:r>
        <w:tab/>
        <w:t>分析流程</w:t>
      </w:r>
      <w:bookmarkEnd w:id="0"/>
    </w:p>
    <w:p w14:paraId="29459861">
      <w:pPr>
        <w:pStyle w:val="186"/>
        <w:numPr>
          <w:ilvl w:val="0"/>
          <w:numId w:val="1"/>
        </w:numPr>
      </w:pPr>
      <w:r>
        <w:t>通过网络药理学筛选出清心莲子饮和CKD的共同靶点</w:t>
      </w:r>
    </w:p>
    <w:p w14:paraId="0DCB1BC7">
      <w:pPr>
        <w:pStyle w:val="186"/>
        <w:numPr>
          <w:ilvl w:val="0"/>
          <w:numId w:val="1"/>
        </w:numPr>
      </w:pPr>
      <w:r>
        <w:t>根据上一步靶点的相关信号通路与铁死亡相关信号通路进行通路富集</w:t>
      </w:r>
    </w:p>
    <w:p w14:paraId="7F4A2F40">
      <w:pPr>
        <w:pStyle w:val="38"/>
      </w:pPr>
      <w:r>
        <w:drawing>
          <wp:inline distT="0" distB="0" distL="0" distR="0">
            <wp:extent cx="5669280" cy="4535170"/>
            <wp:effectExtent l="0" t="0" r="762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tretch>
                      <a:fillRect/>
                    </a:stretch>
                  </pic:blipFill>
                  <pic:spPr>
                    <a:xfrm>
                      <a:off x="0" y="0"/>
                      <a:ext cx="78740" cy="62992"/>
                    </a:xfrm>
                    <a:prstGeom prst="rect">
                      <a:avLst/>
                    </a:prstGeom>
                    <a:noFill/>
                  </pic:spPr>
                </pic:pic>
              </a:graphicData>
            </a:graphic>
          </wp:inline>
        </w:drawing>
      </w:r>
    </w:p>
    <w:p w14:paraId="79AA87EA">
      <w:pPr>
        <w:pStyle w:val="194"/>
      </w:pPr>
      <w:r>
        <w:rPr>
          <w:b/>
        </w:rPr>
        <w:t xml:space="preserve">Fig. </w:t>
      </w:r>
      <w:bookmarkStart w:id="1" w:name="Unnamed-1"/>
      <w:r>
        <w:rPr>
          <w:b/>
        </w:rPr>
        <w:fldChar w:fldCharType="begin"/>
      </w:r>
      <w:r>
        <w:rPr>
          <w:b/>
        </w:rPr>
        <w:instrText xml:space="preserve">SEQ fig: \* Arabic</w:instrText>
      </w:r>
      <w:r>
        <w:rPr>
          <w:b/>
        </w:rPr>
        <w:fldChar w:fldCharType="separate"/>
      </w:r>
      <w:r>
        <w:rPr>
          <w:b/>
        </w:rPr>
        <w:t>1</w:t>
      </w:r>
      <w:r>
        <w:rPr>
          <w:b/>
        </w:rPr>
        <w:fldChar w:fldCharType="end"/>
      </w:r>
      <w:bookmarkEnd w:id="1"/>
      <w:r>
        <w:rPr>
          <w:b/>
        </w:rPr>
        <w:t xml:space="preserve"> </w:t>
      </w:r>
      <w:r>
        <w:t>Unnamed 1</w:t>
      </w:r>
    </w:p>
    <w:p w14:paraId="6BC22CA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Figure+Table/1.0_分析流程_{#abstract}/Unnamed-1.pdf)</w:t>
      </w:r>
    </w:p>
    <w:p w14:paraId="0D68503B">
      <w:pPr>
        <w:pStyle w:val="2"/>
      </w:pPr>
      <w:bookmarkStart w:id="2" w:name="introduction"/>
      <w:r>
        <w:t>2</w:t>
      </w:r>
      <w:r>
        <w:tab/>
        <w:t>材料和方法</w:t>
      </w:r>
      <w:bookmarkEnd w:id="2"/>
    </w:p>
    <w:p w14:paraId="3C3EB1A6">
      <w:pPr>
        <w:pStyle w:val="4"/>
      </w:pPr>
      <w:bookmarkStart w:id="3" w:name="数据分析平台"/>
      <w:r>
        <w:t>2.1</w:t>
      </w:r>
      <w:r>
        <w:tab/>
        <w:t>数据分析平台</w:t>
      </w:r>
      <w:bookmarkEnd w:id="3"/>
    </w:p>
    <w:p w14:paraId="7F86C1E5">
      <w:pPr>
        <w:pStyle w:val="38"/>
      </w:pPr>
      <w:r>
        <w:t>在 Linux pop-os x86_64 (6.9.3-76060903-generic) 上，使用 R version 4.4.2 (2024-10-31) (</w:t>
      </w:r>
      <w:r>
        <w:fldChar w:fldCharType="begin"/>
      </w:r>
      <w:r>
        <w:instrText xml:space="preserve"> HYPERLINK "https://www.r-project.org/" \h </w:instrText>
      </w:r>
      <w:r>
        <w:fldChar w:fldCharType="separate"/>
      </w:r>
      <w:r>
        <w:rPr>
          <w:rStyle w:val="24"/>
        </w:rPr>
        <w:t>https://www.r-project.org/</w:t>
      </w:r>
      <w:r>
        <w:rPr>
          <w:rStyle w:val="24"/>
        </w:rPr>
        <w:fldChar w:fldCharType="end"/>
      </w:r>
      <w:r>
        <w:t>) 对数据统计分析与整合分析。</w:t>
      </w:r>
    </w:p>
    <w:p w14:paraId="107A5962">
      <w:pPr>
        <w:pStyle w:val="4"/>
      </w:pPr>
      <w:bookmarkStart w:id="4" w:name="batman-网络药理学-dataset-qingxin"/>
      <w:r>
        <w:t>2.2</w:t>
      </w:r>
      <w:r>
        <w:tab/>
        <w:t>BATMAN 网络药理学 (Dataset: QINGXIN)</w:t>
      </w:r>
      <w:bookmarkEnd w:id="4"/>
    </w:p>
    <w:p w14:paraId="7B6B47E2">
      <w:pPr>
        <w:pStyle w:val="38"/>
      </w:pPr>
      <w:r>
        <w:t xml:space="preserve">从数据库 </w:t>
      </w:r>
      <w:r>
        <w:rPr>
          <w:rStyle w:val="197"/>
        </w:rPr>
        <w:t>BATMAN-TCM</w:t>
      </w:r>
      <w:r>
        <w:t xml:space="preserve"> ((2024, </w:t>
      </w:r>
      <w:r>
        <w:rPr>
          <w:b/>
        </w:rPr>
        <w:t>IF:16.6</w:t>
      </w:r>
      <w:r>
        <w:t>, Q1, Nucleic acids research)</w:t>
      </w:r>
      <w:r>
        <w:rPr>
          <w:vertAlign w:val="superscript"/>
        </w:rPr>
        <w:t>1</w:t>
      </w:r>
      <w:r>
        <w:t xml:space="preserve">) 中获取 CHI SHAO, MAI DONG, CHE QIAN ZI, REN SHEN, DI GU PI, LIAN ZI, HUANG QIN, GAN CAO, HUANG QI 等中药的成分、靶点数据。(即中药：莲子, 麦冬, 黄芩, 地骨皮, 人参, 车前子, 甘草, 赤芍, 黄芪)。以 Python 工具 </w:t>
      </w:r>
      <w:r>
        <w:rPr>
          <w:rStyle w:val="197"/>
        </w:rPr>
        <w:t>HOB</w:t>
      </w:r>
      <w:r>
        <w:t xml:space="preserve"> (2022, </w:t>
      </w:r>
      <w:r>
        <w:rPr>
          <w:b/>
        </w:rPr>
        <w:t>IF:7.1</w:t>
      </w:r>
      <w:r>
        <w:t>, Q1, Journal of Cheminformatics)</w:t>
      </w:r>
      <w:r>
        <w:rPr>
          <w:vertAlign w:val="superscript"/>
        </w:rPr>
        <w:t>2</w:t>
      </w:r>
      <w:r>
        <w:t xml:space="preserve"> 预测化合物人类口服利用度 (20%)。 使用 </w:t>
      </w:r>
      <w:r>
        <w:rPr>
          <w:rStyle w:val="197"/>
        </w:rPr>
        <w:t>BATMAN-TCM</w:t>
      </w:r>
      <w:r>
        <w:t xml:space="preserve"> 数据库中的 </w:t>
      </w:r>
      <w:r>
        <w:rPr>
          <w:rStyle w:val="197"/>
        </w:rPr>
        <w:t>known_target_proteins</w:t>
      </w:r>
      <w:r>
        <w:t xml:space="preserve"> 作为成分靶点。此外，还使用了 </w:t>
      </w:r>
      <w:r>
        <w:rPr>
          <w:rStyle w:val="197"/>
        </w:rPr>
        <w:t>BATMAN-TCM</w:t>
      </w:r>
      <w:r>
        <w:t xml:space="preserve"> 数据库中的 </w:t>
      </w:r>
      <w:r>
        <w:rPr>
          <w:rStyle w:val="197"/>
        </w:rPr>
        <w:t>predicted_target_proteins</w:t>
      </w:r>
      <w:r>
        <w:t xml:space="preserve"> 作为成分靶点，并设定 分数 cut-off 为 0.9。合并靶点数据。以 </w:t>
      </w:r>
      <w:r>
        <w:rPr>
          <w:rStyle w:val="197"/>
        </w:rPr>
        <w:t>BiomaRt</w:t>
      </w:r>
      <w:r>
        <w:t xml:space="preserve"> ((2009, </w:t>
      </w:r>
      <w:r>
        <w:rPr>
          <w:b/>
        </w:rPr>
        <w:t>IF:13.1</w:t>
      </w:r>
      <w:r>
        <w:t>, Q1, Nature protocols)</w:t>
      </w:r>
      <w:r>
        <w:rPr>
          <w:vertAlign w:val="superscript"/>
        </w:rPr>
        <w:t>3</w:t>
      </w:r>
      <w:r>
        <w:t xml:space="preserve">) 对靶点信息的 entrez_id 转化为基因 Symbol (hgnc_symbol) 。 以 </w:t>
      </w:r>
      <w:r>
        <w:rPr>
          <w:rStyle w:val="197"/>
        </w:rPr>
        <w:t>PubChemR</w:t>
      </w:r>
      <w:r>
        <w:t xml:space="preserve"> 获取化合物同义名 (Synonym)，按正则表达式 (Regex) 匹配化合物简短的同义名用以化合物注释。</w:t>
      </w:r>
    </w:p>
    <w:p w14:paraId="436B50C4">
      <w:pPr>
        <w:pStyle w:val="4"/>
      </w:pPr>
      <w:bookmarkStart w:id="5" w:name="genecards-基因获取-dataset-ckd"/>
      <w:r>
        <w:t>2.3</w:t>
      </w:r>
      <w:r>
        <w:tab/>
        <w:t>GeneCards 基因获取 (Dataset: CKD)</w:t>
      </w:r>
      <w:bookmarkEnd w:id="5"/>
    </w:p>
    <w:p w14:paraId="77602E56">
      <w:pPr>
        <w:pStyle w:val="38"/>
      </w:pPr>
      <w:r>
        <w:t xml:space="preserve">从 </w:t>
      </w:r>
      <w:r>
        <w:rPr>
          <w:rStyle w:val="197"/>
        </w:rPr>
        <w:t>GeneCards</w:t>
      </w:r>
      <w:r>
        <w:t xml:space="preserve"> 数据库 (2016, </w:t>
      </w:r>
      <w:r>
        <w:rPr>
          <w:b/>
        </w:rPr>
        <w:t>IF:NA</w:t>
      </w:r>
      <w:r>
        <w:t>, NA, Current protocols in bioinformatics)</w:t>
      </w:r>
      <w:r>
        <w:rPr>
          <w:vertAlign w:val="superscript"/>
        </w:rPr>
        <w:t>4</w:t>
      </w:r>
      <w:r>
        <w:t xml:space="preserve"> 获取 Chronic kidney disease 相关的基因集，得分 cut-off 为 3。</w:t>
      </w:r>
    </w:p>
    <w:p w14:paraId="4659F13E">
      <w:pPr>
        <w:pStyle w:val="4"/>
      </w:pPr>
      <w:bookmarkStart w:id="6" w:name="ferrdb-铁死亡调控因子-dataset-ferr"/>
      <w:r>
        <w:t>2.4</w:t>
      </w:r>
      <w:r>
        <w:tab/>
        <w:t>FerrDb 铁死亡调控因子 (Dataset: FERR)</w:t>
      </w:r>
      <w:bookmarkEnd w:id="6"/>
    </w:p>
    <w:p w14:paraId="1ACD1A3C">
      <w:pPr>
        <w:pStyle w:val="38"/>
      </w:pPr>
      <w:r>
        <w:t xml:space="preserve">从数据库 </w:t>
      </w:r>
      <w:r>
        <w:rPr>
          <w:rStyle w:val="197"/>
        </w:rPr>
        <w:t>FerrDb V2</w:t>
      </w:r>
      <w:r>
        <w:t xml:space="preserve"> (2023, </w:t>
      </w:r>
      <w:r>
        <w:rPr>
          <w:b/>
        </w:rPr>
        <w:t>IF:16.6</w:t>
      </w:r>
      <w:r>
        <w:t>, Q1, Nucleic acids research)</w:t>
      </w:r>
      <w:r>
        <w:rPr>
          <w:vertAlign w:val="superscript"/>
        </w:rPr>
        <w:t>5</w:t>
      </w:r>
      <w:r>
        <w:t xml:space="preserve"> 获取与铁死亡相关的调控因子或铁死亡与疾病之间的关联信息 </w:t>
      </w:r>
      <w:r>
        <w:fldChar w:fldCharType="begin"/>
      </w:r>
      <w:r>
        <w:instrText xml:space="preserve"> HYPERLINK "http://www.zhounan.org/ferrdb/current/" \h </w:instrText>
      </w:r>
      <w:r>
        <w:fldChar w:fldCharType="separate"/>
      </w:r>
      <w:r>
        <w:rPr>
          <w:rStyle w:val="24"/>
        </w:rPr>
        <w:t>http://www.zhounan.org/ferrdb/current/</w:t>
      </w:r>
      <w:r>
        <w:rPr>
          <w:rStyle w:val="24"/>
        </w:rPr>
        <w:fldChar w:fldCharType="end"/>
      </w:r>
      <w:r>
        <w:t>。</w:t>
      </w:r>
    </w:p>
    <w:p w14:paraId="12D83B00">
      <w:pPr>
        <w:pStyle w:val="4"/>
      </w:pPr>
      <w:bookmarkStart w:id="7" w:name="clusterprofiler-富集分析-dataset-common"/>
      <w:r>
        <w:t>2.5</w:t>
      </w:r>
      <w:r>
        <w:tab/>
        <w:t>ClusterProfiler 富集分析 (Dataset: COMMON)</w:t>
      </w:r>
      <w:bookmarkEnd w:id="7"/>
    </w:p>
    <w:p w14:paraId="56FC988D">
      <w:pPr>
        <w:pStyle w:val="38"/>
      </w:pPr>
      <w:r>
        <w:t xml:space="preserve">以 ClusterProfiler R 包 (4.15.0.2) (2021, </w:t>
      </w:r>
      <w:r>
        <w:rPr>
          <w:b/>
        </w:rPr>
        <w:t>IF:33.2</w:t>
      </w:r>
      <w:r>
        <w:t>, Q1, The Innovation)</w:t>
      </w:r>
      <w:r>
        <w:rPr>
          <w:vertAlign w:val="superscript"/>
        </w:rPr>
        <w:t>6</w:t>
      </w:r>
      <w:r>
        <w:t>进行 KEGG 和 GO 富集分析。以 p.adjust 表示显著水平。</w:t>
      </w:r>
    </w:p>
    <w:p w14:paraId="6B26483E">
      <w:pPr>
        <w:pStyle w:val="4"/>
      </w:pPr>
      <w:bookmarkStart w:id="8" w:name="limma-差异分析-dataset-ckd"/>
      <w:r>
        <w:t>2.6</w:t>
      </w:r>
      <w:r>
        <w:tab/>
        <w:t>Limma 差异分析 (Dataset: CKD)</w:t>
      </w:r>
      <w:bookmarkEnd w:id="8"/>
    </w:p>
    <w:p w14:paraId="207E0446">
      <w:pPr>
        <w:pStyle w:val="38"/>
      </w:pPr>
      <w:r>
        <w:t xml:space="preserve">使用 </w:t>
      </w:r>
      <w:r>
        <w:rPr>
          <w:rStyle w:val="197"/>
        </w:rPr>
        <w:t>log2</w:t>
      </w:r>
      <w:r>
        <w:t xml:space="preserve"> 和 </w:t>
      </w:r>
      <w:r>
        <w:rPr>
          <w:rStyle w:val="197"/>
        </w:rPr>
        <w:t>limma::normalizeBetweenArrays</w:t>
      </w:r>
      <w:r>
        <w:t xml:space="preserve"> 对数据标准化。 以 </w:t>
      </w:r>
      <w:r>
        <w:rPr>
          <w:rStyle w:val="197"/>
        </w:rPr>
        <w:t>limma</w:t>
      </w:r>
      <w:r>
        <w:t xml:space="preserve"> (3.62.1) (2005)</w:t>
      </w:r>
      <w:r>
        <w:rPr>
          <w:vertAlign w:val="superscript"/>
        </w:rPr>
        <w:t>7</w:t>
      </w:r>
      <w:r>
        <w:t xml:space="preserve"> 差异分析。创建设计矩阵，对比矩阵，差异分析：CKD vs Control。使用 </w:t>
      </w:r>
      <w:r>
        <w:rPr>
          <w:rStyle w:val="197"/>
        </w:rPr>
        <w:t>limma::lmFit</w:t>
      </w:r>
      <w:r>
        <w:t xml:space="preserve">, </w:t>
      </w:r>
      <w:r>
        <w:rPr>
          <w:rStyle w:val="197"/>
        </w:rPr>
        <w:t>limma::contrasts.fit</w:t>
      </w:r>
      <w:r>
        <w:t xml:space="preserve">, </w:t>
      </w:r>
      <w:r>
        <w:rPr>
          <w:rStyle w:val="197"/>
        </w:rPr>
        <w:t>limma::eBayes</w:t>
      </w:r>
      <w:r>
        <w:t xml:space="preserve"> 拟合线形模型。以 </w:t>
      </w:r>
      <w:r>
        <w:rPr>
          <w:rStyle w:val="197"/>
        </w:rPr>
        <w:t>limma::topTable</w:t>
      </w:r>
      <w:r>
        <w:t xml:space="preserve"> 提取所有结果，并过滤得到 adj.P.Val 小于 0.05，|Log2(FC)| 大于 1 的统计结果。</w:t>
      </w:r>
    </w:p>
    <w:p w14:paraId="0E9AAC2D">
      <w:pPr>
        <w:pStyle w:val="4"/>
      </w:pPr>
      <w:bookmarkStart w:id="9" w:name="autodock-vina-分子对接-dataset-qingxin"/>
      <w:r>
        <w:t>2.7</w:t>
      </w:r>
      <w:r>
        <w:tab/>
        <w:t>AutoDock vina 分子对接 (Dataset: QINGXIN)</w:t>
      </w:r>
      <w:bookmarkEnd w:id="9"/>
    </w:p>
    <w:p w14:paraId="2EA5C048">
      <w:pPr>
        <w:pStyle w:val="38"/>
      </w:pPr>
      <w:r>
        <w:t xml:space="preserve">以 R 包 </w:t>
      </w:r>
      <w:r>
        <w:rPr>
          <w:rStyle w:val="197"/>
        </w:rPr>
        <w:t>biomaRt</w:t>
      </w:r>
      <w:r>
        <w:t xml:space="preserve"> (2.62.0) (2009, </w:t>
      </w:r>
      <w:r>
        <w:rPr>
          <w:b/>
        </w:rPr>
        <w:t>IF:13.1</w:t>
      </w:r>
      <w:r>
        <w:t>, Q1, Nature protocols)</w:t>
      </w:r>
      <w:r>
        <w:rPr>
          <w:vertAlign w:val="superscript"/>
        </w:rPr>
        <w:t>3</w:t>
      </w:r>
      <w:r>
        <w:t xml:space="preserve"> 获取基因 Symbol 对应的蛋白结构 PDB (</w:t>
      </w:r>
      <w:r>
        <w:fldChar w:fldCharType="begin"/>
      </w:r>
      <w:r>
        <w:instrText xml:space="preserve"> HYPERLINK "https://www.rcsb.org/" \h </w:instrText>
      </w:r>
      <w:r>
        <w:fldChar w:fldCharType="separate"/>
      </w:r>
      <w:r>
        <w:rPr>
          <w:rStyle w:val="24"/>
        </w:rPr>
        <w:t>https://www.rcsb.org/</w:t>
      </w:r>
      <w:r>
        <w:rPr>
          <w:rStyle w:val="24"/>
        </w:rPr>
        <w:fldChar w:fldCharType="end"/>
      </w:r>
      <w:r>
        <w:t xml:space="preserve">) 数据库 ID。以 R 包 </w:t>
      </w:r>
      <w:r>
        <w:rPr>
          <w:rStyle w:val="197"/>
        </w:rPr>
        <w:t>bio3d</w:t>
      </w:r>
      <w:r>
        <w:t xml:space="preserve"> (2.4.5) 获取 PDB ID 对应的注释 (蛋白结构分辨率, resolution) 。首要以 resolution 选取用于分子对接的蛋白结构 (resolution 越小，分辨率越高) 。 以 PubChem API (</w:t>
      </w:r>
      <w:r>
        <w:fldChar w:fldCharType="begin"/>
      </w:r>
      <w:r>
        <w:instrText xml:space="preserve"> HYPERLINK "https://pubchem.ncbi.nlm.nih.gov/docs/pug-rest" \h </w:instrText>
      </w:r>
      <w:r>
        <w:fldChar w:fldCharType="separate"/>
      </w:r>
      <w:r>
        <w:rPr>
          <w:rStyle w:val="24"/>
        </w:rPr>
        <w:t>https://pubchem.ncbi.nlm.nih.gov/docs/pug-rest</w:t>
      </w:r>
      <w:r>
        <w:rPr>
          <w:rStyle w:val="24"/>
        </w:rPr>
        <w:fldChar w:fldCharType="end"/>
      </w:r>
      <w:r>
        <w:t xml:space="preserve">) 获取化合物 SDF 结构文件。使用 </w:t>
      </w:r>
      <w:r>
        <w:rPr>
          <w:rStyle w:val="197"/>
        </w:rPr>
        <w:t>openbabel</w:t>
      </w:r>
      <w:r>
        <w:t xml:space="preserve"> 的工具 (</w:t>
      </w:r>
      <w:r>
        <w:rPr>
          <w:rStyle w:val="197"/>
        </w:rPr>
        <w:t>obgen</w:t>
      </w:r>
      <w:r>
        <w:t xml:space="preserve">) 计算 SDF 文件的 3D 构象 (转化为 3D SDF文件)。以 Python </w:t>
      </w:r>
      <w:r>
        <w:rPr>
          <w:rStyle w:val="197"/>
        </w:rPr>
        <w:t>meeko</w:t>
      </w:r>
      <w:r>
        <w:t xml:space="preserve"> 包 (</w:t>
      </w:r>
      <w:r>
        <w:rPr>
          <w:rStyle w:val="197"/>
        </w:rPr>
        <w:t>mk_prepare_ligand.py</w:t>
      </w:r>
      <w:r>
        <w:t>) 转化 SDF 文件获取配体 PDBQT 用于分子对接。 以 RCSB API (</w:t>
      </w:r>
      <w:r>
        <w:fldChar w:fldCharType="begin"/>
      </w:r>
      <w:r>
        <w:instrText xml:space="preserve"> HYPERLINK "https://www.rcsb.org/docs/programmatic-access/web-apis-overview" \h </w:instrText>
      </w:r>
      <w:r>
        <w:fldChar w:fldCharType="separate"/>
      </w:r>
      <w:r>
        <w:rPr>
          <w:rStyle w:val="24"/>
        </w:rPr>
        <w:t>https://www.rcsb.org/docs/programmatic-access/web-apis-overview</w:t>
      </w:r>
      <w:r>
        <w:rPr>
          <w:rStyle w:val="24"/>
        </w:rPr>
        <w:fldChar w:fldCharType="end"/>
      </w:r>
      <w:r>
        <w:t xml:space="preserve">) 获取蛋白 PDB 文件。以 </w:t>
      </w:r>
      <w:r>
        <w:rPr>
          <w:rStyle w:val="197"/>
        </w:rPr>
        <w:t>pymol</w:t>
      </w:r>
      <w:r>
        <w:t xml:space="preserve"> (2010, </w:t>
      </w:r>
      <w:r>
        <w:rPr>
          <w:b/>
        </w:rPr>
        <w:t>IF:3</w:t>
      </w:r>
      <w:r>
        <w:t>, Q2, Journal of Computer-Aided Molecular Design)</w:t>
      </w:r>
      <w:r>
        <w:rPr>
          <w:vertAlign w:val="superscript"/>
        </w:rPr>
        <w:t>8</w:t>
      </w:r>
      <w:r>
        <w:t xml:space="preserve"> 删除受体 PDB 文件中的非标准残基 (例如 NAG, BMA, FUL)。以 </w:t>
      </w:r>
      <w:r>
        <w:rPr>
          <w:rStyle w:val="197"/>
        </w:rPr>
        <w:t>ADFR</w:t>
      </w:r>
      <w:r>
        <w:t xml:space="preserve"> (2019, </w:t>
      </w:r>
      <w:r>
        <w:rPr>
          <w:b/>
        </w:rPr>
        <w:t>IF:3.4</w:t>
      </w:r>
      <w:r>
        <w:t>, Q2, Journal of computational chemistry)</w:t>
      </w:r>
      <w:r>
        <w:rPr>
          <w:vertAlign w:val="superscript"/>
        </w:rPr>
        <w:t>9</w:t>
      </w:r>
      <w:r>
        <w:t xml:space="preserve"> 工具组的准备受体蛋白的 PDBQT 文件 (以 </w:t>
      </w:r>
      <w:r>
        <w:rPr>
          <w:rStyle w:val="197"/>
        </w:rPr>
        <w:t>prepare_receptor</w:t>
      </w:r>
      <w:r>
        <w:t xml:space="preserve"> 添加氢原子，并转化为 PDBQT 文件) 。请参考 </w:t>
      </w:r>
      <w:r>
        <w:fldChar w:fldCharType="begin"/>
      </w:r>
      <w:r>
        <w:instrText xml:space="preserve"> HYPERLINK "https://autodock-vina.readthedocs.io/en/latest/docking_basic.html" \h </w:instrText>
      </w:r>
      <w:r>
        <w:fldChar w:fldCharType="separate"/>
      </w:r>
      <w:r>
        <w:rPr>
          <w:rStyle w:val="24"/>
        </w:rPr>
        <w:t>https://autodock-vina.readthedocs.io/en/latest/docking_basic.html</w:t>
      </w:r>
      <w:r>
        <w:rPr>
          <w:rStyle w:val="24"/>
        </w:rPr>
        <w:fldChar w:fldCharType="end"/>
      </w:r>
      <w:r>
        <w:t xml:space="preserve">。 以 </w:t>
      </w:r>
      <w:r>
        <w:rPr>
          <w:rStyle w:val="197"/>
        </w:rPr>
        <w:t>AutoDock-Vina</w:t>
      </w:r>
      <w:r>
        <w:t xml:space="preserve"> 提供的工具 (</w:t>
      </w:r>
      <w:r>
        <w:rPr>
          <w:rStyle w:val="197"/>
        </w:rPr>
        <w:t>prepare_gpf.py</w:t>
      </w:r>
      <w:r>
        <w:t>) (</w:t>
      </w:r>
      <w:r>
        <w:fldChar w:fldCharType="begin"/>
      </w:r>
      <w:r>
        <w:instrText xml:space="preserve"> HYPERLINK "https://github.com/ccsb-scripps/AutoDock-Vina" \h </w:instrText>
      </w:r>
      <w:r>
        <w:fldChar w:fldCharType="separate"/>
      </w:r>
      <w:r>
        <w:rPr>
          <w:rStyle w:val="24"/>
        </w:rPr>
        <w:t>https://github.com/ccsb-scripps/AutoDock-Vina</w:t>
      </w:r>
      <w:r>
        <w:rPr>
          <w:rStyle w:val="24"/>
        </w:rPr>
        <w:fldChar w:fldCharType="end"/>
      </w:r>
      <w:r>
        <w:t xml:space="preserve">) 创建 GPF (grid parameter file)。以 </w:t>
      </w:r>
      <w:r>
        <w:rPr>
          <w:rStyle w:val="197"/>
        </w:rPr>
        <w:t>ADFR</w:t>
      </w:r>
      <w:r>
        <w:t xml:space="preserve"> (2019, </w:t>
      </w:r>
      <w:r>
        <w:rPr>
          <w:b/>
        </w:rPr>
        <w:t>IF:3.4</w:t>
      </w:r>
      <w:r>
        <w:t>, Q2, Journal of computational chemistry)</w:t>
      </w:r>
      <w:r>
        <w:rPr>
          <w:vertAlign w:val="superscript"/>
        </w:rPr>
        <w:t>9</w:t>
      </w:r>
      <w:r>
        <w:t xml:space="preserve"> 工具 </w:t>
      </w:r>
      <w:r>
        <w:rPr>
          <w:rStyle w:val="197"/>
        </w:rPr>
        <w:t>autogrid4</w:t>
      </w:r>
      <w:r>
        <w:t xml:space="preserve"> 计算亲和图谱 (Affinity Maps)。运行 AutoDock-Vina (2021, </w:t>
      </w:r>
      <w:r>
        <w:rPr>
          <w:b/>
        </w:rPr>
        <w:t>IF:5.6</w:t>
      </w:r>
      <w:r>
        <w:t>, Q1, Journal of Chemical Information and Modeling)</w:t>
      </w:r>
      <w:r>
        <w:rPr>
          <w:vertAlign w:val="superscript"/>
        </w:rPr>
        <w:t>10</w:t>
      </w:r>
      <w:r>
        <w:t xml:space="preserve"> (parameters: scoring = ad4; exhaustiveness = 32)。</w:t>
      </w:r>
    </w:p>
    <w:p w14:paraId="1696F7AA">
      <w:pPr>
        <w:pStyle w:val="2"/>
      </w:pPr>
      <w:bookmarkStart w:id="10" w:name="workflow"/>
      <w:r>
        <w:t>3</w:t>
      </w:r>
      <w:r>
        <w:tab/>
        <w:t>分析结果</w:t>
      </w:r>
      <w:bookmarkEnd w:id="10"/>
    </w:p>
    <w:p w14:paraId="2405968D">
      <w:pPr>
        <w:pStyle w:val="4"/>
      </w:pPr>
      <w:bookmarkStart w:id="11" w:name="batman-网络药理学-qingxin"/>
      <w:r>
        <w:t>3.1</w:t>
      </w:r>
      <w:r>
        <w:tab/>
        <w:t>BATMAN 网络药理学 (QINGXIN)</w:t>
      </w:r>
      <w:bookmarkEnd w:id="11"/>
    </w:p>
    <w:p w14:paraId="77D89584">
      <w:pPr>
        <w:pStyle w:val="38"/>
      </w:pPr>
      <w:r>
        <w:t xml:space="preserve">从数据库 </w:t>
      </w:r>
      <w:r>
        <w:rPr>
          <w:rStyle w:val="197"/>
        </w:rPr>
        <w:t>BATMAN-TCM</w:t>
      </w:r>
      <w:r>
        <w:t xml:space="preserve"> 中药的成分、靶点数据 (详见方法章节) 。通过 </w:t>
      </w:r>
      <w:r>
        <w:rPr>
          <w:rStyle w:val="197"/>
        </w:rPr>
        <w:t>PubChemR</w:t>
      </w:r>
      <w:r>
        <w:t xml:space="preserve"> 获取化合物的结构式 (SMILES)。以化合物结构式 (SMILES) 通过 </w:t>
      </w:r>
      <w:r>
        <w:rPr>
          <w:rStyle w:val="197"/>
        </w:rPr>
        <w:t>HOB</w:t>
      </w:r>
      <w:r>
        <w:t xml:space="preserve"> 程序预测是否达到口服利用度 20%。</w:t>
      </w:r>
      <w:r>
        <w:rPr>
          <w:rStyle w:val="197"/>
        </w:rPr>
        <w:t>HOB</w:t>
      </w:r>
      <w:r>
        <w:t xml:space="preserve"> 预测结果，所有用于预测的化合物 (含有结构式信息的) 1900 个，达到口服利用度标准的有 1101 个 (注：根据唯一结构式统计)。经过筛选，各中药的化合物组成统计 (可能有交叉涵盖)：CHE QIAN ZI (n=34) , CHI SHAO (n=149) , DI GU PI (n=62) , GAN CAO (n=331) , HUANG QI (n=134) , HUANG QIN (n=196) , LIAN ZI (n=29) , MAI DONG (n=56) , REN SHEN (n=314) 。 共 1102 个化合物 (注：根据唯一 PubChem CID 统计)， 其中，含有靶点信息记录的化合物共 171 个 (非重复)。共包含靶点 1486 个 (非重复)。</w:t>
      </w:r>
    </w:p>
    <w:p w14:paraId="14A239ED">
      <w:pPr>
        <w:pStyle w:val="3"/>
      </w:pPr>
      <w:r>
        <w:t xml:space="preserve">Fig. </w:t>
      </w:r>
      <w:r>
        <w:fldChar w:fldCharType="begin"/>
      </w:r>
      <w:r>
        <w:instrText xml:space="preserve"> HYPERLINK \l "Intersection-of-herbs-compounds" \h </w:instrText>
      </w:r>
      <w:r>
        <w:fldChar w:fldCharType="separate"/>
      </w:r>
      <w:r>
        <w:fldChar w:fldCharType="begin"/>
      </w:r>
      <w:r>
        <w:instrText xml:space="preserve"> REF Intersection-of-herbs-compounds \h</w:instrText>
      </w:r>
      <w:r>
        <w:fldChar w:fldCharType="separate"/>
      </w:r>
      <w:r>
        <w:rPr>
          <w:b/>
        </w:rPr>
        <w:t>2</w:t>
      </w:r>
      <w:r>
        <w:fldChar w:fldCharType="end"/>
      </w:r>
      <w:r>
        <w:fldChar w:fldCharType="end"/>
      </w:r>
      <w:r>
        <w:t xml:space="preserve"> UpSet 图展示了中药各组成成分之间的交集 (中药名为拼音)。左侧横柱状图展示了各中药对应化合物数量。右侧展示了交集数目。各中药的化合物数目为数据库包含的化合物数量。数目最多的为 GAN CAO (n=331)；数目最少的为 LIAN ZI (n=29)；平均数目 145。 Fig. </w:t>
      </w:r>
      <w:r>
        <w:fldChar w:fldCharType="begin"/>
      </w:r>
      <w:r>
        <w:instrText xml:space="preserve"> HYPERLINK \l "Intersection-of-herbs-all-targets" \h </w:instrText>
      </w:r>
      <w:r>
        <w:fldChar w:fldCharType="separate"/>
      </w:r>
      <w:r>
        <w:fldChar w:fldCharType="begin"/>
      </w:r>
      <w:r>
        <w:instrText xml:space="preserve"> REF Intersection-of-herbs-all-targets \h</w:instrText>
      </w:r>
      <w:r>
        <w:fldChar w:fldCharType="separate"/>
      </w:r>
      <w:r>
        <w:rPr>
          <w:b/>
        </w:rPr>
        <w:t>3</w:t>
      </w:r>
      <w:r>
        <w:fldChar w:fldCharType="end"/>
      </w:r>
      <w:r>
        <w:fldChar w:fldCharType="end"/>
      </w:r>
      <w:r>
        <w:t xml:space="preserve"> UpSet 图展示了中药的所有靶点 (中药名为拼音) 。该靶点是通过加和所有中药成分的靶点实现的。数目最多的为 REN SHEN (n=972)；数目最少的为 LIAN ZI (n=50)；平均数目 447。 Tab. </w:t>
      </w:r>
      <w:r>
        <w:fldChar w:fldCharType="begin"/>
      </w:r>
      <w:r>
        <w:instrText xml:space="preserve"> HYPERLINK \l "Herbs-compounds-and-targets" \h </w:instrText>
      </w:r>
      <w:r>
        <w:fldChar w:fldCharType="separate"/>
      </w:r>
      <w:r>
        <w:fldChar w:fldCharType="begin"/>
      </w:r>
      <w:r>
        <w:instrText xml:space="preserve"> REF Herbs-compounds-and-targets \h</w:instrText>
      </w:r>
      <w:r>
        <w:fldChar w:fldCharType="separate"/>
      </w:r>
      <w:r>
        <w:rPr>
          <w:b/>
        </w:rPr>
        <w:t>1</w:t>
      </w:r>
      <w:r>
        <w:fldChar w:fldCharType="end"/>
      </w:r>
      <w:r>
        <w:fldChar w:fldCharType="end"/>
      </w:r>
      <w:r>
        <w:t xml:space="preserve"> 为所有中药、化合物以及对应靶点汇总表格。</w:t>
      </w:r>
    </w:p>
    <w:p w14:paraId="418FF701">
      <w:pPr>
        <w:pStyle w:val="3"/>
      </w:pPr>
      <w:r>
        <w:drawing>
          <wp:inline distT="0" distB="0" distL="0" distR="0">
            <wp:extent cx="5669280" cy="4535170"/>
            <wp:effectExtent l="0" t="0" r="762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stretch>
                      <a:fillRect/>
                    </a:stretch>
                  </pic:blipFill>
                  <pic:spPr>
                    <a:xfrm>
                      <a:off x="0" y="0"/>
                      <a:ext cx="78740" cy="62992"/>
                    </a:xfrm>
                    <a:prstGeom prst="rect">
                      <a:avLst/>
                    </a:prstGeom>
                    <a:noFill/>
                  </pic:spPr>
                </pic:pic>
              </a:graphicData>
            </a:graphic>
          </wp:inline>
        </w:drawing>
      </w:r>
    </w:p>
    <w:p w14:paraId="16A6F800">
      <w:pPr>
        <w:pStyle w:val="194"/>
      </w:pPr>
      <w:r>
        <w:rPr>
          <w:b/>
        </w:rPr>
        <w:t xml:space="preserve">Fig. </w:t>
      </w:r>
      <w:bookmarkStart w:id="12" w:name="Intersection-of-herbs-compounds"/>
      <w:r>
        <w:rPr>
          <w:b/>
        </w:rPr>
        <w:fldChar w:fldCharType="begin"/>
      </w:r>
      <w:r>
        <w:rPr>
          <w:b/>
        </w:rPr>
        <w:instrText xml:space="preserve">SEQ fig: \* Arabic</w:instrText>
      </w:r>
      <w:r>
        <w:rPr>
          <w:b/>
        </w:rPr>
        <w:fldChar w:fldCharType="separate"/>
      </w:r>
      <w:r>
        <w:rPr>
          <w:b/>
        </w:rPr>
        <w:t>2</w:t>
      </w:r>
      <w:r>
        <w:rPr>
          <w:b/>
        </w:rPr>
        <w:fldChar w:fldCharType="end"/>
      </w:r>
      <w:bookmarkEnd w:id="12"/>
      <w:r>
        <w:rPr>
          <w:b/>
        </w:rPr>
        <w:t xml:space="preserve"> </w:t>
      </w:r>
      <w:r>
        <w:t>Intersection of herbs compounds</w:t>
      </w:r>
    </w:p>
    <w:p w14:paraId="4617E94B">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Figure+Table/3.1_BATMAN_网络药理学_(QINGXIN)/Intersection-of-herbs-compounds.pdf)</w:t>
      </w:r>
    </w:p>
    <w:p w14:paraId="653F3705">
      <w:pPr>
        <w:pStyle w:val="186"/>
        <w:numPr>
          <w:ilvl w:val="0"/>
          <w:numId w:val="2"/>
        </w:numPr>
      </w:pPr>
      <w:r>
        <w:t>All_intersection:</w:t>
      </w:r>
    </w:p>
    <w:p w14:paraId="4DB6E6D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Figure+Table/3.1_BATMAN_网络药理学_(QINGXIN)/Intersection-of-herbs-compounds-content)</w:t>
      </w:r>
    </w:p>
    <w:p w14:paraId="04714684">
      <w:pPr>
        <w:pStyle w:val="38"/>
      </w:pPr>
      <w:r>
        <w:drawing>
          <wp:inline distT="0" distB="0" distL="0" distR="0">
            <wp:extent cx="5669280" cy="4535170"/>
            <wp:effectExtent l="0" t="0" r="762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tretch>
                      <a:fillRect/>
                    </a:stretch>
                  </pic:blipFill>
                  <pic:spPr>
                    <a:xfrm>
                      <a:off x="0" y="0"/>
                      <a:ext cx="78740" cy="62992"/>
                    </a:xfrm>
                    <a:prstGeom prst="rect">
                      <a:avLst/>
                    </a:prstGeom>
                    <a:noFill/>
                  </pic:spPr>
                </pic:pic>
              </a:graphicData>
            </a:graphic>
          </wp:inline>
        </w:drawing>
      </w:r>
    </w:p>
    <w:p w14:paraId="1F153467">
      <w:pPr>
        <w:pStyle w:val="194"/>
      </w:pPr>
      <w:r>
        <w:rPr>
          <w:b/>
        </w:rPr>
        <w:t xml:space="preserve">Fig. </w:t>
      </w:r>
      <w:bookmarkStart w:id="13" w:name="Intersection-of-herbs-all-targets"/>
      <w:r>
        <w:rPr>
          <w:b/>
        </w:rPr>
        <w:fldChar w:fldCharType="begin"/>
      </w:r>
      <w:r>
        <w:rPr>
          <w:b/>
        </w:rPr>
        <w:instrText xml:space="preserve">SEQ fig: \* Arabic</w:instrText>
      </w:r>
      <w:r>
        <w:rPr>
          <w:b/>
        </w:rPr>
        <w:fldChar w:fldCharType="separate"/>
      </w:r>
      <w:r>
        <w:rPr>
          <w:b/>
        </w:rPr>
        <w:t>3</w:t>
      </w:r>
      <w:r>
        <w:rPr>
          <w:b/>
        </w:rPr>
        <w:fldChar w:fldCharType="end"/>
      </w:r>
      <w:bookmarkEnd w:id="13"/>
      <w:r>
        <w:rPr>
          <w:b/>
        </w:rPr>
        <w:t xml:space="preserve"> </w:t>
      </w:r>
      <w:r>
        <w:t>Intersection of herbs all targets</w:t>
      </w:r>
    </w:p>
    <w:p w14:paraId="50A0ECF9">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Figure+Table/3.1_BATMAN_网络药理学_(QINGXIN)/Intersection-of-herbs-all-targets.pdf)</w:t>
      </w:r>
    </w:p>
    <w:p w14:paraId="12922D33">
      <w:pPr>
        <w:pStyle w:val="186"/>
        <w:numPr>
          <w:ilvl w:val="0"/>
          <w:numId w:val="2"/>
        </w:numPr>
      </w:pPr>
      <w:r>
        <w:t>All_intersection: CASP3, NA, CASP9, HMOX1, MAPK1, MAPK3, AKT1</w:t>
      </w:r>
    </w:p>
    <w:p w14:paraId="12BA728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Figure+Table/3.1_BATMAN_网络药理学_(QINGXIN)/Intersection-of-herbs-all-targets-content)</w:t>
      </w:r>
    </w:p>
    <w:p w14:paraId="20826B6F">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14" w:name="Herbs-compounds-and-targets"/>
      <w:r>
        <w:rPr>
          <w:b/>
        </w:rPr>
        <w:fldChar w:fldCharType="begin"/>
      </w:r>
      <w:r>
        <w:rPr>
          <w:b/>
        </w:rPr>
        <w:instrText xml:space="preserve">SEQ tab \* Arabic</w:instrText>
      </w:r>
      <w:r>
        <w:rPr>
          <w:b/>
        </w:rPr>
        <w:fldChar w:fldCharType="separate"/>
      </w:r>
      <w:r>
        <w:rPr>
          <w:b/>
        </w:rPr>
        <w:t>1</w:t>
      </w:r>
      <w:r>
        <w:rPr>
          <w:b/>
        </w:rPr>
        <w:fldChar w:fldCharType="end"/>
      </w:r>
      <w:bookmarkEnd w:id="14"/>
      <w:r>
        <w:rPr>
          <w:b/>
        </w:rPr>
        <w:t xml:space="preserve">  </w:t>
      </w:r>
      <w:r>
        <w:t>Herbs compounds and targets</w:t>
      </w:r>
    </w:p>
    <w:tbl>
      <w:tblPr>
        <w:tblStyle w:val="13"/>
        <w:tblW w:w="0" w:type="auto"/>
        <w:jc w:val="center"/>
        <w:tblLayout w:type="fixed"/>
        <w:tblCellMar>
          <w:top w:w="0" w:type="dxa"/>
          <w:left w:w="108" w:type="dxa"/>
          <w:bottom w:w="0" w:type="dxa"/>
          <w:right w:w="108" w:type="dxa"/>
        </w:tblCellMar>
      </w:tblPr>
      <w:tblGrid>
        <w:gridCol w:w="2160"/>
        <w:gridCol w:w="2160"/>
        <w:gridCol w:w="2160"/>
        <w:gridCol w:w="2160"/>
      </w:tblGrid>
      <w:tr w14:paraId="22D15F1A">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EC70CB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1B2BF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Herb pinyin 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FFD9BE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28E848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Target.name</w:t>
            </w:r>
          </w:p>
        </w:tc>
      </w:tr>
      <w:tr w14:paraId="55A037D2">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59DEC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78A70F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30A882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5,6-dihydroxycycl...</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A70A76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p>
        </w:tc>
      </w:tr>
      <w:tr w14:paraId="50C543B8">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BCEB64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72</w:t>
            </w:r>
          </w:p>
        </w:tc>
        <w:tc>
          <w:tcPr>
            <w:tcBorders>
              <w:top w:val="nil"/>
              <w:left w:val="nil"/>
              <w:bottom w:val="nil"/>
              <w:right w:val="nil"/>
            </w:tcBorders>
            <w:shd w:val="clear" w:color="auto" w:fill="FFFFFF"/>
            <w:tcMar>
              <w:top w:w="0" w:type="dxa"/>
              <w:left w:w="0" w:type="dxa"/>
              <w:bottom w:w="0" w:type="dxa"/>
              <w:right w:w="0" w:type="dxa"/>
            </w:tcMar>
            <w:vAlign w:val="top"/>
          </w:tcPr>
          <w:p w14:paraId="5C5AD93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GAN CAO</w:t>
            </w:r>
          </w:p>
        </w:tc>
        <w:tc>
          <w:tcPr>
            <w:tcBorders>
              <w:top w:val="nil"/>
              <w:left w:val="nil"/>
              <w:bottom w:val="nil"/>
              <w:right w:val="nil"/>
            </w:tcBorders>
            <w:shd w:val="clear" w:color="auto" w:fill="FFFFFF"/>
            <w:tcMar>
              <w:top w:w="0" w:type="dxa"/>
              <w:left w:w="0" w:type="dxa"/>
              <w:bottom w:w="0" w:type="dxa"/>
              <w:right w:w="0" w:type="dxa"/>
            </w:tcMar>
            <w:vAlign w:val="top"/>
          </w:tcPr>
          <w:p w14:paraId="6FFECA0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Protocatechuate</w:t>
            </w:r>
          </w:p>
        </w:tc>
        <w:tc>
          <w:tcPr>
            <w:tcBorders>
              <w:top w:val="nil"/>
              <w:left w:val="nil"/>
              <w:bottom w:val="nil"/>
              <w:right w:val="nil"/>
            </w:tcBorders>
            <w:shd w:val="clear" w:color="auto" w:fill="FFFFFF"/>
            <w:tcMar>
              <w:top w:w="0" w:type="dxa"/>
              <w:left w:w="0" w:type="dxa"/>
              <w:bottom w:w="0" w:type="dxa"/>
              <w:right w:w="0" w:type="dxa"/>
            </w:tcMar>
            <w:vAlign w:val="top"/>
          </w:tcPr>
          <w:p w14:paraId="634E266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AKT1</w:t>
            </w:r>
          </w:p>
        </w:tc>
      </w:tr>
      <w:tr w14:paraId="3D464639">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46EC47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72</w:t>
            </w:r>
          </w:p>
        </w:tc>
        <w:tc>
          <w:tcPr>
            <w:tcBorders>
              <w:top w:val="nil"/>
              <w:left w:val="nil"/>
              <w:bottom w:val="nil"/>
              <w:right w:val="nil"/>
            </w:tcBorders>
            <w:shd w:val="clear" w:color="auto" w:fill="FFFFFF"/>
            <w:tcMar>
              <w:top w:w="0" w:type="dxa"/>
              <w:left w:w="0" w:type="dxa"/>
              <w:bottom w:w="0" w:type="dxa"/>
              <w:right w:w="0" w:type="dxa"/>
            </w:tcMar>
            <w:vAlign w:val="top"/>
          </w:tcPr>
          <w:p w14:paraId="2F6A197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GAN CAO</w:t>
            </w:r>
          </w:p>
        </w:tc>
        <w:tc>
          <w:tcPr>
            <w:tcBorders>
              <w:top w:val="nil"/>
              <w:left w:val="nil"/>
              <w:bottom w:val="nil"/>
              <w:right w:val="nil"/>
            </w:tcBorders>
            <w:shd w:val="clear" w:color="auto" w:fill="FFFFFF"/>
            <w:tcMar>
              <w:top w:w="0" w:type="dxa"/>
              <w:left w:w="0" w:type="dxa"/>
              <w:bottom w:w="0" w:type="dxa"/>
              <w:right w:w="0" w:type="dxa"/>
            </w:tcMar>
            <w:vAlign w:val="top"/>
          </w:tcPr>
          <w:p w14:paraId="216BEA4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Protocatechuate</w:t>
            </w:r>
          </w:p>
        </w:tc>
        <w:tc>
          <w:tcPr>
            <w:tcBorders>
              <w:top w:val="nil"/>
              <w:left w:val="nil"/>
              <w:bottom w:val="nil"/>
              <w:right w:val="nil"/>
            </w:tcBorders>
            <w:shd w:val="clear" w:color="auto" w:fill="FFFFFF"/>
            <w:tcMar>
              <w:top w:w="0" w:type="dxa"/>
              <w:left w:w="0" w:type="dxa"/>
              <w:bottom w:w="0" w:type="dxa"/>
              <w:right w:w="0" w:type="dxa"/>
            </w:tcMar>
            <w:vAlign w:val="top"/>
          </w:tcPr>
          <w:p w14:paraId="27170DB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MGAM</w:t>
            </w:r>
          </w:p>
        </w:tc>
      </w:tr>
      <w:tr w14:paraId="066E6E32">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8FB196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119</w:t>
            </w:r>
          </w:p>
        </w:tc>
        <w:tc>
          <w:tcPr>
            <w:tcBorders>
              <w:top w:val="nil"/>
              <w:left w:val="nil"/>
              <w:bottom w:val="nil"/>
              <w:right w:val="nil"/>
            </w:tcBorders>
            <w:shd w:val="clear" w:color="auto" w:fill="FFFFFF"/>
            <w:tcMar>
              <w:top w:w="0" w:type="dxa"/>
              <w:left w:w="0" w:type="dxa"/>
              <w:bottom w:w="0" w:type="dxa"/>
              <w:right w:w="0" w:type="dxa"/>
            </w:tcMar>
            <w:vAlign w:val="top"/>
          </w:tcPr>
          <w:p w14:paraId="266A1BB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3970415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47088AC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GABBR1</w:t>
            </w:r>
          </w:p>
        </w:tc>
      </w:tr>
      <w:tr w14:paraId="3571E95C">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4C59A4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119</w:t>
            </w:r>
          </w:p>
        </w:tc>
        <w:tc>
          <w:tcPr>
            <w:tcBorders>
              <w:top w:val="nil"/>
              <w:left w:val="nil"/>
              <w:bottom w:val="nil"/>
              <w:right w:val="nil"/>
            </w:tcBorders>
            <w:shd w:val="clear" w:color="auto" w:fill="FFFFFF"/>
            <w:tcMar>
              <w:top w:w="0" w:type="dxa"/>
              <w:left w:w="0" w:type="dxa"/>
              <w:bottom w:w="0" w:type="dxa"/>
              <w:right w:w="0" w:type="dxa"/>
            </w:tcMar>
            <w:vAlign w:val="top"/>
          </w:tcPr>
          <w:p w14:paraId="47547A6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1253FC3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40A2233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GABBR2</w:t>
            </w:r>
          </w:p>
        </w:tc>
      </w:tr>
      <w:tr w14:paraId="38BAD995">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C53889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0C5780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029C49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EEB9E9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6ACA8C1E">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Figure+Table/3.1_BATMAN_网络药理学_(QINGXIN)/Herbs-compounds-and-targets.xlsx)</w:t>
      </w:r>
    </w:p>
    <w:p w14:paraId="52F07BC5">
      <w:pPr>
        <w:pStyle w:val="4"/>
      </w:pPr>
      <w:bookmarkStart w:id="15" w:name="genecards-基因获取-ckd"/>
      <w:r>
        <w:t>3.2</w:t>
      </w:r>
      <w:r>
        <w:tab/>
        <w:t>GeneCards 基因获取 (CKD)</w:t>
      </w:r>
      <w:bookmarkEnd w:id="15"/>
    </w:p>
    <w:p w14:paraId="6EC3A9B5">
      <w:pPr>
        <w:pStyle w:val="38"/>
      </w:pPr>
      <w:r>
        <w:t xml:space="preserve">从 </w:t>
      </w:r>
      <w:r>
        <w:rPr>
          <w:rStyle w:val="197"/>
        </w:rPr>
        <w:t>GeneCards</w:t>
      </w:r>
      <w:r>
        <w:t xml:space="preserve"> 搜索 Chronic kidney disease, 获取对应靶点数据，统计为 Functional Element (n=11) , Genetic Locus (n=1) , Protein Coding (n=675) , Pseudogene (n=1) , RNA Gene (lncRNA) (n=20) , RNA Gene (miRNA) (n=28) , RNA Gene (tRNA) (n=2) 。共 738 个靶点。</w:t>
      </w:r>
    </w:p>
    <w:p w14:paraId="319E5CF5">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16" w:name="CKD-disease-related-targets-from-GeneCards"/>
      <w:r>
        <w:rPr>
          <w:b/>
        </w:rPr>
        <w:fldChar w:fldCharType="begin"/>
      </w:r>
      <w:r>
        <w:rPr>
          <w:b/>
        </w:rPr>
        <w:instrText xml:space="preserve">SEQ tab \* Arabic</w:instrText>
      </w:r>
      <w:r>
        <w:rPr>
          <w:b/>
        </w:rPr>
        <w:fldChar w:fldCharType="separate"/>
      </w:r>
      <w:r>
        <w:rPr>
          <w:b/>
        </w:rPr>
        <w:t>2</w:t>
      </w:r>
      <w:r>
        <w:rPr>
          <w:b/>
        </w:rPr>
        <w:fldChar w:fldCharType="end"/>
      </w:r>
      <w:bookmarkEnd w:id="16"/>
      <w:r>
        <w:rPr>
          <w:b/>
        </w:rPr>
        <w:t xml:space="preserve">  </w:t>
      </w:r>
      <w:r>
        <w:t>CKD disease related targets from GeneCards</w:t>
      </w:r>
    </w:p>
    <w:tbl>
      <w:tblPr>
        <w:tblStyle w:val="13"/>
        <w:tblW w:w="0" w:type="auto"/>
        <w:jc w:val="center"/>
        <w:tblLayout w:type="fixed"/>
        <w:tblCellMar>
          <w:top w:w="0" w:type="dxa"/>
          <w:left w:w="108" w:type="dxa"/>
          <w:bottom w:w="0" w:type="dxa"/>
          <w:right w:w="108" w:type="dxa"/>
        </w:tblCellMar>
      </w:tblPr>
      <w:tblGrid>
        <w:gridCol w:w="1234"/>
        <w:gridCol w:w="1234"/>
        <w:gridCol w:w="1234"/>
        <w:gridCol w:w="1234"/>
        <w:gridCol w:w="1234"/>
        <w:gridCol w:w="1234"/>
        <w:gridCol w:w="1234"/>
      </w:tblGrid>
      <w:tr w14:paraId="49E95880">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A9A7A9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Symbol</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798A6D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Description</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2DD484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Category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5AA25C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UniProt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69B7F8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GIFtS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CD7432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570DB0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Score</w:t>
            </w:r>
          </w:p>
        </w:tc>
      </w:tr>
      <w:tr w14:paraId="090C91BB">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DD732B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COL4A4</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DDC291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Collagen T...</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54E35A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B8A7CF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P53420</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D63599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A8CA4D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GC02M226973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B7243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34.39</w:t>
            </w:r>
          </w:p>
        </w:tc>
      </w:tr>
      <w:tr w14:paraId="3581ED9D">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10E57B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NPHS2</w:t>
            </w:r>
          </w:p>
        </w:tc>
        <w:tc>
          <w:tcPr>
            <w:tcBorders>
              <w:top w:val="nil"/>
              <w:left w:val="nil"/>
              <w:bottom w:val="nil"/>
              <w:right w:val="nil"/>
            </w:tcBorders>
            <w:shd w:val="clear" w:color="auto" w:fill="FFFFFF"/>
            <w:tcMar>
              <w:top w:w="0" w:type="dxa"/>
              <w:left w:w="0" w:type="dxa"/>
              <w:bottom w:w="0" w:type="dxa"/>
              <w:right w:w="0" w:type="dxa"/>
            </w:tcMar>
            <w:vAlign w:val="top"/>
          </w:tcPr>
          <w:p w14:paraId="449B7F2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NPHS2 Stom...</w:t>
            </w:r>
          </w:p>
        </w:tc>
        <w:tc>
          <w:tcPr>
            <w:tcBorders>
              <w:top w:val="nil"/>
              <w:left w:val="nil"/>
              <w:bottom w:val="nil"/>
              <w:right w:val="nil"/>
            </w:tcBorders>
            <w:shd w:val="clear" w:color="auto" w:fill="FFFFFF"/>
            <w:tcMar>
              <w:top w:w="0" w:type="dxa"/>
              <w:left w:w="0" w:type="dxa"/>
              <w:bottom w:w="0" w:type="dxa"/>
              <w:right w:w="0" w:type="dxa"/>
            </w:tcMar>
            <w:vAlign w:val="top"/>
          </w:tcPr>
          <w:p w14:paraId="25D8B29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6BC9048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Q9NP85</w:t>
            </w:r>
          </w:p>
        </w:tc>
        <w:tc>
          <w:tcPr>
            <w:tcBorders>
              <w:top w:val="nil"/>
              <w:left w:val="nil"/>
              <w:bottom w:val="nil"/>
              <w:right w:val="nil"/>
            </w:tcBorders>
            <w:shd w:val="clear" w:color="auto" w:fill="FFFFFF"/>
            <w:tcMar>
              <w:top w:w="0" w:type="dxa"/>
              <w:left w:w="0" w:type="dxa"/>
              <w:bottom w:w="0" w:type="dxa"/>
              <w:right w:w="0" w:type="dxa"/>
            </w:tcMar>
            <w:vAlign w:val="top"/>
          </w:tcPr>
          <w:p w14:paraId="39161B3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54</w:t>
            </w:r>
          </w:p>
        </w:tc>
        <w:tc>
          <w:tcPr>
            <w:tcBorders>
              <w:top w:val="nil"/>
              <w:left w:val="nil"/>
              <w:bottom w:val="nil"/>
              <w:right w:val="nil"/>
            </w:tcBorders>
            <w:shd w:val="clear" w:color="auto" w:fill="FFFFFF"/>
            <w:tcMar>
              <w:top w:w="0" w:type="dxa"/>
              <w:left w:w="0" w:type="dxa"/>
              <w:bottom w:w="0" w:type="dxa"/>
              <w:right w:w="0" w:type="dxa"/>
            </w:tcMar>
            <w:vAlign w:val="top"/>
          </w:tcPr>
          <w:p w14:paraId="6EC8119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GC01M179554</w:t>
            </w:r>
          </w:p>
        </w:tc>
        <w:tc>
          <w:tcPr>
            <w:tcBorders>
              <w:top w:val="nil"/>
              <w:left w:val="nil"/>
              <w:bottom w:val="nil"/>
              <w:right w:val="nil"/>
            </w:tcBorders>
            <w:shd w:val="clear" w:color="auto" w:fill="FFFFFF"/>
            <w:tcMar>
              <w:top w:w="0" w:type="dxa"/>
              <w:left w:w="0" w:type="dxa"/>
              <w:bottom w:w="0" w:type="dxa"/>
              <w:right w:w="0" w:type="dxa"/>
            </w:tcMar>
            <w:vAlign w:val="top"/>
          </w:tcPr>
          <w:p w14:paraId="1911FA7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31.78</w:t>
            </w:r>
          </w:p>
        </w:tc>
      </w:tr>
      <w:tr w14:paraId="636D01F9">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6A9846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COL4A5</w:t>
            </w:r>
          </w:p>
        </w:tc>
        <w:tc>
          <w:tcPr>
            <w:tcBorders>
              <w:top w:val="nil"/>
              <w:left w:val="nil"/>
              <w:bottom w:val="nil"/>
              <w:right w:val="nil"/>
            </w:tcBorders>
            <w:shd w:val="clear" w:color="auto" w:fill="FFFFFF"/>
            <w:tcMar>
              <w:top w:w="0" w:type="dxa"/>
              <w:left w:w="0" w:type="dxa"/>
              <w:bottom w:w="0" w:type="dxa"/>
              <w:right w:w="0" w:type="dxa"/>
            </w:tcMar>
            <w:vAlign w:val="top"/>
          </w:tcPr>
          <w:p w14:paraId="162CF76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Collagen T...</w:t>
            </w:r>
          </w:p>
        </w:tc>
        <w:tc>
          <w:tcPr>
            <w:tcBorders>
              <w:top w:val="nil"/>
              <w:left w:val="nil"/>
              <w:bottom w:val="nil"/>
              <w:right w:val="nil"/>
            </w:tcBorders>
            <w:shd w:val="clear" w:color="auto" w:fill="FFFFFF"/>
            <w:tcMar>
              <w:top w:w="0" w:type="dxa"/>
              <w:left w:w="0" w:type="dxa"/>
              <w:bottom w:w="0" w:type="dxa"/>
              <w:right w:w="0" w:type="dxa"/>
            </w:tcMar>
            <w:vAlign w:val="top"/>
          </w:tcPr>
          <w:p w14:paraId="34E01C4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2C24958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P29400</w:t>
            </w:r>
          </w:p>
        </w:tc>
        <w:tc>
          <w:tcPr>
            <w:tcBorders>
              <w:top w:val="nil"/>
              <w:left w:val="nil"/>
              <w:bottom w:val="nil"/>
              <w:right w:val="nil"/>
            </w:tcBorders>
            <w:shd w:val="clear" w:color="auto" w:fill="FFFFFF"/>
            <w:tcMar>
              <w:top w:w="0" w:type="dxa"/>
              <w:left w:w="0" w:type="dxa"/>
              <w:bottom w:w="0" w:type="dxa"/>
              <w:right w:w="0" w:type="dxa"/>
            </w:tcMar>
            <w:vAlign w:val="top"/>
          </w:tcPr>
          <w:p w14:paraId="286B004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56</w:t>
            </w:r>
          </w:p>
        </w:tc>
        <w:tc>
          <w:tcPr>
            <w:tcBorders>
              <w:top w:val="nil"/>
              <w:left w:val="nil"/>
              <w:bottom w:val="nil"/>
              <w:right w:val="nil"/>
            </w:tcBorders>
            <w:shd w:val="clear" w:color="auto" w:fill="FFFFFF"/>
            <w:tcMar>
              <w:top w:w="0" w:type="dxa"/>
              <w:left w:w="0" w:type="dxa"/>
              <w:bottom w:w="0" w:type="dxa"/>
              <w:right w:w="0" w:type="dxa"/>
            </w:tcMar>
            <w:vAlign w:val="top"/>
          </w:tcPr>
          <w:p w14:paraId="701EC8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GC0XP108439</w:t>
            </w:r>
          </w:p>
        </w:tc>
        <w:tc>
          <w:tcPr>
            <w:tcBorders>
              <w:top w:val="nil"/>
              <w:left w:val="nil"/>
              <w:bottom w:val="nil"/>
              <w:right w:val="nil"/>
            </w:tcBorders>
            <w:shd w:val="clear" w:color="auto" w:fill="FFFFFF"/>
            <w:tcMar>
              <w:top w:w="0" w:type="dxa"/>
              <w:left w:w="0" w:type="dxa"/>
              <w:bottom w:w="0" w:type="dxa"/>
              <w:right w:w="0" w:type="dxa"/>
            </w:tcMar>
            <w:vAlign w:val="top"/>
          </w:tcPr>
          <w:p w14:paraId="5B70E9C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30.73</w:t>
            </w:r>
          </w:p>
        </w:tc>
      </w:tr>
      <w:tr w14:paraId="4D5233C0">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BA4B55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UMOD</w:t>
            </w:r>
          </w:p>
        </w:tc>
        <w:tc>
          <w:tcPr>
            <w:tcBorders>
              <w:top w:val="nil"/>
              <w:left w:val="nil"/>
              <w:bottom w:val="nil"/>
              <w:right w:val="nil"/>
            </w:tcBorders>
            <w:shd w:val="clear" w:color="auto" w:fill="FFFFFF"/>
            <w:tcMar>
              <w:top w:w="0" w:type="dxa"/>
              <w:left w:w="0" w:type="dxa"/>
              <w:bottom w:w="0" w:type="dxa"/>
              <w:right w:w="0" w:type="dxa"/>
            </w:tcMar>
            <w:vAlign w:val="top"/>
          </w:tcPr>
          <w:p w14:paraId="6FAA58E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Uromodulin</w:t>
            </w:r>
          </w:p>
        </w:tc>
        <w:tc>
          <w:tcPr>
            <w:tcBorders>
              <w:top w:val="nil"/>
              <w:left w:val="nil"/>
              <w:bottom w:val="nil"/>
              <w:right w:val="nil"/>
            </w:tcBorders>
            <w:shd w:val="clear" w:color="auto" w:fill="FFFFFF"/>
            <w:tcMar>
              <w:top w:w="0" w:type="dxa"/>
              <w:left w:w="0" w:type="dxa"/>
              <w:bottom w:w="0" w:type="dxa"/>
              <w:right w:w="0" w:type="dxa"/>
            </w:tcMar>
            <w:vAlign w:val="top"/>
          </w:tcPr>
          <w:p w14:paraId="1B9632B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01FF8F9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P07911</w:t>
            </w:r>
          </w:p>
        </w:tc>
        <w:tc>
          <w:tcPr>
            <w:tcBorders>
              <w:top w:val="nil"/>
              <w:left w:val="nil"/>
              <w:bottom w:val="nil"/>
              <w:right w:val="nil"/>
            </w:tcBorders>
            <w:shd w:val="clear" w:color="auto" w:fill="FFFFFF"/>
            <w:tcMar>
              <w:top w:w="0" w:type="dxa"/>
              <w:left w:w="0" w:type="dxa"/>
              <w:bottom w:w="0" w:type="dxa"/>
              <w:right w:w="0" w:type="dxa"/>
            </w:tcMar>
            <w:vAlign w:val="top"/>
          </w:tcPr>
          <w:p w14:paraId="5AC4FB8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w:t>
            </w:r>
          </w:p>
        </w:tc>
        <w:tc>
          <w:tcPr>
            <w:tcBorders>
              <w:top w:val="nil"/>
              <w:left w:val="nil"/>
              <w:bottom w:val="nil"/>
              <w:right w:val="nil"/>
            </w:tcBorders>
            <w:shd w:val="clear" w:color="auto" w:fill="FFFFFF"/>
            <w:tcMar>
              <w:top w:w="0" w:type="dxa"/>
              <w:left w:w="0" w:type="dxa"/>
              <w:bottom w:w="0" w:type="dxa"/>
              <w:right w:w="0" w:type="dxa"/>
            </w:tcMar>
            <w:vAlign w:val="top"/>
          </w:tcPr>
          <w:p w14:paraId="3AB9C41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GC16M027663</w:t>
            </w:r>
          </w:p>
        </w:tc>
        <w:tc>
          <w:tcPr>
            <w:tcBorders>
              <w:top w:val="nil"/>
              <w:left w:val="nil"/>
              <w:bottom w:val="nil"/>
              <w:right w:val="nil"/>
            </w:tcBorders>
            <w:shd w:val="clear" w:color="auto" w:fill="FFFFFF"/>
            <w:tcMar>
              <w:top w:w="0" w:type="dxa"/>
              <w:left w:w="0" w:type="dxa"/>
              <w:bottom w:w="0" w:type="dxa"/>
              <w:right w:w="0" w:type="dxa"/>
            </w:tcMar>
            <w:vAlign w:val="top"/>
          </w:tcPr>
          <w:p w14:paraId="402AFE5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29.38</w:t>
            </w:r>
          </w:p>
        </w:tc>
      </w:tr>
      <w:tr w14:paraId="270A0574">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0073C09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PKD2</w:t>
            </w:r>
          </w:p>
        </w:tc>
        <w:tc>
          <w:tcPr>
            <w:tcBorders>
              <w:top w:val="nil"/>
              <w:left w:val="nil"/>
              <w:bottom w:val="nil"/>
              <w:right w:val="nil"/>
            </w:tcBorders>
            <w:shd w:val="clear" w:color="auto" w:fill="FFFFFF"/>
            <w:tcMar>
              <w:top w:w="0" w:type="dxa"/>
              <w:left w:w="0" w:type="dxa"/>
              <w:bottom w:w="0" w:type="dxa"/>
              <w:right w:w="0" w:type="dxa"/>
            </w:tcMar>
            <w:vAlign w:val="top"/>
          </w:tcPr>
          <w:p w14:paraId="139B83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Polycystin...</w:t>
            </w:r>
          </w:p>
        </w:tc>
        <w:tc>
          <w:tcPr>
            <w:tcBorders>
              <w:top w:val="nil"/>
              <w:left w:val="nil"/>
              <w:bottom w:val="nil"/>
              <w:right w:val="nil"/>
            </w:tcBorders>
            <w:shd w:val="clear" w:color="auto" w:fill="FFFFFF"/>
            <w:tcMar>
              <w:top w:w="0" w:type="dxa"/>
              <w:left w:w="0" w:type="dxa"/>
              <w:bottom w:w="0" w:type="dxa"/>
              <w:right w:w="0" w:type="dxa"/>
            </w:tcMar>
            <w:vAlign w:val="top"/>
          </w:tcPr>
          <w:p w14:paraId="2340C2D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0705EA0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Q13563</w:t>
            </w:r>
          </w:p>
        </w:tc>
        <w:tc>
          <w:tcPr>
            <w:tcBorders>
              <w:top w:val="nil"/>
              <w:left w:val="nil"/>
              <w:bottom w:val="nil"/>
              <w:right w:val="nil"/>
            </w:tcBorders>
            <w:shd w:val="clear" w:color="auto" w:fill="FFFFFF"/>
            <w:tcMar>
              <w:top w:w="0" w:type="dxa"/>
              <w:left w:w="0" w:type="dxa"/>
              <w:bottom w:w="0" w:type="dxa"/>
              <w:right w:w="0" w:type="dxa"/>
            </w:tcMar>
            <w:vAlign w:val="top"/>
          </w:tcPr>
          <w:p w14:paraId="6AD5CAE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60</w:t>
            </w:r>
          </w:p>
        </w:tc>
        <w:tc>
          <w:tcPr>
            <w:tcBorders>
              <w:top w:val="nil"/>
              <w:left w:val="nil"/>
              <w:bottom w:val="nil"/>
              <w:right w:val="nil"/>
            </w:tcBorders>
            <w:shd w:val="clear" w:color="auto" w:fill="FFFFFF"/>
            <w:tcMar>
              <w:top w:w="0" w:type="dxa"/>
              <w:left w:w="0" w:type="dxa"/>
              <w:bottom w:w="0" w:type="dxa"/>
              <w:right w:w="0" w:type="dxa"/>
            </w:tcMar>
            <w:vAlign w:val="top"/>
          </w:tcPr>
          <w:p w14:paraId="2137460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GC04P088007</w:t>
            </w:r>
          </w:p>
        </w:tc>
        <w:tc>
          <w:tcPr>
            <w:tcBorders>
              <w:top w:val="nil"/>
              <w:left w:val="nil"/>
              <w:bottom w:val="nil"/>
              <w:right w:val="nil"/>
            </w:tcBorders>
            <w:shd w:val="clear" w:color="auto" w:fill="FFFFFF"/>
            <w:tcMar>
              <w:top w:w="0" w:type="dxa"/>
              <w:left w:w="0" w:type="dxa"/>
              <w:bottom w:w="0" w:type="dxa"/>
              <w:right w:w="0" w:type="dxa"/>
            </w:tcMar>
            <w:vAlign w:val="top"/>
          </w:tcPr>
          <w:p w14:paraId="26A18D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26.96</w:t>
            </w:r>
          </w:p>
        </w:tc>
      </w:tr>
      <w:tr w14:paraId="6087D22C">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4ED25D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15659A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477CE1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47AA38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D3FD40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5D566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F5CD03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4F62E214">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Figure+Table/3.2_GeneCards_基因获取_(CKD)/CKD-disease-related-targets-from-GeneCards.xlsx)</w:t>
      </w:r>
    </w:p>
    <w:p w14:paraId="099107C2">
      <w:pPr>
        <w:pStyle w:val="186"/>
        <w:numPr>
          <w:ilvl w:val="0"/>
          <w:numId w:val="2"/>
        </w:numPr>
      </w:pPr>
      <w:r>
        <w:t>The GeneCards data was obtained by querying: Chronic kidney disease</w:t>
      </w:r>
    </w:p>
    <w:p w14:paraId="3FAD7E96">
      <w:pPr>
        <w:pStyle w:val="186"/>
        <w:numPr>
          <w:ilvl w:val="0"/>
          <w:numId w:val="2"/>
        </w:numPr>
      </w:pPr>
      <w:r>
        <w:t>Restrict (with quotes): TRUE</w:t>
      </w:r>
    </w:p>
    <w:p w14:paraId="38D59E8F">
      <w:pPr>
        <w:pStyle w:val="186"/>
        <w:numPr>
          <w:ilvl w:val="0"/>
          <w:numId w:val="2"/>
        </w:numPr>
      </w:pPr>
      <w:r>
        <w:t>Filtering by Score:: Score &gt; 3</w:t>
      </w:r>
    </w:p>
    <w:p w14:paraId="0A0645A1">
      <w:pPr>
        <w:pStyle w:val="4"/>
      </w:pPr>
      <w:bookmarkStart w:id="17" w:name="network-中药-成分-疾病-靶点网络-qingxin"/>
      <w:r>
        <w:t>3.3</w:t>
      </w:r>
      <w:r>
        <w:tab/>
        <w:t>Network 中药-成分-疾病-靶点网络 (QINGXIN)</w:t>
      </w:r>
      <w:bookmarkEnd w:id="17"/>
    </w:p>
    <w:p w14:paraId="50280E93">
      <w:pPr>
        <w:pStyle w:val="38"/>
      </w:pPr>
      <w:r>
        <w:t>将 疾病 的靶点与中药靶点取交集，随后过滤中药成分与靶点数据，形成中药-成分-疾病-靶点网络。</w:t>
      </w:r>
    </w:p>
    <w:p w14:paraId="0A7042FF">
      <w:pPr>
        <w:pStyle w:val="3"/>
      </w:pPr>
      <w:r>
        <w:t xml:space="preserve">Fig. </w:t>
      </w:r>
      <w:r>
        <w:fldChar w:fldCharType="begin"/>
      </w:r>
      <w:r>
        <w:instrText xml:space="preserve"> HYPERLINK \l "QINGXIN-Targets-intersect-with-related-targets" \h </w:instrText>
      </w:r>
      <w:r>
        <w:fldChar w:fldCharType="separate"/>
      </w:r>
      <w:r>
        <w:fldChar w:fldCharType="begin"/>
      </w:r>
      <w:r>
        <w:instrText xml:space="preserve"> REF QINGXIN-Targets-intersect-with-related-targets \h</w:instrText>
      </w:r>
      <w:r>
        <w:fldChar w:fldCharType="separate"/>
      </w:r>
      <w:r>
        <w:rPr>
          <w:b/>
        </w:rPr>
        <w:t>4</w:t>
      </w:r>
      <w:r>
        <w:fldChar w:fldCharType="end"/>
      </w:r>
      <w:r>
        <w:fldChar w:fldCharType="end"/>
      </w:r>
      <w:r>
        <w:t xml:space="preserve"> 展示了中药的靶点与疾病靶点基因集 (来自于GeneCards 基因获取(Section: CKD)) 的交集数目。 两者共含有 222 个交集靶点。 Fig. </w:t>
      </w:r>
      <w:r>
        <w:fldChar w:fldCharType="begin"/>
      </w:r>
      <w:r>
        <w:instrText xml:space="preserve"> HYPERLINK \l "QINGXIN-network-pharmacology-with-filtered-type" \h </w:instrText>
      </w:r>
      <w:r>
        <w:fldChar w:fldCharType="separate"/>
      </w:r>
      <w:r>
        <w:fldChar w:fldCharType="begin"/>
      </w:r>
      <w:r>
        <w:instrText xml:space="preserve"> REF QINGXIN-network-pharmacology-with-filtered-type \h</w:instrText>
      </w:r>
      <w:r>
        <w:fldChar w:fldCharType="separate"/>
      </w:r>
      <w:r>
        <w:rPr>
          <w:b/>
        </w:rPr>
        <w:t>5</w:t>
      </w:r>
      <w:r>
        <w:fldChar w:fldCharType="end"/>
      </w:r>
      <w:r>
        <w:fldChar w:fldCharType="end"/>
      </w:r>
      <w:r>
        <w:t xml:space="preserve"> 展示了中药、成分、靶点 (中药靶点与疾病靶点的交集) 的网络图。 该图对中心度 (centrality_degree) 较高的节点 (成分或靶点) 做了名称标注。 图中的图例标注了节点的所属类型：中药、化合物、靶点。 化合物可分为该中药唯一所含的化合物，或者与其他中药共有的化合物。 共有的化合物环绕在靶点周围，而唯一的化合物则环绕在中药周围。唯一化合物统计为：CHE QIAN ZI (n=3) , CHI SHAO (n=15) , DI GU PI (n=7) , GAN CAO (n=20) , HUANG QI (n=6) , HUANG QIN (n=21) , LIAN ZI (n=4) , REN SHEN (n=23)</w:t>
      </w:r>
      <w:r>
        <w:br w:type="textWrapping"/>
      </w:r>
      <w:r>
        <w:t xml:space="preserve">Tab. </w:t>
      </w:r>
      <w:r>
        <w:fldChar w:fldCharType="begin"/>
      </w:r>
      <w:r>
        <w:instrText xml:space="preserve"> HYPERLINK \l "QINGXIN-network-pharmacology-with-filtered-type-original-data" \h </w:instrText>
      </w:r>
      <w:r>
        <w:fldChar w:fldCharType="separate"/>
      </w:r>
      <w:r>
        <w:fldChar w:fldCharType="begin"/>
      </w:r>
      <w:r>
        <w:instrText xml:space="preserve"> REF QINGXIN-network-pharmacology-with-filtered-type-original-data \h</w:instrText>
      </w:r>
      <w:r>
        <w:fldChar w:fldCharType="separate"/>
      </w:r>
      <w:r>
        <w:rPr>
          <w:b/>
        </w:rPr>
        <w:t>3</w:t>
      </w:r>
      <w:r>
        <w:fldChar w:fldCharType="end"/>
      </w:r>
      <w:r>
        <w:fldChar w:fldCharType="end"/>
      </w:r>
      <w:r>
        <w:t xml:space="preserve"> 为用于绘制中药-成分-疾病-靶点网络的数据集。</w:t>
      </w:r>
    </w:p>
    <w:p w14:paraId="1306AEA0">
      <w:pPr>
        <w:pStyle w:val="3"/>
      </w:pPr>
      <w:r>
        <w:drawing>
          <wp:inline distT="0" distB="0" distL="0" distR="0">
            <wp:extent cx="5669280" cy="3779520"/>
            <wp:effectExtent l="0" t="0" r="762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stretch>
                      <a:fillRect/>
                    </a:stretch>
                  </pic:blipFill>
                  <pic:spPr>
                    <a:xfrm>
                      <a:off x="0" y="0"/>
                      <a:ext cx="78740" cy="52493"/>
                    </a:xfrm>
                    <a:prstGeom prst="rect">
                      <a:avLst/>
                    </a:prstGeom>
                    <a:noFill/>
                  </pic:spPr>
                </pic:pic>
              </a:graphicData>
            </a:graphic>
          </wp:inline>
        </w:drawing>
      </w:r>
    </w:p>
    <w:p w14:paraId="158C6B08">
      <w:pPr>
        <w:pStyle w:val="194"/>
      </w:pPr>
      <w:r>
        <w:rPr>
          <w:b/>
        </w:rPr>
        <w:t xml:space="preserve">Fig. </w:t>
      </w:r>
      <w:bookmarkStart w:id="18" w:name="QINGXIN-Targets-intersect-with-related-targets"/>
      <w:r>
        <w:rPr>
          <w:b/>
        </w:rPr>
        <w:fldChar w:fldCharType="begin"/>
      </w:r>
      <w:r>
        <w:rPr>
          <w:b/>
        </w:rPr>
        <w:instrText xml:space="preserve">SEQ fig: \* Arabic</w:instrText>
      </w:r>
      <w:r>
        <w:rPr>
          <w:b/>
        </w:rPr>
        <w:fldChar w:fldCharType="separate"/>
      </w:r>
      <w:r>
        <w:rPr>
          <w:b/>
        </w:rPr>
        <w:t>4</w:t>
      </w:r>
      <w:r>
        <w:rPr>
          <w:b/>
        </w:rPr>
        <w:fldChar w:fldCharType="end"/>
      </w:r>
      <w:bookmarkEnd w:id="18"/>
      <w:r>
        <w:rPr>
          <w:b/>
        </w:rPr>
        <w:t xml:space="preserve"> </w:t>
      </w:r>
      <w:r>
        <w:t>QINGXIN Targets intersect with related targets</w:t>
      </w:r>
    </w:p>
    <w:p w14:paraId="7D444A6E">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Figure+Table/3.3_Network_中药-成分-疾病-靶点网络_(QINGXIN)/QINGXIN-Targets-intersect-with-related-targets.pdf)</w:t>
      </w:r>
    </w:p>
    <w:p w14:paraId="18671EF7">
      <w:pPr>
        <w:pStyle w:val="186"/>
        <w:numPr>
          <w:ilvl w:val="0"/>
          <w:numId w:val="2"/>
        </w:numPr>
      </w:pPr>
      <w:r>
        <w:t>All_intersection: NPHS2, PKD2, FGF23, CASR, AGT, KL, ACE, CRP, ALB, REN, TNFRSF11B, APOA1, NPHS1, LCN2, IL6, ADIPOQ, PTH, VDR, AGTR1, TNF, MTHFR, FN1, LEP, TGFB1, NOS3, INS, BGLAP, SPP1, NPPB, IGF1, MUC1, CBS, TF, EDN1, PON1, APOB, AGXT, CD36, VEGFA, CCL2, GATM, TNFSF11, CETP, NPPA, TTR, CTNNB1, APRT, APOE, HMOX1, IGFBP3, CYP27B1, IL1B, FABP1, NR3C2, MIR21, ALPL, SLC12A3, LPL, HGF, MMP3, MMP1, TGFBR1, HMGB1, RBP4, HP, CALCA, AQP1, SLPI, MIR155, MMUT, MMP9, HAMP, SOD1, AGER, PLA2G7, RUNX2, MMP2, ESR1, GPX3, DNA…</w:t>
      </w:r>
    </w:p>
    <w:p w14:paraId="171EBBF2">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Figure+Table/3.3_Network_中药-成分-疾病-靶点网络_(QINGXIN)/QINGXIN-Targets-intersect-with-related-targets-content)</w:t>
      </w:r>
    </w:p>
    <w:p w14:paraId="2965DD42">
      <w:pPr>
        <w:pStyle w:val="38"/>
      </w:pPr>
      <w:r>
        <w:drawing>
          <wp:inline distT="0" distB="0" distL="0" distR="0">
            <wp:extent cx="54864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stretch>
                      <a:fillRect/>
                    </a:stretch>
                  </pic:blipFill>
                  <pic:spPr>
                    <a:xfrm>
                      <a:off x="0" y="0"/>
                      <a:ext cx="76200" cy="63500"/>
                    </a:xfrm>
                    <a:prstGeom prst="rect">
                      <a:avLst/>
                    </a:prstGeom>
                    <a:noFill/>
                  </pic:spPr>
                </pic:pic>
              </a:graphicData>
            </a:graphic>
          </wp:inline>
        </w:drawing>
      </w:r>
    </w:p>
    <w:p w14:paraId="2373D5E6">
      <w:pPr>
        <w:pStyle w:val="194"/>
      </w:pPr>
      <w:r>
        <w:rPr>
          <w:b/>
        </w:rPr>
        <w:t xml:space="preserve">Fig. </w:t>
      </w:r>
      <w:bookmarkStart w:id="19" w:name="QINGXIN-network-pharmacology-with-filtered-type"/>
      <w:r>
        <w:rPr>
          <w:b/>
        </w:rPr>
        <w:fldChar w:fldCharType="begin"/>
      </w:r>
      <w:r>
        <w:rPr>
          <w:b/>
        </w:rPr>
        <w:instrText xml:space="preserve">SEQ fig: \* Arabic</w:instrText>
      </w:r>
      <w:r>
        <w:rPr>
          <w:b/>
        </w:rPr>
        <w:fldChar w:fldCharType="separate"/>
      </w:r>
      <w:r>
        <w:rPr>
          <w:b/>
        </w:rPr>
        <w:t>5</w:t>
      </w:r>
      <w:r>
        <w:rPr>
          <w:b/>
        </w:rPr>
        <w:fldChar w:fldCharType="end"/>
      </w:r>
      <w:bookmarkEnd w:id="19"/>
      <w:r>
        <w:rPr>
          <w:b/>
        </w:rPr>
        <w:t xml:space="preserve"> </w:t>
      </w:r>
      <w:r>
        <w:t>QINGXIN network pharmacology with filtered type</w:t>
      </w:r>
    </w:p>
    <w:p w14:paraId="169C3C4C">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Figure+Table/3.3_Network_中药-成分-疾病-靶点网络_(QINGXIN)/QINGXIN-network-pharmacology-with-filtered-type.pdf)</w:t>
      </w:r>
    </w:p>
    <w:p w14:paraId="7963FA97">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20" w:name="QINGXIN-network-pharmacology-with-filtered-type-original-data"/>
      <w:r>
        <w:rPr>
          <w:b/>
        </w:rPr>
        <w:fldChar w:fldCharType="begin"/>
      </w:r>
      <w:r>
        <w:rPr>
          <w:b/>
        </w:rPr>
        <w:instrText xml:space="preserve">SEQ tab \* Arabic</w:instrText>
      </w:r>
      <w:r>
        <w:rPr>
          <w:b/>
        </w:rPr>
        <w:fldChar w:fldCharType="separate"/>
      </w:r>
      <w:r>
        <w:rPr>
          <w:b/>
        </w:rPr>
        <w:t>3</w:t>
      </w:r>
      <w:r>
        <w:rPr>
          <w:b/>
        </w:rPr>
        <w:fldChar w:fldCharType="end"/>
      </w:r>
      <w:bookmarkEnd w:id="20"/>
      <w:r>
        <w:rPr>
          <w:b/>
        </w:rPr>
        <w:t xml:space="preserve">  </w:t>
      </w:r>
      <w:r>
        <w:t>QINGXIN network pharmacology with filtered type original data</w:t>
      </w:r>
    </w:p>
    <w:tbl>
      <w:tblPr>
        <w:tblStyle w:val="13"/>
        <w:tblW w:w="0" w:type="auto"/>
        <w:jc w:val="center"/>
        <w:tblLayout w:type="fixed"/>
        <w:tblCellMar>
          <w:top w:w="0" w:type="dxa"/>
          <w:left w:w="108" w:type="dxa"/>
          <w:bottom w:w="0" w:type="dxa"/>
          <w:right w:w="108" w:type="dxa"/>
        </w:tblCellMar>
      </w:tblPr>
      <w:tblGrid>
        <w:gridCol w:w="2880"/>
        <w:gridCol w:w="2880"/>
        <w:gridCol w:w="2880"/>
      </w:tblGrid>
      <w:tr w14:paraId="0DBC8D72">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536D43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Herb pinyin 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8FA377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96029E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Target.name</w:t>
            </w:r>
          </w:p>
        </w:tc>
      </w:tr>
      <w:tr w14:paraId="0D787984">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C51888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GAN CAO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C487E6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Protocatechuate</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BF728E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AKT1</w:t>
            </w:r>
          </w:p>
        </w:tc>
      </w:tr>
      <w:tr w14:paraId="10826B33">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13F44F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7C9F3D4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455FC37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GATM</w:t>
            </w:r>
          </w:p>
        </w:tc>
      </w:tr>
      <w:tr w14:paraId="7FA14E79">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E7CA2A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3232C8E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7C92D1C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IL6</w:t>
            </w:r>
          </w:p>
        </w:tc>
      </w:tr>
      <w:tr w14:paraId="1E004D6A">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0FBC0AA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3AE4857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74C211C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PDX1</w:t>
            </w:r>
          </w:p>
        </w:tc>
      </w:tr>
      <w:tr w14:paraId="282E6ACF">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F50B2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279EBA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49BAEC3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GCK</w:t>
            </w:r>
          </w:p>
        </w:tc>
      </w:tr>
      <w:tr w14:paraId="518B3CCB">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A29226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6E5C6F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5E8E4C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63F5F79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Figure+Table/3.3_Network_中药-成分-疾病-靶点网络_(QINGXIN)/QINGXIN-network-pharmacology-with-filtered-type-original-data.xlsx)</w:t>
      </w:r>
    </w:p>
    <w:p w14:paraId="6781D9FF">
      <w:pPr>
        <w:pStyle w:val="4"/>
      </w:pPr>
      <w:bookmarkStart w:id="21" w:name="ferrdb-铁死亡调控因子-ferr"/>
      <w:r>
        <w:t>3.4</w:t>
      </w:r>
      <w:r>
        <w:tab/>
        <w:t>FerrDb 铁死亡调控因子 (FERR)</w:t>
      </w:r>
      <w:bookmarkEnd w:id="21"/>
    </w:p>
    <w:p w14:paraId="4A8AE906">
      <w:pPr>
        <w:pStyle w:val="38"/>
      </w:pPr>
      <w:r>
        <w:t xml:space="preserve">从数据库 </w:t>
      </w:r>
      <w:r>
        <w:rPr>
          <w:rStyle w:val="197"/>
        </w:rPr>
        <w:t>FerrDb V2</w:t>
      </w:r>
      <w:r>
        <w:t xml:space="preserve"> 获取与铁死亡相关的调控因子或铁死亡与疾病之间的关联信息。铁死亡相关调控因子统计：marker (n=9) , driver (n=264) , suppressor (n=238) , unclassifier (n=110)</w:t>
      </w:r>
    </w:p>
    <w:p w14:paraId="4D11CB9F">
      <w:pPr>
        <w:pStyle w:val="4"/>
      </w:pPr>
      <w:bookmarkStart w:id="22" w:name="ferrdb-与铁死亡相关基因的交集-ferr"/>
      <w:r>
        <w:t>3.5</w:t>
      </w:r>
      <w:r>
        <w:tab/>
        <w:t>FerrDb 与铁死亡相关基因的交集 (FERR)</w:t>
      </w:r>
      <w:bookmarkEnd w:id="22"/>
    </w:p>
    <w:p w14:paraId="49B50A80">
      <w:pPr>
        <w:pStyle w:val="38"/>
      </w:pPr>
      <w:r>
        <w:t xml:space="preserve">将基因集 (基因集 来自于 中药-成分-疾病-靶点网络 (QINGXIN)) 与 FerrDb 数据库中铁死亡调控因子取交集。得到共 33 个交集基因。 Fig. </w:t>
      </w:r>
      <w:r>
        <w:fldChar w:fldCharType="begin"/>
      </w:r>
      <w:r>
        <w:instrText xml:space="preserve"> HYPERLINK \l "Intersection-of-Related-targets-with-Ferroptosis-all" \h </w:instrText>
      </w:r>
      <w:r>
        <w:fldChar w:fldCharType="separate"/>
      </w:r>
      <w:r>
        <w:fldChar w:fldCharType="begin"/>
      </w:r>
      <w:r>
        <w:instrText xml:space="preserve"> REF Intersection-of-Related-targets-with-Ferroptosis-all \h</w:instrText>
      </w:r>
      <w:r>
        <w:fldChar w:fldCharType="separate"/>
      </w:r>
      <w:r>
        <w:rPr>
          <w:b/>
        </w:rPr>
        <w:t>6</w:t>
      </w:r>
      <w:r>
        <w:fldChar w:fldCharType="end"/>
      </w:r>
      <w:r>
        <w:fldChar w:fldCharType="end"/>
      </w:r>
      <w:r>
        <w:t xml:space="preserve"> 展示了与铁死亡相关调控因子的交集。数目最多的为 Ferroptosis_all (n=564)；数目最少的为 Related_targets (n=222)；平均数目 393。</w:t>
      </w:r>
    </w:p>
    <w:p w14:paraId="599EAFDE">
      <w:pPr>
        <w:pStyle w:val="3"/>
      </w:pPr>
      <w:r>
        <w:drawing>
          <wp:inline distT="0" distB="0" distL="0" distR="0">
            <wp:extent cx="5669280" cy="340106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stretch>
                      <a:fillRect/>
                    </a:stretch>
                  </pic:blipFill>
                  <pic:spPr>
                    <a:xfrm>
                      <a:off x="0" y="0"/>
                      <a:ext cx="78740" cy="47244"/>
                    </a:xfrm>
                    <a:prstGeom prst="rect">
                      <a:avLst/>
                    </a:prstGeom>
                    <a:noFill/>
                  </pic:spPr>
                </pic:pic>
              </a:graphicData>
            </a:graphic>
          </wp:inline>
        </w:drawing>
      </w:r>
    </w:p>
    <w:p w14:paraId="27C6050A">
      <w:pPr>
        <w:pStyle w:val="194"/>
      </w:pPr>
      <w:r>
        <w:rPr>
          <w:b/>
        </w:rPr>
        <w:t xml:space="preserve">Fig. </w:t>
      </w:r>
      <w:bookmarkStart w:id="23" w:name="Intersection-of-Related-targets-with-Ferroptosis-all"/>
      <w:r>
        <w:rPr>
          <w:b/>
        </w:rPr>
        <w:fldChar w:fldCharType="begin"/>
      </w:r>
      <w:r>
        <w:rPr>
          <w:b/>
        </w:rPr>
        <w:instrText xml:space="preserve">SEQ fig: \* Arabic</w:instrText>
      </w:r>
      <w:r>
        <w:rPr>
          <w:b/>
        </w:rPr>
        <w:fldChar w:fldCharType="separate"/>
      </w:r>
      <w:r>
        <w:rPr>
          <w:b/>
        </w:rPr>
        <w:t>6</w:t>
      </w:r>
      <w:r>
        <w:rPr>
          <w:b/>
        </w:rPr>
        <w:fldChar w:fldCharType="end"/>
      </w:r>
      <w:bookmarkEnd w:id="23"/>
      <w:r>
        <w:rPr>
          <w:b/>
        </w:rPr>
        <w:t xml:space="preserve"> </w:t>
      </w:r>
      <w:r>
        <w:t>Intersection of Related targets with Ferroptosis all</w:t>
      </w:r>
    </w:p>
    <w:p w14:paraId="1730A72A">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Figure+Table/3.5_FerrDb_与铁死亡相关基因的交集_(FERR)/Intersection-of-Related-targets-with-Ferroptosis-all.pdf)</w:t>
      </w:r>
    </w:p>
    <w:p w14:paraId="4866540C">
      <w:pPr>
        <w:pStyle w:val="186"/>
        <w:numPr>
          <w:ilvl w:val="0"/>
          <w:numId w:val="2"/>
        </w:numPr>
      </w:pPr>
      <w:r>
        <w:t>All_intersection: ALB, LCN2, IL6, ADIPOQ, VDR, TGFB1, MUC1, CBS, TF, VEGFA, HMOX1, IL1B, TGFBR1, HMGB1, HAMP, IFNG, TLR4, NFE2L2, HIF1A, TIMP1, PPARG, GSTM1, HNF4A, TP53, DPP4, MTOR, CDH1, NOX4, IDO1, PTGS2, GSK3B, SLC11A2, KEAP1</w:t>
      </w:r>
    </w:p>
    <w:p w14:paraId="549C4063">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Figure+Table/3.5_FerrDb_与铁死亡相关基因的交集_(FERR)/Intersection-of-Related-targets-with-Ferroptosis-all-content)</w:t>
      </w:r>
    </w:p>
    <w:p w14:paraId="11692AF2">
      <w:pPr>
        <w:pStyle w:val="4"/>
      </w:pPr>
      <w:bookmarkStart w:id="24" w:name="clusterprofiler-富集分析-common"/>
      <w:r>
        <w:t>3.6</w:t>
      </w:r>
      <w:r>
        <w:tab/>
        <w:t>ClusterProfiler 富集分析 (COMMON)</w:t>
      </w:r>
      <w:bookmarkEnd w:id="24"/>
    </w:p>
    <w:p w14:paraId="472CCBBE">
      <w:pPr>
        <w:pStyle w:val="38"/>
      </w:pPr>
      <w:r>
        <w:t>对基因集 (ALB, LCN2, etc., (基因集来自于铁死亡交集基因(FERR)) ) 进行ClusterProfiler 富集分析。</w:t>
      </w:r>
    </w:p>
    <w:p w14:paraId="408C77BE">
      <w:pPr>
        <w:pStyle w:val="3"/>
      </w:pPr>
      <w:r>
        <w:t xml:space="preserve">Fig. </w:t>
      </w:r>
      <w:r>
        <w:fldChar w:fldCharType="begin"/>
      </w:r>
      <w:r>
        <w:instrText xml:space="preserve"> HYPERLINK \l "COMMON-KEGG-enrichment" \h </w:instrText>
      </w:r>
      <w:r>
        <w:fldChar w:fldCharType="separate"/>
      </w:r>
      <w:r>
        <w:fldChar w:fldCharType="begin"/>
      </w:r>
      <w:r>
        <w:instrText xml:space="preserve"> REF COMMON-KEGG-enrichment \h</w:instrText>
      </w:r>
      <w:r>
        <w:fldChar w:fldCharType="separate"/>
      </w:r>
      <w:r>
        <w:rPr>
          <w:b/>
        </w:rPr>
        <w:t>7</w:t>
      </w:r>
      <w:r>
        <w:fldChar w:fldCharType="end"/>
      </w:r>
      <w:r>
        <w:fldChar w:fldCharType="end"/>
      </w:r>
      <w:r>
        <w:t xml:space="preserve"> KEGG 富集图展示了以 p.adjust 排序，前 10 的富集通路。 Fig. </w:t>
      </w:r>
      <w:r>
        <w:fldChar w:fldCharType="begin"/>
      </w:r>
      <w:r>
        <w:instrText xml:space="preserve"> HYPERLINK \l "COMMON-GO-enrichment" \h </w:instrText>
      </w:r>
      <w:r>
        <w:fldChar w:fldCharType="separate"/>
      </w:r>
      <w:r>
        <w:fldChar w:fldCharType="begin"/>
      </w:r>
      <w:r>
        <w:instrText xml:space="preserve"> REF COMMON-GO-enrichment \h</w:instrText>
      </w:r>
      <w:r>
        <w:fldChar w:fldCharType="separate"/>
      </w:r>
      <w:r>
        <w:rPr>
          <w:b/>
        </w:rPr>
        <w:t>8</w:t>
      </w:r>
      <w:r>
        <w:fldChar w:fldCharType="end"/>
      </w:r>
      <w:r>
        <w:fldChar w:fldCharType="end"/>
      </w:r>
      <w:r>
        <w:t xml:space="preserve"> GO 富集图展示了基因集在 GO 的 BP (Biological Process), MF (Molecular Function), CC (Cellular Component) 组中的富集结果 (以 p.adjust 排序，各自展示前 10 的富集通路) 。 Fig. </w:t>
      </w:r>
      <w:r>
        <w:fldChar w:fldCharType="begin"/>
      </w:r>
      <w:r>
        <w:instrText xml:space="preserve"> HYPERLINK \l "COMMON-pathviews-hsa04066" \h </w:instrText>
      </w:r>
      <w:r>
        <w:fldChar w:fldCharType="separate"/>
      </w:r>
      <w:r>
        <w:fldChar w:fldCharType="begin"/>
      </w:r>
      <w:r>
        <w:instrText xml:space="preserve"> REF COMMON-pathviews-hsa04066 \h</w:instrText>
      </w:r>
      <w:r>
        <w:fldChar w:fldCharType="separate"/>
      </w:r>
      <w:r>
        <w:rPr>
          <w:b/>
        </w:rPr>
        <w:t>9</w:t>
      </w:r>
      <w:r>
        <w:fldChar w:fldCharType="end"/>
      </w:r>
      <w:r>
        <w:fldChar w:fldCharType="end"/>
      </w:r>
      <w:r>
        <w:t xml:space="preserve"> KEGG 通路可视化 (hsa04066) 展示了富集基因在该通路的上下游关系。通路图中的基因的映射颜色表示是否显著富集。</w:t>
      </w:r>
    </w:p>
    <w:p w14:paraId="43C6FCA1">
      <w:pPr>
        <w:pStyle w:val="3"/>
      </w:pPr>
      <w:r>
        <w:t xml:space="preserve">HIF-1 signaling pathway 已在多种疾病中被报道与铁死亡的关系 (2023, </w:t>
      </w:r>
      <w:r>
        <w:rPr>
          <w:b/>
        </w:rPr>
        <w:t>IF:3.9</w:t>
      </w:r>
      <w:r>
        <w:t>, Q2, Frontiers in endocrinology)</w:t>
      </w:r>
      <w:r>
        <w:rPr>
          <w:vertAlign w:val="superscript"/>
        </w:rPr>
        <w:t>11</w:t>
      </w:r>
      <w:r>
        <w:t xml:space="preserve"> (2022, </w:t>
      </w:r>
      <w:r>
        <w:rPr>
          <w:b/>
        </w:rPr>
        <w:t>IF:4.4</w:t>
      </w:r>
      <w:r>
        <w:t>, Q1, Frontiers in pharmacology)</w:t>
      </w:r>
      <w:r>
        <w:rPr>
          <w:vertAlign w:val="superscript"/>
        </w:rPr>
        <w:t>12</w:t>
      </w:r>
      <w:r>
        <w:t xml:space="preserve"> (2023, </w:t>
      </w:r>
      <w:r>
        <w:rPr>
          <w:b/>
        </w:rPr>
        <w:t>IF:3.5</w:t>
      </w:r>
      <w:r>
        <w:t>, Q2, Brain research bulletin)</w:t>
      </w:r>
      <w:r>
        <w:rPr>
          <w:vertAlign w:val="superscript"/>
        </w:rPr>
        <w:t>13</w:t>
      </w:r>
      <w:r>
        <w:t>。</w:t>
      </w:r>
    </w:p>
    <w:p w14:paraId="64C1AA9B">
      <w:pPr>
        <w:pStyle w:val="3"/>
      </w:pPr>
      <w:r>
        <w:drawing>
          <wp:inline distT="0" distB="0" distL="0" distR="0">
            <wp:extent cx="5669280" cy="3239135"/>
            <wp:effectExtent l="0" t="0" r="762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stretch>
                      <a:fillRect/>
                    </a:stretch>
                  </pic:blipFill>
                  <pic:spPr>
                    <a:xfrm>
                      <a:off x="0" y="0"/>
                      <a:ext cx="78740" cy="44994"/>
                    </a:xfrm>
                    <a:prstGeom prst="rect">
                      <a:avLst/>
                    </a:prstGeom>
                    <a:noFill/>
                  </pic:spPr>
                </pic:pic>
              </a:graphicData>
            </a:graphic>
          </wp:inline>
        </w:drawing>
      </w:r>
    </w:p>
    <w:p w14:paraId="2CC14531">
      <w:pPr>
        <w:pStyle w:val="194"/>
      </w:pPr>
      <w:r>
        <w:rPr>
          <w:b/>
        </w:rPr>
        <w:t xml:space="preserve">Fig. </w:t>
      </w:r>
      <w:bookmarkStart w:id="25" w:name="COMMON-KEGG-enrichment"/>
      <w:r>
        <w:rPr>
          <w:b/>
        </w:rPr>
        <w:fldChar w:fldCharType="begin"/>
      </w:r>
      <w:r>
        <w:rPr>
          <w:b/>
        </w:rPr>
        <w:instrText xml:space="preserve">SEQ fig: \* Arabic</w:instrText>
      </w:r>
      <w:r>
        <w:rPr>
          <w:b/>
        </w:rPr>
        <w:fldChar w:fldCharType="separate"/>
      </w:r>
      <w:r>
        <w:rPr>
          <w:b/>
        </w:rPr>
        <w:t>7</w:t>
      </w:r>
      <w:r>
        <w:rPr>
          <w:b/>
        </w:rPr>
        <w:fldChar w:fldCharType="end"/>
      </w:r>
      <w:bookmarkEnd w:id="25"/>
      <w:r>
        <w:rPr>
          <w:b/>
        </w:rPr>
        <w:t xml:space="preserve"> </w:t>
      </w:r>
      <w:r>
        <w:t>COMMON KEGG enrichment</w:t>
      </w:r>
    </w:p>
    <w:p w14:paraId="289C4D4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Figure+Table/3.6_ClusterProfiler_富集分析_(COMMON)/COMMON-KEGG-enrichment.pdf)</w:t>
      </w:r>
    </w:p>
    <w:p w14:paraId="6EE65DB6">
      <w:pPr>
        <w:pStyle w:val="3"/>
      </w:pPr>
      <w:r>
        <w:drawing>
          <wp:inline distT="0" distB="0" distL="0" distR="0">
            <wp:extent cx="5224780" cy="4572000"/>
            <wp:effectExtent l="0" t="0" r="139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stretch>
                      <a:fillRect/>
                    </a:stretch>
                  </pic:blipFill>
                  <pic:spPr>
                    <a:xfrm>
                      <a:off x="0" y="0"/>
                      <a:ext cx="72571" cy="63500"/>
                    </a:xfrm>
                    <a:prstGeom prst="rect">
                      <a:avLst/>
                    </a:prstGeom>
                    <a:noFill/>
                  </pic:spPr>
                </pic:pic>
              </a:graphicData>
            </a:graphic>
          </wp:inline>
        </w:drawing>
      </w:r>
    </w:p>
    <w:p w14:paraId="2FC38386">
      <w:pPr>
        <w:pStyle w:val="194"/>
      </w:pPr>
      <w:r>
        <w:rPr>
          <w:b/>
        </w:rPr>
        <w:t xml:space="preserve">Fig. </w:t>
      </w:r>
      <w:bookmarkStart w:id="26" w:name="COMMON-GO-enrichment"/>
      <w:r>
        <w:rPr>
          <w:b/>
        </w:rPr>
        <w:fldChar w:fldCharType="begin"/>
      </w:r>
      <w:r>
        <w:rPr>
          <w:b/>
        </w:rPr>
        <w:instrText xml:space="preserve">SEQ fig: \* Arabic</w:instrText>
      </w:r>
      <w:r>
        <w:rPr>
          <w:b/>
        </w:rPr>
        <w:fldChar w:fldCharType="separate"/>
      </w:r>
      <w:r>
        <w:rPr>
          <w:b/>
        </w:rPr>
        <w:t>8</w:t>
      </w:r>
      <w:r>
        <w:rPr>
          <w:b/>
        </w:rPr>
        <w:fldChar w:fldCharType="end"/>
      </w:r>
      <w:bookmarkEnd w:id="26"/>
      <w:r>
        <w:rPr>
          <w:b/>
        </w:rPr>
        <w:t xml:space="preserve"> </w:t>
      </w:r>
      <w:r>
        <w:t>COMMON GO enrichment</w:t>
      </w:r>
    </w:p>
    <w:p w14:paraId="011C7080">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Figure+Table/3.6_ClusterProfiler_富集分析_(COMMON)/COMMON-GO-enrichment.pdf)</w:t>
      </w:r>
    </w:p>
    <w:p w14:paraId="1B790A83">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27" w:name="COMMON-KEGG-enrichment-data"/>
      <w:r>
        <w:rPr>
          <w:b/>
        </w:rPr>
        <w:fldChar w:fldCharType="begin"/>
      </w:r>
      <w:r>
        <w:rPr>
          <w:b/>
        </w:rPr>
        <w:instrText xml:space="preserve">SEQ tab \* Arabic</w:instrText>
      </w:r>
      <w:r>
        <w:rPr>
          <w:b/>
        </w:rPr>
        <w:fldChar w:fldCharType="separate"/>
      </w:r>
      <w:r>
        <w:rPr>
          <w:b/>
        </w:rPr>
        <w:t>4</w:t>
      </w:r>
      <w:r>
        <w:rPr>
          <w:b/>
        </w:rPr>
        <w:fldChar w:fldCharType="end"/>
      </w:r>
      <w:bookmarkEnd w:id="27"/>
      <w:r>
        <w:rPr>
          <w:b/>
        </w:rPr>
        <w:t xml:space="preserve">  </w:t>
      </w:r>
      <w:r>
        <w:t>COMMON KEGG enrichment data</w:t>
      </w:r>
    </w:p>
    <w:tbl>
      <w:tblPr>
        <w:tblStyle w:val="13"/>
        <w:tblW w:w="0" w:type="auto"/>
        <w:jc w:val="center"/>
        <w:tblLayout w:type="fixed"/>
        <w:tblCellMar>
          <w:top w:w="0" w:type="dxa"/>
          <w:left w:w="108" w:type="dxa"/>
          <w:bottom w:w="0" w:type="dxa"/>
          <w:right w:w="108" w:type="dxa"/>
        </w:tblCellMar>
      </w:tblPr>
      <w:tblGrid>
        <w:gridCol w:w="864"/>
        <w:gridCol w:w="864"/>
        <w:gridCol w:w="864"/>
        <w:gridCol w:w="864"/>
        <w:gridCol w:w="864"/>
        <w:gridCol w:w="864"/>
        <w:gridCol w:w="864"/>
        <w:gridCol w:w="864"/>
        <w:gridCol w:w="864"/>
        <w:gridCol w:w="864"/>
      </w:tblGrid>
      <w:tr w14:paraId="4C820A0C">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A044B7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Category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D0CDE9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Subcat...</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9DA500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1E8697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Descri...</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56C1AF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GeneRatio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DC8168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BgRatio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7E66EA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DD3E77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P.adjust</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575ACC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789CDF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GeneID</w:t>
            </w:r>
          </w:p>
        </w:tc>
      </w:tr>
      <w:tr w14:paraId="7FE55F4B">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E63D60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Enviro...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E60269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Signal...</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D55C5E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Hsa04066</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B0268A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HIF-1 ...</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1CEAE1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9/32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2AB6DB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110/8878</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45B3A0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1.093e-10</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67BF76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1.956e-08</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54D130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9.087e-09</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DDFAD4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3091/3...</w:t>
            </w:r>
          </w:p>
        </w:tc>
      </w:tr>
      <w:tr w14:paraId="3AD82E9A">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0E96C85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6B32C5A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Cancer...</w:t>
            </w:r>
          </w:p>
        </w:tc>
        <w:tc>
          <w:tcPr>
            <w:tcBorders>
              <w:top w:val="nil"/>
              <w:left w:val="nil"/>
              <w:bottom w:val="nil"/>
              <w:right w:val="nil"/>
            </w:tcBorders>
            <w:shd w:val="clear" w:color="auto" w:fill="FFFFFF"/>
            <w:tcMar>
              <w:top w:w="0" w:type="dxa"/>
              <w:left w:w="0" w:type="dxa"/>
              <w:bottom w:w="0" w:type="dxa"/>
              <w:right w:w="0" w:type="dxa"/>
            </w:tcMar>
            <w:vAlign w:val="top"/>
          </w:tcPr>
          <w:p w14:paraId="4C0B078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Hsa05225</w:t>
            </w:r>
          </w:p>
        </w:tc>
        <w:tc>
          <w:tcPr>
            <w:tcBorders>
              <w:top w:val="nil"/>
              <w:left w:val="nil"/>
              <w:bottom w:val="nil"/>
              <w:right w:val="nil"/>
            </w:tcBorders>
            <w:shd w:val="clear" w:color="auto" w:fill="FFFFFF"/>
            <w:tcMar>
              <w:top w:w="0" w:type="dxa"/>
              <w:left w:w="0" w:type="dxa"/>
              <w:bottom w:w="0" w:type="dxa"/>
              <w:right w:w="0" w:type="dxa"/>
            </w:tcMar>
            <w:vAlign w:val="top"/>
          </w:tcPr>
          <w:p w14:paraId="717169C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Hepato...</w:t>
            </w:r>
          </w:p>
        </w:tc>
        <w:tc>
          <w:tcPr>
            <w:tcBorders>
              <w:top w:val="nil"/>
              <w:left w:val="nil"/>
              <w:bottom w:val="nil"/>
              <w:right w:val="nil"/>
            </w:tcBorders>
            <w:shd w:val="clear" w:color="auto" w:fill="FFFFFF"/>
            <w:tcMar>
              <w:top w:w="0" w:type="dxa"/>
              <w:left w:w="0" w:type="dxa"/>
              <w:bottom w:w="0" w:type="dxa"/>
              <w:right w:w="0" w:type="dxa"/>
            </w:tcMar>
            <w:vAlign w:val="top"/>
          </w:tcPr>
          <w:p w14:paraId="7BEBE11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9/32</w:t>
            </w:r>
          </w:p>
        </w:tc>
        <w:tc>
          <w:tcPr>
            <w:tcBorders>
              <w:top w:val="nil"/>
              <w:left w:val="nil"/>
              <w:bottom w:val="nil"/>
              <w:right w:val="nil"/>
            </w:tcBorders>
            <w:shd w:val="clear" w:color="auto" w:fill="FFFFFF"/>
            <w:tcMar>
              <w:top w:w="0" w:type="dxa"/>
              <w:left w:w="0" w:type="dxa"/>
              <w:bottom w:w="0" w:type="dxa"/>
              <w:right w:w="0" w:type="dxa"/>
            </w:tcMar>
            <w:vAlign w:val="top"/>
          </w:tcPr>
          <w:p w14:paraId="2364517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170/8878</w:t>
            </w:r>
          </w:p>
        </w:tc>
        <w:tc>
          <w:tcPr>
            <w:tcBorders>
              <w:top w:val="nil"/>
              <w:left w:val="nil"/>
              <w:bottom w:val="nil"/>
              <w:right w:val="nil"/>
            </w:tcBorders>
            <w:shd w:val="clear" w:color="auto" w:fill="FFFFFF"/>
            <w:tcMar>
              <w:top w:w="0" w:type="dxa"/>
              <w:left w:w="0" w:type="dxa"/>
              <w:bottom w:w="0" w:type="dxa"/>
              <w:right w:w="0" w:type="dxa"/>
            </w:tcMar>
            <w:vAlign w:val="top"/>
          </w:tcPr>
          <w:p w14:paraId="4663AC9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5.382e-09</w:t>
            </w:r>
          </w:p>
        </w:tc>
        <w:tc>
          <w:tcPr>
            <w:tcBorders>
              <w:top w:val="nil"/>
              <w:left w:val="nil"/>
              <w:bottom w:val="nil"/>
              <w:right w:val="nil"/>
            </w:tcBorders>
            <w:shd w:val="clear" w:color="auto" w:fill="FFFFFF"/>
            <w:tcMar>
              <w:top w:w="0" w:type="dxa"/>
              <w:left w:w="0" w:type="dxa"/>
              <w:bottom w:w="0" w:type="dxa"/>
              <w:right w:w="0" w:type="dxa"/>
            </w:tcMar>
            <w:vAlign w:val="top"/>
          </w:tcPr>
          <w:p w14:paraId="10F0463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4.817e-07</w:t>
            </w:r>
          </w:p>
        </w:tc>
        <w:tc>
          <w:tcPr>
            <w:tcBorders>
              <w:top w:val="nil"/>
              <w:left w:val="nil"/>
              <w:bottom w:val="nil"/>
              <w:right w:val="nil"/>
            </w:tcBorders>
            <w:shd w:val="clear" w:color="auto" w:fill="FFFFFF"/>
            <w:tcMar>
              <w:top w:w="0" w:type="dxa"/>
              <w:left w:w="0" w:type="dxa"/>
              <w:bottom w:w="0" w:type="dxa"/>
              <w:right w:w="0" w:type="dxa"/>
            </w:tcMar>
            <w:vAlign w:val="top"/>
          </w:tcPr>
          <w:p w14:paraId="47BA9A3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2.238e-07</w:t>
            </w:r>
          </w:p>
        </w:tc>
        <w:tc>
          <w:tcPr>
            <w:tcBorders>
              <w:top w:val="nil"/>
              <w:left w:val="nil"/>
              <w:bottom w:val="nil"/>
              <w:right w:val="nil"/>
            </w:tcBorders>
            <w:shd w:val="clear" w:color="auto" w:fill="FFFFFF"/>
            <w:tcMar>
              <w:top w:w="0" w:type="dxa"/>
              <w:left w:w="0" w:type="dxa"/>
              <w:bottom w:w="0" w:type="dxa"/>
              <w:right w:w="0" w:type="dxa"/>
            </w:tcMar>
            <w:vAlign w:val="top"/>
          </w:tcPr>
          <w:p w14:paraId="505E98F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2932/2...</w:t>
            </w:r>
          </w:p>
        </w:tc>
      </w:tr>
      <w:tr w14:paraId="1F3226A6">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E8FFE7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2677C3A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Cardio...</w:t>
            </w:r>
          </w:p>
        </w:tc>
        <w:tc>
          <w:tcPr>
            <w:tcBorders>
              <w:top w:val="nil"/>
              <w:left w:val="nil"/>
              <w:bottom w:val="nil"/>
              <w:right w:val="nil"/>
            </w:tcBorders>
            <w:shd w:val="clear" w:color="auto" w:fill="FFFFFF"/>
            <w:tcMar>
              <w:top w:w="0" w:type="dxa"/>
              <w:left w:w="0" w:type="dxa"/>
              <w:bottom w:w="0" w:type="dxa"/>
              <w:right w:w="0" w:type="dxa"/>
            </w:tcMar>
            <w:vAlign w:val="top"/>
          </w:tcPr>
          <w:p w14:paraId="36A6689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Hsa05418</w:t>
            </w:r>
          </w:p>
        </w:tc>
        <w:tc>
          <w:tcPr>
            <w:tcBorders>
              <w:top w:val="nil"/>
              <w:left w:val="nil"/>
              <w:bottom w:val="nil"/>
              <w:right w:val="nil"/>
            </w:tcBorders>
            <w:shd w:val="clear" w:color="auto" w:fill="FFFFFF"/>
            <w:tcMar>
              <w:top w:w="0" w:type="dxa"/>
              <w:left w:w="0" w:type="dxa"/>
              <w:bottom w:w="0" w:type="dxa"/>
              <w:right w:w="0" w:type="dxa"/>
            </w:tcMar>
            <w:vAlign w:val="top"/>
          </w:tcPr>
          <w:p w14:paraId="5901B69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Fluid ...</w:t>
            </w:r>
          </w:p>
        </w:tc>
        <w:tc>
          <w:tcPr>
            <w:tcBorders>
              <w:top w:val="nil"/>
              <w:left w:val="nil"/>
              <w:bottom w:val="nil"/>
              <w:right w:val="nil"/>
            </w:tcBorders>
            <w:shd w:val="clear" w:color="auto" w:fill="FFFFFF"/>
            <w:tcMar>
              <w:top w:w="0" w:type="dxa"/>
              <w:left w:w="0" w:type="dxa"/>
              <w:bottom w:w="0" w:type="dxa"/>
              <w:right w:w="0" w:type="dxa"/>
            </w:tcMar>
            <w:vAlign w:val="top"/>
          </w:tcPr>
          <w:p w14:paraId="6A73A89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8/32</w:t>
            </w:r>
          </w:p>
        </w:tc>
        <w:tc>
          <w:tcPr>
            <w:tcBorders>
              <w:top w:val="nil"/>
              <w:left w:val="nil"/>
              <w:bottom w:val="nil"/>
              <w:right w:val="nil"/>
            </w:tcBorders>
            <w:shd w:val="clear" w:color="auto" w:fill="FFFFFF"/>
            <w:tcMar>
              <w:top w:w="0" w:type="dxa"/>
              <w:left w:w="0" w:type="dxa"/>
              <w:bottom w:w="0" w:type="dxa"/>
              <w:right w:w="0" w:type="dxa"/>
            </w:tcMar>
            <w:vAlign w:val="top"/>
          </w:tcPr>
          <w:p w14:paraId="44957A5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141/8878</w:t>
            </w:r>
          </w:p>
        </w:tc>
        <w:tc>
          <w:tcPr>
            <w:tcBorders>
              <w:top w:val="nil"/>
              <w:left w:val="nil"/>
              <w:bottom w:val="nil"/>
              <w:right w:val="nil"/>
            </w:tcBorders>
            <w:shd w:val="clear" w:color="auto" w:fill="FFFFFF"/>
            <w:tcMar>
              <w:top w:w="0" w:type="dxa"/>
              <w:left w:w="0" w:type="dxa"/>
              <w:bottom w:w="0" w:type="dxa"/>
              <w:right w:w="0" w:type="dxa"/>
            </w:tcMar>
            <w:vAlign w:val="top"/>
          </w:tcPr>
          <w:p w14:paraId="00D906F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2.529e-08</w:t>
            </w:r>
          </w:p>
        </w:tc>
        <w:tc>
          <w:tcPr>
            <w:tcBorders>
              <w:top w:val="nil"/>
              <w:left w:val="nil"/>
              <w:bottom w:val="nil"/>
              <w:right w:val="nil"/>
            </w:tcBorders>
            <w:shd w:val="clear" w:color="auto" w:fill="FFFFFF"/>
            <w:tcMar>
              <w:top w:w="0" w:type="dxa"/>
              <w:left w:w="0" w:type="dxa"/>
              <w:bottom w:w="0" w:type="dxa"/>
              <w:right w:w="0" w:type="dxa"/>
            </w:tcMar>
            <w:vAlign w:val="top"/>
          </w:tcPr>
          <w:p w14:paraId="0ED85CC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1.509e-06</w:t>
            </w:r>
          </w:p>
        </w:tc>
        <w:tc>
          <w:tcPr>
            <w:tcBorders>
              <w:top w:val="nil"/>
              <w:left w:val="nil"/>
              <w:bottom w:val="nil"/>
              <w:right w:val="nil"/>
            </w:tcBorders>
            <w:shd w:val="clear" w:color="auto" w:fill="FFFFFF"/>
            <w:tcMar>
              <w:top w:w="0" w:type="dxa"/>
              <w:left w:w="0" w:type="dxa"/>
              <w:bottom w:w="0" w:type="dxa"/>
              <w:right w:w="0" w:type="dxa"/>
            </w:tcMar>
            <w:vAlign w:val="top"/>
          </w:tcPr>
          <w:p w14:paraId="17FEF0C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7.011e-07</w:t>
            </w:r>
          </w:p>
        </w:tc>
        <w:tc>
          <w:tcPr>
            <w:tcBorders>
              <w:top w:val="nil"/>
              <w:left w:val="nil"/>
              <w:bottom w:val="nil"/>
              <w:right w:val="nil"/>
            </w:tcBorders>
            <w:shd w:val="clear" w:color="auto" w:fill="FFFFFF"/>
            <w:tcMar>
              <w:top w:w="0" w:type="dxa"/>
              <w:left w:w="0" w:type="dxa"/>
              <w:bottom w:w="0" w:type="dxa"/>
              <w:right w:w="0" w:type="dxa"/>
            </w:tcMar>
            <w:vAlign w:val="top"/>
          </w:tcPr>
          <w:p w14:paraId="200FF71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2944/3...</w:t>
            </w:r>
          </w:p>
        </w:tc>
      </w:tr>
      <w:tr w14:paraId="2E919E9B">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CF5B5D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Organi...</w:t>
            </w:r>
          </w:p>
        </w:tc>
        <w:tc>
          <w:tcPr>
            <w:tcBorders>
              <w:top w:val="nil"/>
              <w:left w:val="nil"/>
              <w:bottom w:val="nil"/>
              <w:right w:val="nil"/>
            </w:tcBorders>
            <w:shd w:val="clear" w:color="auto" w:fill="FFFFFF"/>
            <w:tcMar>
              <w:top w:w="0" w:type="dxa"/>
              <w:left w:w="0" w:type="dxa"/>
              <w:bottom w:w="0" w:type="dxa"/>
              <w:right w:w="0" w:type="dxa"/>
            </w:tcMar>
            <w:vAlign w:val="top"/>
          </w:tcPr>
          <w:p w14:paraId="56B3394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Immune...</w:t>
            </w:r>
          </w:p>
        </w:tc>
        <w:tc>
          <w:tcPr>
            <w:tcBorders>
              <w:top w:val="nil"/>
              <w:left w:val="nil"/>
              <w:bottom w:val="nil"/>
              <w:right w:val="nil"/>
            </w:tcBorders>
            <w:shd w:val="clear" w:color="auto" w:fill="FFFFFF"/>
            <w:tcMar>
              <w:top w:w="0" w:type="dxa"/>
              <w:left w:w="0" w:type="dxa"/>
              <w:bottom w:w="0" w:type="dxa"/>
              <w:right w:w="0" w:type="dxa"/>
            </w:tcMar>
            <w:vAlign w:val="top"/>
          </w:tcPr>
          <w:p w14:paraId="4B91DAA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Hsa04659</w:t>
            </w:r>
          </w:p>
        </w:tc>
        <w:tc>
          <w:tcPr>
            <w:tcBorders>
              <w:top w:val="nil"/>
              <w:left w:val="nil"/>
              <w:bottom w:val="nil"/>
              <w:right w:val="nil"/>
            </w:tcBorders>
            <w:shd w:val="clear" w:color="auto" w:fill="FFFFFF"/>
            <w:tcMar>
              <w:top w:w="0" w:type="dxa"/>
              <w:left w:w="0" w:type="dxa"/>
              <w:bottom w:w="0" w:type="dxa"/>
              <w:right w:w="0" w:type="dxa"/>
            </w:tcMar>
            <w:vAlign w:val="top"/>
          </w:tcPr>
          <w:p w14:paraId="1742B2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Th17 c...</w:t>
            </w:r>
          </w:p>
        </w:tc>
        <w:tc>
          <w:tcPr>
            <w:tcBorders>
              <w:top w:val="nil"/>
              <w:left w:val="nil"/>
              <w:bottom w:val="nil"/>
              <w:right w:val="nil"/>
            </w:tcBorders>
            <w:shd w:val="clear" w:color="auto" w:fill="FFFFFF"/>
            <w:tcMar>
              <w:top w:w="0" w:type="dxa"/>
              <w:left w:w="0" w:type="dxa"/>
              <w:bottom w:w="0" w:type="dxa"/>
              <w:right w:w="0" w:type="dxa"/>
            </w:tcMar>
            <w:vAlign w:val="top"/>
          </w:tcPr>
          <w:p w14:paraId="1CC06B1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7/32</w:t>
            </w:r>
          </w:p>
        </w:tc>
        <w:tc>
          <w:tcPr>
            <w:tcBorders>
              <w:top w:val="nil"/>
              <w:left w:val="nil"/>
              <w:bottom w:val="nil"/>
              <w:right w:val="nil"/>
            </w:tcBorders>
            <w:shd w:val="clear" w:color="auto" w:fill="FFFFFF"/>
            <w:tcMar>
              <w:top w:w="0" w:type="dxa"/>
              <w:left w:w="0" w:type="dxa"/>
              <w:bottom w:w="0" w:type="dxa"/>
              <w:right w:w="0" w:type="dxa"/>
            </w:tcMar>
            <w:vAlign w:val="top"/>
          </w:tcPr>
          <w:p w14:paraId="25AE93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109/8878</w:t>
            </w:r>
          </w:p>
        </w:tc>
        <w:tc>
          <w:tcPr>
            <w:tcBorders>
              <w:top w:val="nil"/>
              <w:left w:val="nil"/>
              <w:bottom w:val="nil"/>
              <w:right w:val="nil"/>
            </w:tcBorders>
            <w:shd w:val="clear" w:color="auto" w:fill="FFFFFF"/>
            <w:tcMar>
              <w:top w:w="0" w:type="dxa"/>
              <w:left w:w="0" w:type="dxa"/>
              <w:bottom w:w="0" w:type="dxa"/>
              <w:right w:w="0" w:type="dxa"/>
            </w:tcMar>
            <w:vAlign w:val="top"/>
          </w:tcPr>
          <w:p w14:paraId="614F720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9.053e-08</w:t>
            </w:r>
          </w:p>
        </w:tc>
        <w:tc>
          <w:tcPr>
            <w:tcBorders>
              <w:top w:val="nil"/>
              <w:left w:val="nil"/>
              <w:bottom w:val="nil"/>
              <w:right w:val="nil"/>
            </w:tcBorders>
            <w:shd w:val="clear" w:color="auto" w:fill="FFFFFF"/>
            <w:tcMar>
              <w:top w:w="0" w:type="dxa"/>
              <w:left w:w="0" w:type="dxa"/>
              <w:bottom w:w="0" w:type="dxa"/>
              <w:right w:w="0" w:type="dxa"/>
            </w:tcMar>
            <w:vAlign w:val="top"/>
          </w:tcPr>
          <w:p w14:paraId="041E865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4.051e-06</w:t>
            </w:r>
          </w:p>
        </w:tc>
        <w:tc>
          <w:tcPr>
            <w:tcBorders>
              <w:top w:val="nil"/>
              <w:left w:val="nil"/>
              <w:bottom w:val="nil"/>
              <w:right w:val="nil"/>
            </w:tcBorders>
            <w:shd w:val="clear" w:color="auto" w:fill="FFFFFF"/>
            <w:tcMar>
              <w:top w:w="0" w:type="dxa"/>
              <w:left w:w="0" w:type="dxa"/>
              <w:bottom w:w="0" w:type="dxa"/>
              <w:right w:w="0" w:type="dxa"/>
            </w:tcMar>
            <w:vAlign w:val="top"/>
          </w:tcPr>
          <w:p w14:paraId="19131EF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1.882e-06</w:t>
            </w:r>
          </w:p>
        </w:tc>
        <w:tc>
          <w:tcPr>
            <w:tcBorders>
              <w:top w:val="nil"/>
              <w:left w:val="nil"/>
              <w:bottom w:val="nil"/>
              <w:right w:val="nil"/>
            </w:tcBorders>
            <w:shd w:val="clear" w:color="auto" w:fill="FFFFFF"/>
            <w:tcMar>
              <w:top w:w="0" w:type="dxa"/>
              <w:left w:w="0" w:type="dxa"/>
              <w:bottom w:w="0" w:type="dxa"/>
              <w:right w:w="0" w:type="dxa"/>
            </w:tcMar>
            <w:vAlign w:val="top"/>
          </w:tcPr>
          <w:p w14:paraId="1F7B677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3091/3...</w:t>
            </w:r>
          </w:p>
        </w:tc>
      </w:tr>
      <w:tr w14:paraId="2456F0E3">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65346F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62C3488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Infect...</w:t>
            </w:r>
          </w:p>
        </w:tc>
        <w:tc>
          <w:tcPr>
            <w:tcBorders>
              <w:top w:val="nil"/>
              <w:left w:val="nil"/>
              <w:bottom w:val="nil"/>
              <w:right w:val="nil"/>
            </w:tcBorders>
            <w:shd w:val="clear" w:color="auto" w:fill="FFFFFF"/>
            <w:tcMar>
              <w:top w:w="0" w:type="dxa"/>
              <w:left w:w="0" w:type="dxa"/>
              <w:bottom w:w="0" w:type="dxa"/>
              <w:right w:w="0" w:type="dxa"/>
            </w:tcMar>
            <w:vAlign w:val="top"/>
          </w:tcPr>
          <w:p w14:paraId="6F56A69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Hsa05144</w:t>
            </w:r>
          </w:p>
        </w:tc>
        <w:tc>
          <w:tcPr>
            <w:tcBorders>
              <w:top w:val="nil"/>
              <w:left w:val="nil"/>
              <w:bottom w:val="nil"/>
              <w:right w:val="nil"/>
            </w:tcBorders>
            <w:shd w:val="clear" w:color="auto" w:fill="FFFFFF"/>
            <w:tcMar>
              <w:top w:w="0" w:type="dxa"/>
              <w:left w:w="0" w:type="dxa"/>
              <w:bottom w:w="0" w:type="dxa"/>
              <w:right w:w="0" w:type="dxa"/>
            </w:tcMar>
            <w:vAlign w:val="top"/>
          </w:tcPr>
          <w:p w14:paraId="5699FEC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Malaria</w:t>
            </w:r>
          </w:p>
        </w:tc>
        <w:tc>
          <w:tcPr>
            <w:tcBorders>
              <w:top w:val="nil"/>
              <w:left w:val="nil"/>
              <w:bottom w:val="nil"/>
              <w:right w:val="nil"/>
            </w:tcBorders>
            <w:shd w:val="clear" w:color="auto" w:fill="FFFFFF"/>
            <w:tcMar>
              <w:top w:w="0" w:type="dxa"/>
              <w:left w:w="0" w:type="dxa"/>
              <w:bottom w:w="0" w:type="dxa"/>
              <w:right w:w="0" w:type="dxa"/>
            </w:tcMar>
            <w:vAlign w:val="top"/>
          </w:tcPr>
          <w:p w14:paraId="7A8D8A1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5/32</w:t>
            </w:r>
          </w:p>
        </w:tc>
        <w:tc>
          <w:tcPr>
            <w:tcBorders>
              <w:top w:val="nil"/>
              <w:left w:val="nil"/>
              <w:bottom w:val="nil"/>
              <w:right w:val="nil"/>
            </w:tcBorders>
            <w:shd w:val="clear" w:color="auto" w:fill="FFFFFF"/>
            <w:tcMar>
              <w:top w:w="0" w:type="dxa"/>
              <w:left w:w="0" w:type="dxa"/>
              <w:bottom w:w="0" w:type="dxa"/>
              <w:right w:w="0" w:type="dxa"/>
            </w:tcMar>
            <w:vAlign w:val="top"/>
          </w:tcPr>
          <w:p w14:paraId="2E0A70E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50/8878</w:t>
            </w:r>
          </w:p>
        </w:tc>
        <w:tc>
          <w:tcPr>
            <w:tcBorders>
              <w:top w:val="nil"/>
              <w:left w:val="nil"/>
              <w:bottom w:val="nil"/>
              <w:right w:val="nil"/>
            </w:tcBorders>
            <w:shd w:val="clear" w:color="auto" w:fill="FFFFFF"/>
            <w:tcMar>
              <w:top w:w="0" w:type="dxa"/>
              <w:left w:w="0" w:type="dxa"/>
              <w:bottom w:w="0" w:type="dxa"/>
              <w:right w:w="0" w:type="dxa"/>
            </w:tcMar>
            <w:vAlign w:val="top"/>
          </w:tcPr>
          <w:p w14:paraId="131099E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8.29e-07</w:t>
            </w:r>
          </w:p>
        </w:tc>
        <w:tc>
          <w:tcPr>
            <w:tcBorders>
              <w:top w:val="nil"/>
              <w:left w:val="nil"/>
              <w:bottom w:val="nil"/>
              <w:right w:val="nil"/>
            </w:tcBorders>
            <w:shd w:val="clear" w:color="auto" w:fill="FFFFFF"/>
            <w:tcMar>
              <w:top w:w="0" w:type="dxa"/>
              <w:left w:w="0" w:type="dxa"/>
              <w:bottom w:w="0" w:type="dxa"/>
              <w:right w:w="0" w:type="dxa"/>
            </w:tcMar>
            <w:vAlign w:val="top"/>
          </w:tcPr>
          <w:p w14:paraId="5BBFDFC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2.37e-05</w:t>
            </w:r>
          </w:p>
        </w:tc>
        <w:tc>
          <w:tcPr>
            <w:tcBorders>
              <w:top w:val="nil"/>
              <w:left w:val="nil"/>
              <w:bottom w:val="nil"/>
              <w:right w:val="nil"/>
            </w:tcBorders>
            <w:shd w:val="clear" w:color="auto" w:fill="FFFFFF"/>
            <w:tcMar>
              <w:top w:w="0" w:type="dxa"/>
              <w:left w:w="0" w:type="dxa"/>
              <w:bottom w:w="0" w:type="dxa"/>
              <w:right w:w="0" w:type="dxa"/>
            </w:tcMar>
            <w:vAlign w:val="top"/>
          </w:tcPr>
          <w:p w14:paraId="0CFAB11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1.101e-05</w:t>
            </w:r>
          </w:p>
        </w:tc>
        <w:tc>
          <w:tcPr>
            <w:tcBorders>
              <w:top w:val="nil"/>
              <w:left w:val="nil"/>
              <w:bottom w:val="nil"/>
              <w:right w:val="nil"/>
            </w:tcBorders>
            <w:shd w:val="clear" w:color="auto" w:fill="FFFFFF"/>
            <w:tcMar>
              <w:top w:w="0" w:type="dxa"/>
              <w:left w:w="0" w:type="dxa"/>
              <w:bottom w:w="0" w:type="dxa"/>
              <w:right w:w="0" w:type="dxa"/>
            </w:tcMar>
            <w:vAlign w:val="top"/>
          </w:tcPr>
          <w:p w14:paraId="6EBED98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3458/3...</w:t>
            </w:r>
          </w:p>
        </w:tc>
      </w:tr>
      <w:tr w14:paraId="3243EF2F">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3720D4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E3834F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16E4E2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9D6932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8606D7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A8821C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CEFE6D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A828B4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A1F995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2389C0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5401967A">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Figure+Table/3.6_ClusterProfiler_富集分析_(COMMON)/COMMON-KEGG-enrichment-data.xlsx)</w:t>
      </w:r>
    </w:p>
    <w:p w14:paraId="6A6EF087">
      <w:pPr>
        <w:pStyle w:val="3"/>
      </w:pPr>
      <w:r>
        <w:drawing>
          <wp:inline distT="0" distB="0" distL="0" distR="0">
            <wp:extent cx="5669280" cy="382333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stretch>
                      <a:fillRect/>
                    </a:stretch>
                  </pic:blipFill>
                  <pic:spPr>
                    <a:xfrm>
                      <a:off x="0" y="0"/>
                      <a:ext cx="78740" cy="53110"/>
                    </a:xfrm>
                    <a:prstGeom prst="rect">
                      <a:avLst/>
                    </a:prstGeom>
                    <a:noFill/>
                  </pic:spPr>
                </pic:pic>
              </a:graphicData>
            </a:graphic>
          </wp:inline>
        </w:drawing>
      </w:r>
    </w:p>
    <w:p w14:paraId="7983B19E">
      <w:pPr>
        <w:pStyle w:val="194"/>
      </w:pPr>
      <w:r>
        <w:rPr>
          <w:b/>
        </w:rPr>
        <w:t xml:space="preserve">Fig. </w:t>
      </w:r>
      <w:bookmarkStart w:id="28" w:name="COMMON-pathviews-hsa04066"/>
      <w:r>
        <w:rPr>
          <w:b/>
        </w:rPr>
        <w:fldChar w:fldCharType="begin"/>
      </w:r>
      <w:r>
        <w:rPr>
          <w:b/>
        </w:rPr>
        <w:instrText xml:space="preserve">SEQ fig: \* Arabic</w:instrText>
      </w:r>
      <w:r>
        <w:rPr>
          <w:b/>
        </w:rPr>
        <w:fldChar w:fldCharType="separate"/>
      </w:r>
      <w:r>
        <w:rPr>
          <w:b/>
        </w:rPr>
        <w:t>9</w:t>
      </w:r>
      <w:r>
        <w:rPr>
          <w:b/>
        </w:rPr>
        <w:fldChar w:fldCharType="end"/>
      </w:r>
      <w:bookmarkEnd w:id="28"/>
      <w:r>
        <w:rPr>
          <w:b/>
        </w:rPr>
        <w:t xml:space="preserve"> </w:t>
      </w:r>
      <w:r>
        <w:t>COMMON pathviews hsa04066</w:t>
      </w:r>
    </w:p>
    <w:p w14:paraId="7C98B09F">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Figure+Table/3.6_ClusterProfiler_富集分析_(COMMON)/COMMON-pathviews-hsa04066.png)</w:t>
      </w:r>
    </w:p>
    <w:p w14:paraId="21C37E8D">
      <w:pPr>
        <w:pStyle w:val="186"/>
        <w:numPr>
          <w:ilvl w:val="0"/>
          <w:numId w:val="2"/>
        </w:numPr>
      </w:pPr>
      <w:r>
        <w:t xml:space="preserve">Interactive figure: </w:t>
      </w:r>
      <w:r>
        <w:fldChar w:fldCharType="begin"/>
      </w:r>
      <w:r>
        <w:instrText xml:space="preserve"> HYPERLINK "https://www.genome.jp/pathway/hsa04066" \h </w:instrText>
      </w:r>
      <w:r>
        <w:fldChar w:fldCharType="separate"/>
      </w:r>
      <w:r>
        <w:rPr>
          <w:rStyle w:val="24"/>
        </w:rPr>
        <w:t>https://www.genome.jp/pathway/hsa04066</w:t>
      </w:r>
      <w:r>
        <w:rPr>
          <w:rStyle w:val="24"/>
        </w:rPr>
        <w:fldChar w:fldCharType="end"/>
      </w:r>
    </w:p>
    <w:p w14:paraId="602BB5A3">
      <w:pPr>
        <w:pStyle w:val="186"/>
        <w:numPr>
          <w:ilvl w:val="0"/>
          <w:numId w:val="2"/>
        </w:numPr>
      </w:pPr>
      <w:r>
        <w:t>Enriched genes: VEGFA, HIF1A, MTOR, TF, TIMP1, HMOX1, TLR4, IFNG, IL6</w:t>
      </w:r>
    </w:p>
    <w:p w14:paraId="7AA8D5CF">
      <w:pPr>
        <w:pStyle w:val="4"/>
      </w:pPr>
      <w:bookmarkStart w:id="29" w:name="geo-数据获取-ckd"/>
      <w:r>
        <w:t>3.7</w:t>
      </w:r>
      <w:r>
        <w:tab/>
        <w:t>GEO 数据获取 (CKD)</w:t>
      </w:r>
      <w:bookmarkEnd w:id="29"/>
    </w:p>
    <w:p w14:paraId="25543BCC">
      <w:pPr>
        <w:pStyle w:val="186"/>
        <w:numPr>
          <w:ilvl w:val="0"/>
          <w:numId w:val="2"/>
        </w:numPr>
      </w:pPr>
      <w:r>
        <w:t>Data Source ID: GSE66494</w:t>
      </w:r>
    </w:p>
    <w:p w14:paraId="53D530B0">
      <w:pPr>
        <w:pStyle w:val="186"/>
        <w:numPr>
          <w:ilvl w:val="0"/>
          <w:numId w:val="2"/>
        </w:numPr>
      </w:pPr>
      <w:r>
        <w:t>data_processing: The scanned images were analyzed with Feature Extraction Software (Agilent) using default parameters (protocol GE1_107_Sep09 and Grid: 014850_D_20070820) to obtain background subtracted and spatially detrended Processed Signal intensities. Features flagged in Feature Extraction as Feature Non-uniform outliers were excluded.</w:t>
      </w:r>
    </w:p>
    <w:p w14:paraId="18F14ED4">
      <w:pPr>
        <w:pStyle w:val="186"/>
        <w:numPr>
          <w:ilvl w:val="0"/>
          <w:numId w:val="2"/>
        </w:numPr>
      </w:pPr>
      <w:r>
        <w:t>data_processing.1: The signals were normalized with each median.</w:t>
      </w:r>
    </w:p>
    <w:p w14:paraId="6081C7E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(见Figure+Table/3.7_GEO_数据获取_(CKD)/CKD-GSE66494-content)</w:t>
      </w:r>
    </w:p>
    <w:p w14:paraId="0D4C8FAB">
      <w:pPr>
        <w:pStyle w:val="4"/>
      </w:pPr>
      <w:bookmarkStart w:id="30" w:name="limma-差异分析-ckd"/>
      <w:r>
        <w:t>3.8</w:t>
      </w:r>
      <w:r>
        <w:tab/>
        <w:t>Limma 差异分析 (CKD)</w:t>
      </w:r>
      <w:bookmarkEnd w:id="30"/>
    </w:p>
    <w:p w14:paraId="11944DB1">
      <w:pPr>
        <w:pStyle w:val="38"/>
      </w:pPr>
      <w:r>
        <w:t>样本分组：CKD (n=53) , Control (n=8) 。以 公式 ~ 0 + group + batch 创建设计矩阵 (design matrix) (Batch: Discovery (n=53) , Validation (n=8) )。差异分析：CKD vs Control。(若 A vs B，则为前者比后者，LogFC 大于 0 时，A 表达量高于 B)。 针对 VEGFA, HIF1A, MTOR, TF, TIMP1, HMOX1, TIMP1, TLR4, IFNG, IL6 (来自于通路 (hsa04066) 中的富集基因(Section: COMMON)) 差异分析。 上调或下调 DEGs 统计：up (n=1) , down (n=1)</w:t>
      </w:r>
    </w:p>
    <w:p w14:paraId="698ADCEA">
      <w:pPr>
        <w:pStyle w:val="3"/>
      </w:pPr>
      <w:r>
        <w:t xml:space="preserve">Fig. </w:t>
      </w:r>
      <w:r>
        <w:fldChar w:fldCharType="begin"/>
      </w:r>
      <w:r>
        <w:instrText xml:space="preserve"> HYPERLINK \l "CKD-CKD-vs-Control" \h </w:instrText>
      </w:r>
      <w:r>
        <w:fldChar w:fldCharType="separate"/>
      </w:r>
      <w:r>
        <w:fldChar w:fldCharType="begin"/>
      </w:r>
      <w:r>
        <w:instrText xml:space="preserve"> REF CKD-CKD-vs-Control \h</w:instrText>
      </w:r>
      <w:r>
        <w:fldChar w:fldCharType="separate"/>
      </w:r>
      <w:r>
        <w:rPr>
          <w:b/>
        </w:rPr>
        <w:t>10</w:t>
      </w:r>
      <w:r>
        <w:fldChar w:fldCharType="end"/>
      </w:r>
      <w:r>
        <w:fldChar w:fldCharType="end"/>
      </w:r>
      <w:r>
        <w:t xml:space="preserve"> 为 CKD - Control 差异分析火山图。 Fig. </w:t>
      </w:r>
      <w:r>
        <w:fldChar w:fldCharType="begin"/>
      </w:r>
      <w:r>
        <w:instrText xml:space="preserve"> HYPERLINK \l "CKD-Box-Plot-Of-DEGs" \h </w:instrText>
      </w:r>
      <w:r>
        <w:fldChar w:fldCharType="separate"/>
      </w:r>
      <w:r>
        <w:fldChar w:fldCharType="begin"/>
      </w:r>
      <w:r>
        <w:instrText xml:space="preserve"> REF CKD-Box-Plot-Of-DEGs \h</w:instrText>
      </w:r>
      <w:r>
        <w:fldChar w:fldCharType="separate"/>
      </w:r>
      <w:r>
        <w:rPr>
          <w:b/>
        </w:rPr>
        <w:t>11</w:t>
      </w:r>
      <w:r>
        <w:fldChar w:fldCharType="end"/>
      </w:r>
      <w:r>
        <w:fldChar w:fldCharType="end"/>
      </w:r>
      <w:r>
        <w:t xml:space="preserve"> 基因 VEGFA, TLR4 表达水平，以及对应的 limma 差异分析显著水平。 Tab. </w:t>
      </w:r>
      <w:r>
        <w:fldChar w:fldCharType="begin"/>
      </w:r>
      <w:r>
        <w:instrText xml:space="preserve"> HYPERLINK \l "CKD-data-CKD-vs-Control" \h </w:instrText>
      </w:r>
      <w:r>
        <w:fldChar w:fldCharType="separate"/>
      </w:r>
      <w:r>
        <w:fldChar w:fldCharType="begin"/>
      </w:r>
      <w:r>
        <w:instrText xml:space="preserve"> REF CKD-data-CKD-vs-Control \h</w:instrText>
      </w:r>
      <w:r>
        <w:fldChar w:fldCharType="separate"/>
      </w:r>
      <w:r>
        <w:rPr>
          <w:b/>
        </w:rPr>
        <w:t>5</w:t>
      </w:r>
      <w:r>
        <w:fldChar w:fldCharType="end"/>
      </w:r>
      <w:r>
        <w:fldChar w:fldCharType="end"/>
      </w:r>
      <w:r>
        <w:t xml:space="preserve"> 为 CKD - Control 差异分析统计表格。</w:t>
      </w:r>
    </w:p>
    <w:p w14:paraId="1CC2F2EC">
      <w:pPr>
        <w:pStyle w:val="3"/>
      </w:pPr>
      <w:r>
        <w:drawing>
          <wp:inline distT="0" distB="0" distL="0" distR="0">
            <wp:extent cx="5669280" cy="4535170"/>
            <wp:effectExtent l="0" t="0" r="762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8" cstate="print"/>
                    <a:stretch>
                      <a:fillRect/>
                    </a:stretch>
                  </pic:blipFill>
                  <pic:spPr>
                    <a:xfrm>
                      <a:off x="0" y="0"/>
                      <a:ext cx="78740" cy="62992"/>
                    </a:xfrm>
                    <a:prstGeom prst="rect">
                      <a:avLst/>
                    </a:prstGeom>
                    <a:noFill/>
                  </pic:spPr>
                </pic:pic>
              </a:graphicData>
            </a:graphic>
          </wp:inline>
        </w:drawing>
      </w:r>
    </w:p>
    <w:p w14:paraId="6CB3CF58">
      <w:pPr>
        <w:pStyle w:val="194"/>
      </w:pPr>
      <w:r>
        <w:rPr>
          <w:b/>
        </w:rPr>
        <w:t xml:space="preserve">Fig. </w:t>
      </w:r>
      <w:bookmarkStart w:id="31" w:name="CKD-CKD-vs-Control"/>
      <w:r>
        <w:rPr>
          <w:b/>
        </w:rPr>
        <w:fldChar w:fldCharType="begin"/>
      </w:r>
      <w:r>
        <w:rPr>
          <w:b/>
        </w:rPr>
        <w:instrText xml:space="preserve">SEQ fig: \* Arabic</w:instrText>
      </w:r>
      <w:r>
        <w:rPr>
          <w:b/>
        </w:rPr>
        <w:fldChar w:fldCharType="separate"/>
      </w:r>
      <w:r>
        <w:rPr>
          <w:b/>
        </w:rPr>
        <w:t>10</w:t>
      </w:r>
      <w:r>
        <w:rPr>
          <w:b/>
        </w:rPr>
        <w:fldChar w:fldCharType="end"/>
      </w:r>
      <w:bookmarkEnd w:id="31"/>
      <w:r>
        <w:rPr>
          <w:b/>
        </w:rPr>
        <w:t xml:space="preserve"> </w:t>
      </w:r>
      <w:r>
        <w:t>CKD CKD vs Control</w:t>
      </w:r>
    </w:p>
    <w:p w14:paraId="41ED57AA">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Figure+Table/3.8_Limma_差异分析_(CKD)/CKD-CKD-vs-Control.pdf)</w:t>
      </w:r>
    </w:p>
    <w:p w14:paraId="2DA89F64">
      <w:pPr>
        <w:pStyle w:val="186"/>
        <w:numPr>
          <w:ilvl w:val="0"/>
          <w:numId w:val="2"/>
        </w:numPr>
      </w:pPr>
      <w:r>
        <w:t>adj.P.Val cut-off: 0.05</w:t>
      </w:r>
    </w:p>
    <w:p w14:paraId="7B9D64FB">
      <w:pPr>
        <w:pStyle w:val="186"/>
        <w:numPr>
          <w:ilvl w:val="0"/>
          <w:numId w:val="2"/>
        </w:numPr>
      </w:pPr>
      <w:r>
        <w:t>Log2(FC) cut-off: 1</w:t>
      </w:r>
    </w:p>
    <w:p w14:paraId="30B5D813">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Figure+Table/3.8_Limma_差异分析_(CKD)/CKD-CKD-vs-Control-content)</w:t>
      </w:r>
    </w:p>
    <w:p w14:paraId="72168B68">
      <w:pPr>
        <w:pStyle w:val="38"/>
      </w:pPr>
      <w:r>
        <w:drawing>
          <wp:inline distT="0" distB="0" distL="0" distR="0">
            <wp:extent cx="3698875" cy="4572000"/>
            <wp:effectExtent l="0" t="0" r="158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cstate="print"/>
                    <a:stretch>
                      <a:fillRect/>
                    </a:stretch>
                  </pic:blipFill>
                  <pic:spPr>
                    <a:xfrm>
                      <a:off x="0" y="0"/>
                      <a:ext cx="51374" cy="63500"/>
                    </a:xfrm>
                    <a:prstGeom prst="rect">
                      <a:avLst/>
                    </a:prstGeom>
                    <a:noFill/>
                  </pic:spPr>
                </pic:pic>
              </a:graphicData>
            </a:graphic>
          </wp:inline>
        </w:drawing>
      </w:r>
    </w:p>
    <w:p w14:paraId="06D86A49">
      <w:pPr>
        <w:pStyle w:val="194"/>
      </w:pPr>
      <w:r>
        <w:rPr>
          <w:b/>
        </w:rPr>
        <w:t xml:space="preserve">Fig. </w:t>
      </w:r>
      <w:bookmarkStart w:id="32" w:name="CKD-Box-Plot-Of-DEGs"/>
      <w:r>
        <w:rPr>
          <w:b/>
        </w:rPr>
        <w:fldChar w:fldCharType="begin"/>
      </w:r>
      <w:r>
        <w:rPr>
          <w:b/>
        </w:rPr>
        <w:instrText xml:space="preserve">SEQ fig: \* Arabic</w:instrText>
      </w:r>
      <w:r>
        <w:rPr>
          <w:b/>
        </w:rPr>
        <w:fldChar w:fldCharType="separate"/>
      </w:r>
      <w:r>
        <w:rPr>
          <w:b/>
        </w:rPr>
        <w:t>11</w:t>
      </w:r>
      <w:r>
        <w:rPr>
          <w:b/>
        </w:rPr>
        <w:fldChar w:fldCharType="end"/>
      </w:r>
      <w:bookmarkEnd w:id="32"/>
      <w:r>
        <w:rPr>
          <w:b/>
        </w:rPr>
        <w:t xml:space="preserve"> </w:t>
      </w:r>
      <w:r>
        <w:t>CKD Box Plot Of DEGs</w:t>
      </w:r>
    </w:p>
    <w:p w14:paraId="1853DD3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Figure+Table/3.8_Limma_差异分析_(CKD)/CKD-Box-Plot-Of-DEGs.pdf)</w:t>
      </w:r>
    </w:p>
    <w:p w14:paraId="16A291D2">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33" w:name="CKD-data-CKD-vs-Control"/>
      <w:r>
        <w:rPr>
          <w:b/>
        </w:rPr>
        <w:fldChar w:fldCharType="begin"/>
      </w:r>
      <w:r>
        <w:rPr>
          <w:b/>
        </w:rPr>
        <w:instrText xml:space="preserve">SEQ tab \* Arabic</w:instrText>
      </w:r>
      <w:r>
        <w:rPr>
          <w:b/>
        </w:rPr>
        <w:fldChar w:fldCharType="separate"/>
      </w:r>
      <w:r>
        <w:rPr>
          <w:b/>
        </w:rPr>
        <w:t>5</w:t>
      </w:r>
      <w:r>
        <w:rPr>
          <w:b/>
        </w:rPr>
        <w:fldChar w:fldCharType="end"/>
      </w:r>
      <w:bookmarkEnd w:id="33"/>
      <w:r>
        <w:rPr>
          <w:b/>
        </w:rPr>
        <w:t xml:space="preserve">  </w:t>
      </w:r>
      <w:r>
        <w:t>CKD data CKD vs Control</w:t>
      </w:r>
    </w:p>
    <w:tbl>
      <w:tblPr>
        <w:tblStyle w:val="13"/>
        <w:tblW w:w="0" w:type="auto"/>
        <w:jc w:val="center"/>
        <w:tblLayout w:type="fixed"/>
        <w:tblCellMar>
          <w:top w:w="0" w:type="dxa"/>
          <w:left w:w="108" w:type="dxa"/>
          <w:bottom w:w="0" w:type="dxa"/>
          <w:right w:w="108" w:type="dxa"/>
        </w:tblCellMar>
      </w:tblPr>
      <w:tblGrid>
        <w:gridCol w:w="864"/>
        <w:gridCol w:w="864"/>
        <w:gridCol w:w="864"/>
        <w:gridCol w:w="864"/>
        <w:gridCol w:w="864"/>
        <w:gridCol w:w="864"/>
        <w:gridCol w:w="864"/>
        <w:gridCol w:w="864"/>
        <w:gridCol w:w="864"/>
        <w:gridCol w:w="864"/>
      </w:tblGrid>
      <w:tr w14:paraId="5642AD4E">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FF3267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 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821A0D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LogFC</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5F2C79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Adj.P.Val</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EE1CC9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Rownames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53F4E6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831609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SPOT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C1563A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CONTRO...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83B3DA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REFSEQ</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9F230C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GB ACC</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BE01BB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w:t>
            </w:r>
          </w:p>
        </w:tc>
      </w:tr>
      <w:tr w14:paraId="6B7ADA9C">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A0D770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VEGFA</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46A775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-1.452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E2DC7B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0.0006477</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09E7EA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23 P...</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D44CF4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23 P...</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999519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23 P...</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90F70D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FALSE</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CB8FA0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 001...</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29CE7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 001...</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1D88CC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7422</w:t>
            </w:r>
          </w:p>
        </w:tc>
      </w:tr>
      <w:tr w14:paraId="552F3544">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C94AE5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nil"/>
              <w:left w:val="nil"/>
              <w:bottom w:val="nil"/>
              <w:right w:val="nil"/>
            </w:tcBorders>
            <w:shd w:val="clear" w:color="auto" w:fill="FFFFFF"/>
            <w:tcMar>
              <w:top w:w="0" w:type="dxa"/>
              <w:left w:w="0" w:type="dxa"/>
              <w:bottom w:w="0" w:type="dxa"/>
              <w:right w:w="0" w:type="dxa"/>
            </w:tcMar>
            <w:vAlign w:val="top"/>
          </w:tcPr>
          <w:p w14:paraId="05A423C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1.204</w:t>
            </w:r>
          </w:p>
        </w:tc>
        <w:tc>
          <w:tcPr>
            <w:tcBorders>
              <w:top w:val="nil"/>
              <w:left w:val="nil"/>
              <w:bottom w:val="nil"/>
              <w:right w:val="nil"/>
            </w:tcBorders>
            <w:shd w:val="clear" w:color="auto" w:fill="FFFFFF"/>
            <w:tcMar>
              <w:top w:w="0" w:type="dxa"/>
              <w:left w:w="0" w:type="dxa"/>
              <w:bottom w:w="0" w:type="dxa"/>
              <w:right w:w="0" w:type="dxa"/>
            </w:tcMar>
            <w:vAlign w:val="top"/>
          </w:tcPr>
          <w:p w14:paraId="3E7F5D2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0.006397</w:t>
            </w:r>
          </w:p>
        </w:tc>
        <w:tc>
          <w:tcPr>
            <w:tcBorders>
              <w:top w:val="nil"/>
              <w:left w:val="nil"/>
              <w:bottom w:val="nil"/>
              <w:right w:val="nil"/>
            </w:tcBorders>
            <w:shd w:val="clear" w:color="auto" w:fill="FFFFFF"/>
            <w:tcMar>
              <w:top w:w="0" w:type="dxa"/>
              <w:left w:w="0" w:type="dxa"/>
              <w:bottom w:w="0" w:type="dxa"/>
              <w:right w:w="0" w:type="dxa"/>
            </w:tcMar>
            <w:vAlign w:val="top"/>
          </w:tcPr>
          <w:p w14:paraId="02084C9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32 P...</w:t>
            </w:r>
          </w:p>
        </w:tc>
        <w:tc>
          <w:tcPr>
            <w:tcBorders>
              <w:top w:val="nil"/>
              <w:left w:val="nil"/>
              <w:bottom w:val="nil"/>
              <w:right w:val="nil"/>
            </w:tcBorders>
            <w:shd w:val="clear" w:color="auto" w:fill="FFFFFF"/>
            <w:tcMar>
              <w:top w:w="0" w:type="dxa"/>
              <w:left w:w="0" w:type="dxa"/>
              <w:bottom w:w="0" w:type="dxa"/>
              <w:right w:w="0" w:type="dxa"/>
            </w:tcMar>
            <w:vAlign w:val="top"/>
          </w:tcPr>
          <w:p w14:paraId="425D5E7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32 P...</w:t>
            </w:r>
          </w:p>
        </w:tc>
        <w:tc>
          <w:tcPr>
            <w:tcBorders>
              <w:top w:val="nil"/>
              <w:left w:val="nil"/>
              <w:bottom w:val="nil"/>
              <w:right w:val="nil"/>
            </w:tcBorders>
            <w:shd w:val="clear" w:color="auto" w:fill="FFFFFF"/>
            <w:tcMar>
              <w:top w:w="0" w:type="dxa"/>
              <w:left w:w="0" w:type="dxa"/>
              <w:bottom w:w="0" w:type="dxa"/>
              <w:right w:w="0" w:type="dxa"/>
            </w:tcMar>
            <w:vAlign w:val="top"/>
          </w:tcPr>
          <w:p w14:paraId="17C1DC2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32 P...</w:t>
            </w:r>
          </w:p>
        </w:tc>
        <w:tc>
          <w:tcPr>
            <w:tcBorders>
              <w:top w:val="nil"/>
              <w:left w:val="nil"/>
              <w:bottom w:val="nil"/>
              <w:right w:val="nil"/>
            </w:tcBorders>
            <w:shd w:val="clear" w:color="auto" w:fill="FFFFFF"/>
            <w:tcMar>
              <w:top w:w="0" w:type="dxa"/>
              <w:left w:w="0" w:type="dxa"/>
              <w:bottom w:w="0" w:type="dxa"/>
              <w:right w:w="0" w:type="dxa"/>
            </w:tcMar>
            <w:vAlign w:val="top"/>
          </w:tcPr>
          <w:p w14:paraId="1FDE37B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FALSE</w:t>
            </w:r>
          </w:p>
        </w:tc>
        <w:tc>
          <w:tcPr>
            <w:tcBorders>
              <w:top w:val="nil"/>
              <w:left w:val="nil"/>
              <w:bottom w:val="nil"/>
              <w:right w:val="nil"/>
            </w:tcBorders>
            <w:shd w:val="clear" w:color="auto" w:fill="FFFFFF"/>
            <w:tcMar>
              <w:top w:w="0" w:type="dxa"/>
              <w:left w:w="0" w:type="dxa"/>
              <w:bottom w:w="0" w:type="dxa"/>
              <w:right w:w="0" w:type="dxa"/>
            </w:tcMar>
            <w:vAlign w:val="top"/>
          </w:tcPr>
          <w:p w14:paraId="16DDA3A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 138554</w:t>
            </w:r>
          </w:p>
        </w:tc>
        <w:tc>
          <w:tcPr>
            <w:tcBorders>
              <w:top w:val="nil"/>
              <w:left w:val="nil"/>
              <w:bottom w:val="nil"/>
              <w:right w:val="nil"/>
            </w:tcBorders>
            <w:shd w:val="clear" w:color="auto" w:fill="FFFFFF"/>
            <w:tcMar>
              <w:top w:w="0" w:type="dxa"/>
              <w:left w:w="0" w:type="dxa"/>
              <w:bottom w:w="0" w:type="dxa"/>
              <w:right w:w="0" w:type="dxa"/>
            </w:tcMar>
            <w:vAlign w:val="top"/>
          </w:tcPr>
          <w:p w14:paraId="69C2A54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 138554</w:t>
            </w:r>
          </w:p>
        </w:tc>
        <w:tc>
          <w:tcPr>
            <w:tcBorders>
              <w:top w:val="nil"/>
              <w:left w:val="nil"/>
              <w:bottom w:val="nil"/>
              <w:right w:val="nil"/>
            </w:tcBorders>
            <w:shd w:val="clear" w:color="auto" w:fill="FFFFFF"/>
            <w:tcMar>
              <w:top w:w="0" w:type="dxa"/>
              <w:left w:w="0" w:type="dxa"/>
              <w:bottom w:w="0" w:type="dxa"/>
              <w:right w:w="0" w:type="dxa"/>
            </w:tcMar>
            <w:vAlign w:val="top"/>
          </w:tcPr>
          <w:p w14:paraId="2B54B6B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7099</w:t>
            </w:r>
          </w:p>
        </w:tc>
      </w:tr>
      <w:tr w14:paraId="67A29658">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2A1270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VEGFA</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3362CE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-1.204</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69FBD6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0.01087</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CE8E49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24 P...</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A9899D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24 P...</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5FD5AF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 24 P...</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8EE8E5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FALSE</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3411D3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 001...</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1137F4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 001...</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82CD5E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7422</w:t>
            </w:r>
          </w:p>
        </w:tc>
      </w:tr>
    </w:tbl>
    <w:p w14:paraId="44A37AC7">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Figure+Table/3.8_Limma_差异分析_(CKD)/CKD-data-CKD-vs-Control.xlsx)</w:t>
      </w:r>
    </w:p>
    <w:p w14:paraId="641FF179">
      <w:pPr>
        <w:pStyle w:val="4"/>
      </w:pPr>
      <w:bookmarkStart w:id="34" w:name="autodock-vina-分子对接-qingxin"/>
      <w:r>
        <w:t>3.9</w:t>
      </w:r>
      <w:r>
        <w:tab/>
        <w:t>AutoDock vina 分子对接 (QINGXIN)</w:t>
      </w:r>
      <w:bookmarkEnd w:id="34"/>
    </w:p>
    <w:p w14:paraId="5E3F1D8A">
      <w:pPr>
        <w:pStyle w:val="38"/>
      </w:pPr>
      <w:r>
        <w:t xml:space="preserve">对基因集 (TLR4, 来自于Pathview 通路可视化(Section: COMMON)) 进行AutoDock vina 分子对接。含靶点基因的化合物与对应的中药统计：CHI SHAO (n=7) , DI GU PI (n=3) , GAN CAO (n=2) , HUANG QI (n=1) , HUANG QIN (n=8) , MAI DONG (n=2) , REN SHEN (n=9) 。用于分子对接的靶点对应化合物统计：TLR4 (n=19) 。以 </w:t>
      </w:r>
      <w:r>
        <w:rPr>
          <w:rStyle w:val="197"/>
        </w:rPr>
        <w:t>biomaRt</w:t>
      </w:r>
      <w:r>
        <w:t xml:space="preserve"> 获取基因 Symbol 对应的蛋白结构 (PDB，详见方法章节)。选取分辨率最高 (即，resolution 值最小) 的 PDB 作为分子对接的蛋白结构。从 PubChem 获取化合物 SDF 结构文件(2D)。以 </w:t>
      </w:r>
      <w:r>
        <w:rPr>
          <w:rStyle w:val="197"/>
        </w:rPr>
        <w:t>openbabel</w:t>
      </w:r>
      <w:r>
        <w:t xml:space="preserve"> 计算化合物的 3D 构象。以 </w:t>
      </w:r>
      <w:r>
        <w:rPr>
          <w:rStyle w:val="197"/>
        </w:rPr>
        <w:t>meeko</w:t>
      </w:r>
      <w:r>
        <w:t xml:space="preserve"> 从 SDF 转化得到配体的 PDBQT 文件。从 RCSB PDB 获取 PDB 文件。以 </w:t>
      </w:r>
      <w:r>
        <w:rPr>
          <w:rStyle w:val="197"/>
        </w:rPr>
        <w:t>pymol</w:t>
      </w:r>
      <w:r>
        <w:t xml:space="preserve"> 去除非标准残基 (NAG, BMA, FUL)。以 </w:t>
      </w:r>
      <w:r>
        <w:rPr>
          <w:rStyle w:val="197"/>
        </w:rPr>
        <w:t>ADFR</w:t>
      </w:r>
      <w:r>
        <w:t xml:space="preserve"> 工具给受体添加氢原子，转化为 PDBQT 文件。以 </w:t>
      </w:r>
      <w:r>
        <w:rPr>
          <w:rStyle w:val="197"/>
        </w:rPr>
        <w:t>ADFR</w:t>
      </w:r>
      <w:r>
        <w:t xml:space="preserve"> 创建 Affinity Maps (详见方法章节) 。以 </w:t>
      </w:r>
      <w:r>
        <w:rPr>
          <w:rStyle w:val="197"/>
        </w:rPr>
        <w:t>A</w:t>
      </w:r>
      <w:bookmarkStart w:id="58" w:name="_GoBack"/>
      <w:bookmarkEnd w:id="58"/>
      <w:r>
        <w:rPr>
          <w:rStyle w:val="197"/>
        </w:rPr>
        <w:t>utodock-Vina</w:t>
      </w:r>
      <w:r>
        <w:t xml:space="preserve"> 进行自动分子对接。使用 </w:t>
      </w:r>
      <w:r>
        <w:rPr>
          <w:rStyle w:val="197"/>
        </w:rPr>
        <w:t>pymol</w:t>
      </w:r>
      <w:r>
        <w:t xml:space="preserve"> 将分子对接结果可视化。</w:t>
      </w:r>
    </w:p>
    <w:p w14:paraId="7CF4AE91">
      <w:pPr>
        <w:pStyle w:val="3"/>
      </w:pPr>
      <w:r>
        <w:t xml:space="preserve">Tab. </w:t>
      </w:r>
      <w:r>
        <w:fldChar w:fldCharType="begin"/>
      </w:r>
      <w:r>
        <w:instrText xml:space="preserve"> HYPERLINK \l "QINGXIN-herbs-compounds-and-targets-for-docking" \h </w:instrText>
      </w:r>
      <w:r>
        <w:fldChar w:fldCharType="separate"/>
      </w:r>
      <w:r>
        <w:fldChar w:fldCharType="begin"/>
      </w:r>
      <w:r>
        <w:instrText xml:space="preserve"> REF QINGXIN-herbs-compounds-and-targets-for-docking \h</w:instrText>
      </w:r>
      <w:r>
        <w:fldChar w:fldCharType="separate"/>
      </w:r>
      <w:r>
        <w:rPr>
          <w:b/>
        </w:rPr>
        <w:t>6</w:t>
      </w:r>
      <w:r>
        <w:fldChar w:fldCharType="end"/>
      </w:r>
      <w:r>
        <w:fldChar w:fldCharType="end"/>
      </w:r>
      <w:r>
        <w:t xml:space="preserve"> 含靶点基因的化合物和对应中药的附表 (Ingredient.id 为 PubChem CID)。 Tab. </w:t>
      </w:r>
      <w:r>
        <w:fldChar w:fldCharType="begin"/>
      </w:r>
      <w:r>
        <w:instrText xml:space="preserve"> HYPERLINK \l "QINGXIN-compounds-and-targets-for-docking" \h </w:instrText>
      </w:r>
      <w:r>
        <w:fldChar w:fldCharType="separate"/>
      </w:r>
      <w:r>
        <w:fldChar w:fldCharType="begin"/>
      </w:r>
      <w:r>
        <w:instrText xml:space="preserve"> REF QINGXIN-compounds-and-targets-for-docking \h</w:instrText>
      </w:r>
      <w:r>
        <w:fldChar w:fldCharType="separate"/>
      </w:r>
      <w:r>
        <w:rPr>
          <w:b/>
        </w:rPr>
        <w:t>7</w:t>
      </w:r>
      <w:r>
        <w:fldChar w:fldCharType="end"/>
      </w:r>
      <w:r>
        <w:fldChar w:fldCharType="end"/>
      </w:r>
      <w:r>
        <w:t xml:space="preserve"> 将用于分子对接的化合物和靶点组合。 Tab. </w:t>
      </w:r>
      <w:r>
        <w:fldChar w:fldCharType="begin"/>
      </w:r>
      <w:r>
        <w:instrText xml:space="preserve"> HYPERLINK \l "QINGXIN-proteins-used-PDB" \h </w:instrText>
      </w:r>
      <w:r>
        <w:fldChar w:fldCharType="separate"/>
      </w:r>
      <w:r>
        <w:fldChar w:fldCharType="begin"/>
      </w:r>
      <w:r>
        <w:instrText xml:space="preserve"> REF QINGXIN-proteins-used-PDB \h</w:instrText>
      </w:r>
      <w:r>
        <w:fldChar w:fldCharType="separate"/>
      </w:r>
      <w:r>
        <w:rPr>
          <w:b/>
        </w:rPr>
        <w:t>8</w:t>
      </w:r>
      <w:r>
        <w:fldChar w:fldCharType="end"/>
      </w:r>
      <w:r>
        <w:fldChar w:fldCharType="end"/>
      </w:r>
      <w:r>
        <w:t xml:space="preserve"> 基因 Symbol 所用的蛋白结构，以及对应的 PDB ID 和分辨率。 Fig. </w:t>
      </w:r>
      <w:r>
        <w:fldChar w:fldCharType="begin"/>
      </w:r>
      <w:r>
        <w:instrText xml:space="preserve"> HYPERLINK \l "QINGXIN-Overall-combining-Affinity" \h </w:instrText>
      </w:r>
      <w:r>
        <w:fldChar w:fldCharType="separate"/>
      </w:r>
      <w:r>
        <w:fldChar w:fldCharType="begin"/>
      </w:r>
      <w:r>
        <w:instrText xml:space="preserve"> REF QINGXIN-Overall-combining-Affinity \h</w:instrText>
      </w:r>
      <w:r>
        <w:fldChar w:fldCharType="separate"/>
      </w:r>
      <w:r>
        <w:rPr>
          <w:b/>
        </w:rPr>
        <w:t>12</w:t>
      </w:r>
      <w:r>
        <w:fldChar w:fldCharType="end"/>
      </w:r>
      <w:r>
        <w:fldChar w:fldCharType="end"/>
      </w:r>
      <w:r>
        <w:t xml:space="preserve"> 为分子对接亲和度得分可视化，能量越低，代表亲和度越高。 Tab. </w:t>
      </w:r>
      <w:r>
        <w:fldChar w:fldCharType="begin"/>
      </w:r>
      <w:r>
        <w:instrText xml:space="preserve"> HYPERLINK \l "QINGXIN-All-combining-Affinity-data" \h </w:instrText>
      </w:r>
      <w:r>
        <w:fldChar w:fldCharType="separate"/>
      </w:r>
      <w:r>
        <w:fldChar w:fldCharType="begin"/>
      </w:r>
      <w:r>
        <w:instrText xml:space="preserve"> REF QINGXIN-All-combining-Affinity-data \h</w:instrText>
      </w:r>
      <w:r>
        <w:fldChar w:fldCharType="separate"/>
      </w:r>
      <w:r>
        <w:rPr>
          <w:b/>
        </w:rPr>
        <w:t>9</w:t>
      </w:r>
      <w:r>
        <w:fldChar w:fldCharType="end"/>
      </w:r>
      <w:r>
        <w:fldChar w:fldCharType="end"/>
      </w:r>
      <w:r>
        <w:t xml:space="preserve"> 分子对接得分 (亲和度) 附表。 Fig. </w:t>
      </w:r>
      <w:r>
        <w:fldChar w:fldCharType="begin"/>
      </w:r>
      <w:r>
        <w:instrText xml:space="preserve"> HYPERLINK \l "Docking-91424-into-2z62" \h </w:instrText>
      </w:r>
      <w:r>
        <w:fldChar w:fldCharType="separate"/>
      </w:r>
      <w:r>
        <w:fldChar w:fldCharType="begin"/>
      </w:r>
      <w:r>
        <w:instrText xml:space="preserve"> REF Docking-91424-into-2z62 \h</w:instrText>
      </w:r>
      <w:r>
        <w:fldChar w:fldCharType="separate"/>
      </w:r>
      <w:r>
        <w:rPr>
          <w:b/>
        </w:rPr>
        <w:t>13</w:t>
      </w:r>
      <w:r>
        <w:fldChar w:fldCharType="end"/>
      </w:r>
      <w:r>
        <w:fldChar w:fldCharType="end"/>
      </w:r>
      <w:r>
        <w:t xml:space="preserve"> 分子对接结果。蛋白(Symbol: TLR4) (PDB: 2z62) 与化合物 (name: 2-Methylpentadecanoic acid) (PubChem CID: 91424)，亲和度为 -7.095。</w:t>
      </w:r>
    </w:p>
    <w:p w14:paraId="763997DD">
      <w:pPr>
        <w:pStyle w:val="3"/>
      </w:pPr>
      <w:r>
        <w:t xml:space="preserve">Fig. </w:t>
      </w:r>
      <w:r>
        <w:fldChar w:fldCharType="begin"/>
      </w:r>
      <w:r>
        <w:instrText xml:space="preserve"> HYPERLINK \l "Docking-91424-into-2z62" \h </w:instrText>
      </w:r>
      <w:r>
        <w:fldChar w:fldCharType="separate"/>
      </w:r>
      <w:r>
        <w:fldChar w:fldCharType="begin"/>
      </w:r>
      <w:r>
        <w:instrText xml:space="preserve"> REF Docking-91424-into-2z62 \h</w:instrText>
      </w:r>
      <w:r>
        <w:fldChar w:fldCharType="separate"/>
      </w:r>
      <w:r>
        <w:rPr>
          <w:b/>
        </w:rPr>
        <w:t>13</w:t>
      </w:r>
      <w:r>
        <w:fldChar w:fldCharType="end"/>
      </w:r>
      <w:r>
        <w:fldChar w:fldCharType="end"/>
      </w:r>
      <w:r>
        <w:t xml:space="preserve"> 为最佳分子对接结果。 Fig. </w:t>
      </w:r>
      <w:r>
        <w:fldChar w:fldCharType="begin"/>
      </w:r>
      <w:r>
        <w:instrText xml:space="preserve"> HYPERLINK \l "Docking-91424-into-2z62-detail" \h </w:instrText>
      </w:r>
      <w:r>
        <w:fldChar w:fldCharType="separate"/>
      </w:r>
      <w:r>
        <w:fldChar w:fldCharType="begin"/>
      </w:r>
      <w:r>
        <w:instrText xml:space="preserve"> REF Docking-91424-into-2z62-detail \h</w:instrText>
      </w:r>
      <w:r>
        <w:fldChar w:fldCharType="separate"/>
      </w:r>
      <w:r>
        <w:rPr>
          <w:b/>
        </w:rPr>
        <w:t>14</w:t>
      </w:r>
      <w:r>
        <w:fldChar w:fldCharType="end"/>
      </w:r>
      <w:r>
        <w:fldChar w:fldCharType="end"/>
      </w:r>
      <w:r>
        <w:t xml:space="preserve"> 分子对接结果局部细节。图中展示了蛋白(Symbol: TLR4) (PDB: 2z62) 与化合物 (name: 2-Methylpentadecanoic acid) (PubChem CID: 91424) 之间的氢键结合。</w:t>
      </w:r>
    </w:p>
    <w:p w14:paraId="6BB5706D">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35" w:name="QINGXIN-herbs-compounds-and-targets-for-docking"/>
      <w:r>
        <w:rPr>
          <w:b/>
        </w:rPr>
        <w:fldChar w:fldCharType="begin"/>
      </w:r>
      <w:r>
        <w:rPr>
          <w:b/>
        </w:rPr>
        <w:instrText xml:space="preserve">SEQ tab \* Arabic</w:instrText>
      </w:r>
      <w:r>
        <w:rPr>
          <w:b/>
        </w:rPr>
        <w:fldChar w:fldCharType="separate"/>
      </w:r>
      <w:r>
        <w:rPr>
          <w:b/>
        </w:rPr>
        <w:t>6</w:t>
      </w:r>
      <w:r>
        <w:rPr>
          <w:b/>
        </w:rPr>
        <w:fldChar w:fldCharType="end"/>
      </w:r>
      <w:bookmarkEnd w:id="35"/>
      <w:r>
        <w:rPr>
          <w:b/>
        </w:rPr>
        <w:t xml:space="preserve">  </w:t>
      </w:r>
      <w:r>
        <w:t>QINGXIN herbs compounds and targets for docking</w:t>
      </w:r>
    </w:p>
    <w:tbl>
      <w:tblPr>
        <w:tblStyle w:val="13"/>
        <w:tblW w:w="0" w:type="auto"/>
        <w:jc w:val="center"/>
        <w:tblLayout w:type="fixed"/>
        <w:tblCellMar>
          <w:top w:w="0" w:type="dxa"/>
          <w:left w:w="108" w:type="dxa"/>
          <w:bottom w:w="0" w:type="dxa"/>
          <w:right w:w="108" w:type="dxa"/>
        </w:tblCellMar>
      </w:tblPr>
      <w:tblGrid>
        <w:gridCol w:w="2160"/>
        <w:gridCol w:w="2160"/>
        <w:gridCol w:w="2160"/>
        <w:gridCol w:w="2160"/>
      </w:tblGrid>
      <w:tr w14:paraId="74D515ED">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6F5BBA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BCBC3D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Herb pinyin 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8AED96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70506E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Target.name</w:t>
            </w:r>
          </w:p>
        </w:tc>
      </w:tr>
      <w:tr w14:paraId="67CE678F">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7C6F8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379</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048AFF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QIN</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526F94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Caprylsaeure</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84219C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54EDAED6">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628435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985</w:t>
            </w:r>
          </w:p>
        </w:tc>
        <w:tc>
          <w:tcPr>
            <w:tcBorders>
              <w:top w:val="nil"/>
              <w:left w:val="nil"/>
              <w:bottom w:val="nil"/>
              <w:right w:val="nil"/>
            </w:tcBorders>
            <w:shd w:val="clear" w:color="auto" w:fill="FFFFFF"/>
            <w:tcMar>
              <w:top w:w="0" w:type="dxa"/>
              <w:left w:w="0" w:type="dxa"/>
              <w:bottom w:w="0" w:type="dxa"/>
              <w:right w:w="0" w:type="dxa"/>
            </w:tcMar>
            <w:vAlign w:val="top"/>
          </w:tcPr>
          <w:p w14:paraId="6B91443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CHI SHAO</w:t>
            </w:r>
          </w:p>
        </w:tc>
        <w:tc>
          <w:tcPr>
            <w:tcBorders>
              <w:top w:val="nil"/>
              <w:left w:val="nil"/>
              <w:bottom w:val="nil"/>
              <w:right w:val="nil"/>
            </w:tcBorders>
            <w:shd w:val="clear" w:color="auto" w:fill="FFFFFF"/>
            <w:tcMar>
              <w:top w:w="0" w:type="dxa"/>
              <w:left w:w="0" w:type="dxa"/>
              <w:bottom w:w="0" w:type="dxa"/>
              <w:right w:w="0" w:type="dxa"/>
            </w:tcMar>
            <w:vAlign w:val="top"/>
          </w:tcPr>
          <w:p w14:paraId="1BEF37F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Palmitate</w:t>
            </w:r>
          </w:p>
        </w:tc>
        <w:tc>
          <w:tcPr>
            <w:tcBorders>
              <w:top w:val="nil"/>
              <w:left w:val="nil"/>
              <w:bottom w:val="nil"/>
              <w:right w:val="nil"/>
            </w:tcBorders>
            <w:shd w:val="clear" w:color="auto" w:fill="FFFFFF"/>
            <w:tcMar>
              <w:top w:w="0" w:type="dxa"/>
              <w:left w:w="0" w:type="dxa"/>
              <w:bottom w:w="0" w:type="dxa"/>
              <w:right w:w="0" w:type="dxa"/>
            </w:tcMar>
            <w:vAlign w:val="top"/>
          </w:tcPr>
          <w:p w14:paraId="6C4152C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2329BC89">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3658E6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985</w:t>
            </w:r>
          </w:p>
        </w:tc>
        <w:tc>
          <w:tcPr>
            <w:tcBorders>
              <w:top w:val="nil"/>
              <w:left w:val="nil"/>
              <w:bottom w:val="nil"/>
              <w:right w:val="nil"/>
            </w:tcBorders>
            <w:shd w:val="clear" w:color="auto" w:fill="FFFFFF"/>
            <w:tcMar>
              <w:top w:w="0" w:type="dxa"/>
              <w:left w:w="0" w:type="dxa"/>
              <w:bottom w:w="0" w:type="dxa"/>
              <w:right w:w="0" w:type="dxa"/>
            </w:tcMar>
            <w:vAlign w:val="top"/>
          </w:tcPr>
          <w:p w14:paraId="1A665CF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DI GU PI</w:t>
            </w:r>
          </w:p>
        </w:tc>
        <w:tc>
          <w:tcPr>
            <w:tcBorders>
              <w:top w:val="nil"/>
              <w:left w:val="nil"/>
              <w:bottom w:val="nil"/>
              <w:right w:val="nil"/>
            </w:tcBorders>
            <w:shd w:val="clear" w:color="auto" w:fill="FFFFFF"/>
            <w:tcMar>
              <w:top w:w="0" w:type="dxa"/>
              <w:left w:w="0" w:type="dxa"/>
              <w:bottom w:w="0" w:type="dxa"/>
              <w:right w:w="0" w:type="dxa"/>
            </w:tcMar>
            <w:vAlign w:val="top"/>
          </w:tcPr>
          <w:p w14:paraId="3ED4D42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Palmitate</w:t>
            </w:r>
          </w:p>
        </w:tc>
        <w:tc>
          <w:tcPr>
            <w:tcBorders>
              <w:top w:val="nil"/>
              <w:left w:val="nil"/>
              <w:bottom w:val="nil"/>
              <w:right w:val="nil"/>
            </w:tcBorders>
            <w:shd w:val="clear" w:color="auto" w:fill="FFFFFF"/>
            <w:tcMar>
              <w:top w:w="0" w:type="dxa"/>
              <w:left w:w="0" w:type="dxa"/>
              <w:bottom w:w="0" w:type="dxa"/>
              <w:right w:w="0" w:type="dxa"/>
            </w:tcMar>
            <w:vAlign w:val="top"/>
          </w:tcPr>
          <w:p w14:paraId="7E114F3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0CE30D50">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73ABFE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985</w:t>
            </w:r>
          </w:p>
        </w:tc>
        <w:tc>
          <w:tcPr>
            <w:tcBorders>
              <w:top w:val="nil"/>
              <w:left w:val="nil"/>
              <w:bottom w:val="nil"/>
              <w:right w:val="nil"/>
            </w:tcBorders>
            <w:shd w:val="clear" w:color="auto" w:fill="FFFFFF"/>
            <w:tcMar>
              <w:top w:w="0" w:type="dxa"/>
              <w:left w:w="0" w:type="dxa"/>
              <w:bottom w:w="0" w:type="dxa"/>
              <w:right w:w="0" w:type="dxa"/>
            </w:tcMar>
            <w:vAlign w:val="top"/>
          </w:tcPr>
          <w:p w14:paraId="01A06DE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7FB9AD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Palmitate</w:t>
            </w:r>
          </w:p>
        </w:tc>
        <w:tc>
          <w:tcPr>
            <w:tcBorders>
              <w:top w:val="nil"/>
              <w:left w:val="nil"/>
              <w:bottom w:val="nil"/>
              <w:right w:val="nil"/>
            </w:tcBorders>
            <w:shd w:val="clear" w:color="auto" w:fill="FFFFFF"/>
            <w:tcMar>
              <w:top w:w="0" w:type="dxa"/>
              <w:left w:w="0" w:type="dxa"/>
              <w:bottom w:w="0" w:type="dxa"/>
              <w:right w:w="0" w:type="dxa"/>
            </w:tcMar>
            <w:vAlign w:val="top"/>
          </w:tcPr>
          <w:p w14:paraId="6DC957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35EEB2D1">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04DBADB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985</w:t>
            </w:r>
          </w:p>
        </w:tc>
        <w:tc>
          <w:tcPr>
            <w:tcBorders>
              <w:top w:val="nil"/>
              <w:left w:val="nil"/>
              <w:bottom w:val="nil"/>
              <w:right w:val="nil"/>
            </w:tcBorders>
            <w:shd w:val="clear" w:color="auto" w:fill="FFFFFF"/>
            <w:tcMar>
              <w:top w:w="0" w:type="dxa"/>
              <w:left w:w="0" w:type="dxa"/>
              <w:bottom w:w="0" w:type="dxa"/>
              <w:right w:w="0" w:type="dxa"/>
            </w:tcMar>
            <w:vAlign w:val="top"/>
          </w:tcPr>
          <w:p w14:paraId="362EF71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QIN</w:t>
            </w:r>
          </w:p>
        </w:tc>
        <w:tc>
          <w:tcPr>
            <w:tcBorders>
              <w:top w:val="nil"/>
              <w:left w:val="nil"/>
              <w:bottom w:val="nil"/>
              <w:right w:val="nil"/>
            </w:tcBorders>
            <w:shd w:val="clear" w:color="auto" w:fill="FFFFFF"/>
            <w:tcMar>
              <w:top w:w="0" w:type="dxa"/>
              <w:left w:w="0" w:type="dxa"/>
              <w:bottom w:w="0" w:type="dxa"/>
              <w:right w:w="0" w:type="dxa"/>
            </w:tcMar>
            <w:vAlign w:val="top"/>
          </w:tcPr>
          <w:p w14:paraId="4146AD0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Palmitate</w:t>
            </w:r>
          </w:p>
        </w:tc>
        <w:tc>
          <w:tcPr>
            <w:tcBorders>
              <w:top w:val="nil"/>
              <w:left w:val="nil"/>
              <w:bottom w:val="nil"/>
              <w:right w:val="nil"/>
            </w:tcBorders>
            <w:shd w:val="clear" w:color="auto" w:fill="FFFFFF"/>
            <w:tcMar>
              <w:top w:w="0" w:type="dxa"/>
              <w:left w:w="0" w:type="dxa"/>
              <w:bottom w:w="0" w:type="dxa"/>
              <w:right w:w="0" w:type="dxa"/>
            </w:tcMar>
            <w:vAlign w:val="top"/>
          </w:tcPr>
          <w:p w14:paraId="353E955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2130A6A8">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5D8493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66DEB3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253282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31EA67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0B099AFE">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Figure+Table/3.9_AutoDock_vina_分子对接_(QINGXIN)/QINGXIN-herbs-compounds-and-targets-for-docking.csv)</w:t>
      </w:r>
    </w:p>
    <w:p w14:paraId="61279FA8">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36" w:name="QINGXIN-compounds-and-targets-for-docking"/>
      <w:r>
        <w:rPr>
          <w:b/>
        </w:rPr>
        <w:fldChar w:fldCharType="begin"/>
      </w:r>
      <w:r>
        <w:rPr>
          <w:b/>
        </w:rPr>
        <w:instrText xml:space="preserve">SEQ tab \* Arabic</w:instrText>
      </w:r>
      <w:r>
        <w:rPr>
          <w:b/>
        </w:rPr>
        <w:fldChar w:fldCharType="separate"/>
      </w:r>
      <w:r>
        <w:rPr>
          <w:b/>
        </w:rPr>
        <w:t>7</w:t>
      </w:r>
      <w:r>
        <w:rPr>
          <w:b/>
        </w:rPr>
        <w:fldChar w:fldCharType="end"/>
      </w:r>
      <w:bookmarkEnd w:id="36"/>
      <w:r>
        <w:rPr>
          <w:b/>
        </w:rPr>
        <w:t xml:space="preserve">  </w:t>
      </w:r>
      <w:r>
        <w:t>QINGXIN compounds and targets for docking</w:t>
      </w:r>
    </w:p>
    <w:tbl>
      <w:tblPr>
        <w:tblStyle w:val="13"/>
        <w:tblW w:w="0" w:type="auto"/>
        <w:jc w:val="center"/>
        <w:tblLayout w:type="fixed"/>
        <w:tblCellMar>
          <w:top w:w="0" w:type="dxa"/>
          <w:left w:w="108" w:type="dxa"/>
          <w:bottom w:w="0" w:type="dxa"/>
          <w:right w:w="108" w:type="dxa"/>
        </w:tblCellMar>
      </w:tblPr>
      <w:tblGrid>
        <w:gridCol w:w="2880"/>
        <w:gridCol w:w="2880"/>
        <w:gridCol w:w="2880"/>
      </w:tblGrid>
      <w:tr w14:paraId="5D95AF18">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444C08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4BFDE3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27EDA1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Target.name</w:t>
            </w:r>
          </w:p>
        </w:tc>
      </w:tr>
      <w:tr w14:paraId="3AA7E775">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5E08F5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379</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E5EA30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Caprylsaeure</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89519C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60532A47">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665C80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985</w:t>
            </w:r>
          </w:p>
        </w:tc>
        <w:tc>
          <w:tcPr>
            <w:tcBorders>
              <w:top w:val="nil"/>
              <w:left w:val="nil"/>
              <w:bottom w:val="nil"/>
              <w:right w:val="nil"/>
            </w:tcBorders>
            <w:shd w:val="clear" w:color="auto" w:fill="FFFFFF"/>
            <w:tcMar>
              <w:top w:w="0" w:type="dxa"/>
              <w:left w:w="0" w:type="dxa"/>
              <w:bottom w:w="0" w:type="dxa"/>
              <w:right w:w="0" w:type="dxa"/>
            </w:tcMar>
            <w:vAlign w:val="top"/>
          </w:tcPr>
          <w:p w14:paraId="2277C5F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Palmitate</w:t>
            </w:r>
          </w:p>
        </w:tc>
        <w:tc>
          <w:tcPr>
            <w:tcBorders>
              <w:top w:val="nil"/>
              <w:left w:val="nil"/>
              <w:bottom w:val="nil"/>
              <w:right w:val="nil"/>
            </w:tcBorders>
            <w:shd w:val="clear" w:color="auto" w:fill="FFFFFF"/>
            <w:tcMar>
              <w:top w:w="0" w:type="dxa"/>
              <w:left w:w="0" w:type="dxa"/>
              <w:bottom w:w="0" w:type="dxa"/>
              <w:right w:w="0" w:type="dxa"/>
            </w:tcMar>
            <w:vAlign w:val="top"/>
          </w:tcPr>
          <w:p w14:paraId="427C19C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7BF58D2C">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A7226A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3220</w:t>
            </w:r>
          </w:p>
        </w:tc>
        <w:tc>
          <w:tcPr>
            <w:tcBorders>
              <w:top w:val="nil"/>
              <w:left w:val="nil"/>
              <w:bottom w:val="nil"/>
              <w:right w:val="nil"/>
            </w:tcBorders>
            <w:shd w:val="clear" w:color="auto" w:fill="FFFFFF"/>
            <w:tcMar>
              <w:top w:w="0" w:type="dxa"/>
              <w:left w:w="0" w:type="dxa"/>
              <w:bottom w:w="0" w:type="dxa"/>
              <w:right w:w="0" w:type="dxa"/>
            </w:tcMar>
            <w:vAlign w:val="top"/>
          </w:tcPr>
          <w:p w14:paraId="1C0DCAD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Emodin</w:t>
            </w:r>
          </w:p>
        </w:tc>
        <w:tc>
          <w:tcPr>
            <w:tcBorders>
              <w:top w:val="nil"/>
              <w:left w:val="nil"/>
              <w:bottom w:val="nil"/>
              <w:right w:val="nil"/>
            </w:tcBorders>
            <w:shd w:val="clear" w:color="auto" w:fill="FFFFFF"/>
            <w:tcMar>
              <w:top w:w="0" w:type="dxa"/>
              <w:left w:w="0" w:type="dxa"/>
              <w:bottom w:w="0" w:type="dxa"/>
              <w:right w:w="0" w:type="dxa"/>
            </w:tcMar>
            <w:vAlign w:val="top"/>
          </w:tcPr>
          <w:p w14:paraId="19139B9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1D292831">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C798C8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3893</w:t>
            </w:r>
          </w:p>
        </w:tc>
        <w:tc>
          <w:tcPr>
            <w:tcBorders>
              <w:top w:val="nil"/>
              <w:left w:val="nil"/>
              <w:bottom w:val="nil"/>
              <w:right w:val="nil"/>
            </w:tcBorders>
            <w:shd w:val="clear" w:color="auto" w:fill="FFFFFF"/>
            <w:tcMar>
              <w:top w:w="0" w:type="dxa"/>
              <w:left w:w="0" w:type="dxa"/>
              <w:bottom w:w="0" w:type="dxa"/>
              <w:right w:w="0" w:type="dxa"/>
            </w:tcMar>
            <w:vAlign w:val="top"/>
          </w:tcPr>
          <w:p w14:paraId="24B60BA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Dodecylcarboxylate</w:t>
            </w:r>
          </w:p>
        </w:tc>
        <w:tc>
          <w:tcPr>
            <w:tcBorders>
              <w:top w:val="nil"/>
              <w:left w:val="nil"/>
              <w:bottom w:val="nil"/>
              <w:right w:val="nil"/>
            </w:tcBorders>
            <w:shd w:val="clear" w:color="auto" w:fill="FFFFFF"/>
            <w:tcMar>
              <w:top w:w="0" w:type="dxa"/>
              <w:left w:w="0" w:type="dxa"/>
              <w:bottom w:w="0" w:type="dxa"/>
              <w:right w:w="0" w:type="dxa"/>
            </w:tcMar>
            <w:vAlign w:val="top"/>
          </w:tcPr>
          <w:p w14:paraId="0F1339F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37A31D9E">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4F0259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5192</w:t>
            </w:r>
          </w:p>
        </w:tc>
        <w:tc>
          <w:tcPr>
            <w:tcBorders>
              <w:top w:val="nil"/>
              <w:left w:val="nil"/>
              <w:bottom w:val="nil"/>
              <w:right w:val="nil"/>
            </w:tcBorders>
            <w:shd w:val="clear" w:color="auto" w:fill="FFFFFF"/>
            <w:tcMar>
              <w:top w:w="0" w:type="dxa"/>
              <w:left w:w="0" w:type="dxa"/>
              <w:bottom w:w="0" w:type="dxa"/>
              <w:right w:w="0" w:type="dxa"/>
            </w:tcMar>
            <w:vAlign w:val="top"/>
          </w:tcPr>
          <w:p w14:paraId="13BD884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Sebacinsaure</w:t>
            </w:r>
          </w:p>
        </w:tc>
        <w:tc>
          <w:tcPr>
            <w:tcBorders>
              <w:top w:val="nil"/>
              <w:left w:val="nil"/>
              <w:bottom w:val="nil"/>
              <w:right w:val="nil"/>
            </w:tcBorders>
            <w:shd w:val="clear" w:color="auto" w:fill="FFFFFF"/>
            <w:tcMar>
              <w:top w:w="0" w:type="dxa"/>
              <w:left w:w="0" w:type="dxa"/>
              <w:bottom w:w="0" w:type="dxa"/>
              <w:right w:w="0" w:type="dxa"/>
            </w:tcMar>
            <w:vAlign w:val="top"/>
          </w:tcPr>
          <w:p w14:paraId="0EC5627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r>
      <w:tr w14:paraId="7BE0274D">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009B45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E5DA26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360A13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4BB5CA36">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Figure+Table/3.9_AutoDock_vina_分子对接_(QINGXIN)/QINGXIN-compounds-and-targets-for-docking.csv)</w:t>
      </w:r>
    </w:p>
    <w:p w14:paraId="46BE0A33">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37" w:name="QINGXIN-proteins-used-PDB"/>
      <w:r>
        <w:rPr>
          <w:b/>
        </w:rPr>
        <w:fldChar w:fldCharType="begin"/>
      </w:r>
      <w:r>
        <w:rPr>
          <w:b/>
        </w:rPr>
        <w:instrText xml:space="preserve">SEQ tab \* Arabic</w:instrText>
      </w:r>
      <w:r>
        <w:rPr>
          <w:b/>
        </w:rPr>
        <w:fldChar w:fldCharType="separate"/>
      </w:r>
      <w:r>
        <w:rPr>
          <w:b/>
        </w:rPr>
        <w:t>8</w:t>
      </w:r>
      <w:r>
        <w:rPr>
          <w:b/>
        </w:rPr>
        <w:fldChar w:fldCharType="end"/>
      </w:r>
      <w:bookmarkEnd w:id="37"/>
      <w:r>
        <w:rPr>
          <w:b/>
        </w:rPr>
        <w:t xml:space="preserve">  </w:t>
      </w:r>
      <w:r>
        <w:t>QINGXIN proteins used PDB</w:t>
      </w:r>
    </w:p>
    <w:tbl>
      <w:tblPr>
        <w:tblStyle w:val="13"/>
        <w:tblW w:w="0" w:type="auto"/>
        <w:jc w:val="center"/>
        <w:tblLayout w:type="fixed"/>
        <w:tblCellMar>
          <w:top w:w="0" w:type="dxa"/>
          <w:left w:w="108" w:type="dxa"/>
          <w:bottom w:w="0" w:type="dxa"/>
          <w:right w:w="108" w:type="dxa"/>
        </w:tblCellMar>
      </w:tblPr>
      <w:tblGrid>
        <w:gridCol w:w="2880"/>
        <w:gridCol w:w="2880"/>
        <w:gridCol w:w="2880"/>
      </w:tblGrid>
      <w:tr w14:paraId="37BA1879">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7783B8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Hgnc symbol</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4D2BC3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Pdb</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ADAE51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Resolution</w:t>
            </w:r>
          </w:p>
        </w:tc>
      </w:tr>
      <w:tr w14:paraId="2B4D06F4">
        <w:tblPrEx>
          <w:tblCellMar>
            <w:top w:w="0" w:type="dxa"/>
            <w:left w:w="108" w:type="dxa"/>
            <w:bottom w:w="0" w:type="dxa"/>
            <w:right w:w="108" w:type="dxa"/>
          </w:tblCellMar>
        </w:tblPrEx>
        <w:trPr>
          <w:trHeight w:val="0" w:hRule="atLeast"/>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top"/>
          </w:tcPr>
          <w:p w14:paraId="18BAF8A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top"/>
          </w:tcPr>
          <w:p w14:paraId="52C4B2F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2Z62</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top"/>
          </w:tcPr>
          <w:p w14:paraId="6C39D94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1.7</w:t>
            </w:r>
          </w:p>
        </w:tc>
      </w:tr>
    </w:tbl>
    <w:p w14:paraId="093C19E1">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Figure+Table/3.9_AutoDock_vina_分子对接_(QINGXIN)/QINGXIN-proteins-used-PDB.csv)</w:t>
      </w:r>
    </w:p>
    <w:p w14:paraId="569AB6F1">
      <w:pPr>
        <w:pStyle w:val="3"/>
      </w:pPr>
      <w:r>
        <w:drawing>
          <wp:inline distT="0" distB="0" distL="0" distR="0">
            <wp:extent cx="3850005" cy="4572000"/>
            <wp:effectExtent l="0" t="0" r="171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cstate="print"/>
                    <a:stretch>
                      <a:fillRect/>
                    </a:stretch>
                  </pic:blipFill>
                  <pic:spPr>
                    <a:xfrm>
                      <a:off x="0" y="0"/>
                      <a:ext cx="53474" cy="63500"/>
                    </a:xfrm>
                    <a:prstGeom prst="rect">
                      <a:avLst/>
                    </a:prstGeom>
                    <a:noFill/>
                  </pic:spPr>
                </pic:pic>
              </a:graphicData>
            </a:graphic>
          </wp:inline>
        </w:drawing>
      </w:r>
    </w:p>
    <w:p w14:paraId="605742BE">
      <w:pPr>
        <w:pStyle w:val="194"/>
      </w:pPr>
      <w:r>
        <w:rPr>
          <w:b/>
        </w:rPr>
        <w:t xml:space="preserve">Fig. </w:t>
      </w:r>
      <w:bookmarkStart w:id="38" w:name="QINGXIN-Overall-combining-Affinity"/>
      <w:r>
        <w:rPr>
          <w:b/>
        </w:rPr>
        <w:fldChar w:fldCharType="begin"/>
      </w:r>
      <w:r>
        <w:rPr>
          <w:b/>
        </w:rPr>
        <w:instrText xml:space="preserve">SEQ fig: \* Arabic</w:instrText>
      </w:r>
      <w:r>
        <w:rPr>
          <w:b/>
        </w:rPr>
        <w:fldChar w:fldCharType="separate"/>
      </w:r>
      <w:r>
        <w:rPr>
          <w:b/>
        </w:rPr>
        <w:t>12</w:t>
      </w:r>
      <w:r>
        <w:rPr>
          <w:b/>
        </w:rPr>
        <w:fldChar w:fldCharType="end"/>
      </w:r>
      <w:bookmarkEnd w:id="38"/>
      <w:r>
        <w:rPr>
          <w:b/>
        </w:rPr>
        <w:t xml:space="preserve"> </w:t>
      </w:r>
      <w:r>
        <w:t>QINGXIN Overall combining Affinity</w:t>
      </w:r>
    </w:p>
    <w:p w14:paraId="5FE89ED3">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Figure+Table/3.9_AutoDock_vina_分子对接_(QINGXIN)/QINGXIN-Overall-combining-Affinity.pdf)</w:t>
      </w:r>
    </w:p>
    <w:p w14:paraId="27EA567F">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39" w:name="QINGXIN-All-combining-Affinity-data"/>
      <w:r>
        <w:rPr>
          <w:b/>
        </w:rPr>
        <w:fldChar w:fldCharType="begin"/>
      </w:r>
      <w:r>
        <w:rPr>
          <w:b/>
        </w:rPr>
        <w:instrText xml:space="preserve">SEQ tab \* Arabic</w:instrText>
      </w:r>
      <w:r>
        <w:rPr>
          <w:b/>
        </w:rPr>
        <w:fldChar w:fldCharType="separate"/>
      </w:r>
      <w:r>
        <w:rPr>
          <w:b/>
        </w:rPr>
        <w:t>9</w:t>
      </w:r>
      <w:r>
        <w:rPr>
          <w:b/>
        </w:rPr>
        <w:fldChar w:fldCharType="end"/>
      </w:r>
      <w:bookmarkEnd w:id="39"/>
      <w:r>
        <w:rPr>
          <w:b/>
        </w:rPr>
        <w:t xml:space="preserve">  </w:t>
      </w:r>
      <w:r>
        <w:t>QINGXIN All combining Affinity data</w:t>
      </w:r>
    </w:p>
    <w:tbl>
      <w:tblPr>
        <w:tblStyle w:val="13"/>
        <w:tblW w:w="0" w:type="auto"/>
        <w:jc w:val="center"/>
        <w:tblLayout w:type="fixed"/>
        <w:tblCellMar>
          <w:top w:w="0" w:type="dxa"/>
          <w:left w:w="108" w:type="dxa"/>
          <w:bottom w:w="0" w:type="dxa"/>
          <w:right w:w="108" w:type="dxa"/>
        </w:tblCellMar>
      </w:tblPr>
      <w:tblGrid>
        <w:gridCol w:w="1080"/>
        <w:gridCol w:w="1080"/>
        <w:gridCol w:w="1080"/>
        <w:gridCol w:w="1080"/>
        <w:gridCol w:w="1080"/>
        <w:gridCol w:w="1080"/>
        <w:gridCol w:w="1080"/>
        <w:gridCol w:w="1080"/>
      </w:tblGrid>
      <w:tr w14:paraId="1BF65D37">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D0AE2C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PubChe...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13EAF0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PDB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CE7EEC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Affinity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E8145A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Dir</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7E2CD3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File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2F08EA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Combn</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FE58E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Hgnc 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5D11FC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w:t>
            </w:r>
          </w:p>
        </w:tc>
      </w:tr>
      <w:tr w14:paraId="118E1AF4">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898654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91420</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7D8597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2z62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9C2F1F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-7.095</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7DEF31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4403CD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923AA0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91424 ...</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822CB7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4EFC54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2-Meth...</w:t>
            </w:r>
          </w:p>
        </w:tc>
      </w:tr>
      <w:tr w14:paraId="3DCDED0E">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F115BD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13850</w:t>
            </w:r>
          </w:p>
        </w:tc>
        <w:tc>
          <w:tcPr>
            <w:tcBorders>
              <w:top w:val="nil"/>
              <w:left w:val="nil"/>
              <w:bottom w:val="nil"/>
              <w:right w:val="nil"/>
            </w:tcBorders>
            <w:shd w:val="clear" w:color="auto" w:fill="FFFFFF"/>
            <w:tcMar>
              <w:top w:w="0" w:type="dxa"/>
              <w:left w:w="0" w:type="dxa"/>
              <w:bottom w:w="0" w:type="dxa"/>
              <w:right w:w="0" w:type="dxa"/>
            </w:tcMar>
            <w:vAlign w:val="top"/>
          </w:tcPr>
          <w:p w14:paraId="2CB1D36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2z62</w:t>
            </w:r>
          </w:p>
        </w:tc>
        <w:tc>
          <w:tcPr>
            <w:tcBorders>
              <w:top w:val="nil"/>
              <w:left w:val="nil"/>
              <w:bottom w:val="nil"/>
              <w:right w:val="nil"/>
            </w:tcBorders>
            <w:shd w:val="clear" w:color="auto" w:fill="FFFFFF"/>
            <w:tcMar>
              <w:top w:w="0" w:type="dxa"/>
              <w:left w:w="0" w:type="dxa"/>
              <w:bottom w:w="0" w:type="dxa"/>
              <w:right w:w="0" w:type="dxa"/>
            </w:tcMar>
            <w:vAlign w:val="top"/>
          </w:tcPr>
          <w:p w14:paraId="4E2C718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-6.835</w:t>
            </w:r>
          </w:p>
        </w:tc>
        <w:tc>
          <w:tcPr>
            <w:tcBorders>
              <w:top w:val="nil"/>
              <w:left w:val="nil"/>
              <w:bottom w:val="nil"/>
              <w:right w:val="nil"/>
            </w:tcBorders>
            <w:shd w:val="clear" w:color="auto" w:fill="FFFFFF"/>
            <w:tcMar>
              <w:top w:w="0" w:type="dxa"/>
              <w:left w:w="0" w:type="dxa"/>
              <w:bottom w:w="0" w:type="dxa"/>
              <w:right w:w="0" w:type="dxa"/>
            </w:tcMar>
            <w:vAlign w:val="top"/>
          </w:tcPr>
          <w:p w14:paraId="5583E33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71E2FBD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1A9A55E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13849 ...</w:t>
            </w:r>
          </w:p>
        </w:tc>
        <w:tc>
          <w:tcPr>
            <w:tcBorders>
              <w:top w:val="nil"/>
              <w:left w:val="nil"/>
              <w:bottom w:val="nil"/>
              <w:right w:val="nil"/>
            </w:tcBorders>
            <w:shd w:val="clear" w:color="auto" w:fill="FFFFFF"/>
            <w:tcMar>
              <w:top w:w="0" w:type="dxa"/>
              <w:left w:w="0" w:type="dxa"/>
              <w:bottom w:w="0" w:type="dxa"/>
              <w:right w:w="0" w:type="dxa"/>
            </w:tcMar>
            <w:vAlign w:val="top"/>
          </w:tcPr>
          <w:p w14:paraId="5B83294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nil"/>
              <w:left w:val="nil"/>
              <w:bottom w:val="nil"/>
              <w:right w:val="nil"/>
            </w:tcBorders>
            <w:shd w:val="clear" w:color="auto" w:fill="FFFFFF"/>
            <w:tcMar>
              <w:top w:w="0" w:type="dxa"/>
              <w:left w:w="0" w:type="dxa"/>
              <w:bottom w:w="0" w:type="dxa"/>
              <w:right w:w="0" w:type="dxa"/>
            </w:tcMar>
            <w:vAlign w:val="top"/>
          </w:tcPr>
          <w:p w14:paraId="723914D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Pentad...</w:t>
            </w:r>
          </w:p>
        </w:tc>
      </w:tr>
      <w:tr w14:paraId="78427268">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D7A38D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12530</w:t>
            </w:r>
          </w:p>
        </w:tc>
        <w:tc>
          <w:tcPr>
            <w:tcBorders>
              <w:top w:val="nil"/>
              <w:left w:val="nil"/>
              <w:bottom w:val="nil"/>
              <w:right w:val="nil"/>
            </w:tcBorders>
            <w:shd w:val="clear" w:color="auto" w:fill="FFFFFF"/>
            <w:tcMar>
              <w:top w:w="0" w:type="dxa"/>
              <w:left w:w="0" w:type="dxa"/>
              <w:bottom w:w="0" w:type="dxa"/>
              <w:right w:w="0" w:type="dxa"/>
            </w:tcMar>
            <w:vAlign w:val="top"/>
          </w:tcPr>
          <w:p w14:paraId="2404828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2z62</w:t>
            </w:r>
          </w:p>
        </w:tc>
        <w:tc>
          <w:tcPr>
            <w:tcBorders>
              <w:top w:val="nil"/>
              <w:left w:val="nil"/>
              <w:bottom w:val="nil"/>
              <w:right w:val="nil"/>
            </w:tcBorders>
            <w:shd w:val="clear" w:color="auto" w:fill="FFFFFF"/>
            <w:tcMar>
              <w:top w:w="0" w:type="dxa"/>
              <w:left w:w="0" w:type="dxa"/>
              <w:bottom w:w="0" w:type="dxa"/>
              <w:right w:w="0" w:type="dxa"/>
            </w:tcMar>
            <w:vAlign w:val="top"/>
          </w:tcPr>
          <w:p w14:paraId="277723D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-6.063</w:t>
            </w:r>
          </w:p>
        </w:tc>
        <w:tc>
          <w:tcPr>
            <w:tcBorders>
              <w:top w:val="nil"/>
              <w:left w:val="nil"/>
              <w:bottom w:val="nil"/>
              <w:right w:val="nil"/>
            </w:tcBorders>
            <w:shd w:val="clear" w:color="auto" w:fill="FFFFFF"/>
            <w:tcMar>
              <w:top w:w="0" w:type="dxa"/>
              <w:left w:w="0" w:type="dxa"/>
              <w:bottom w:w="0" w:type="dxa"/>
              <w:right w:w="0" w:type="dxa"/>
            </w:tcMar>
            <w:vAlign w:val="top"/>
          </w:tcPr>
          <w:p w14:paraId="7D32A55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1C4B571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41F2450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12530 ...</w:t>
            </w:r>
          </w:p>
        </w:tc>
        <w:tc>
          <w:tcPr>
            <w:tcBorders>
              <w:top w:val="nil"/>
              <w:left w:val="nil"/>
              <w:bottom w:val="nil"/>
              <w:right w:val="nil"/>
            </w:tcBorders>
            <w:shd w:val="clear" w:color="auto" w:fill="FFFFFF"/>
            <w:tcMar>
              <w:top w:w="0" w:type="dxa"/>
              <w:left w:w="0" w:type="dxa"/>
              <w:bottom w:w="0" w:type="dxa"/>
              <w:right w:w="0" w:type="dxa"/>
            </w:tcMar>
            <w:vAlign w:val="top"/>
          </w:tcPr>
          <w:p w14:paraId="66646AD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nil"/>
              <w:left w:val="nil"/>
              <w:bottom w:val="nil"/>
              <w:right w:val="nil"/>
            </w:tcBorders>
            <w:shd w:val="clear" w:color="auto" w:fill="FFFFFF"/>
            <w:tcMar>
              <w:top w:w="0" w:type="dxa"/>
              <w:left w:w="0" w:type="dxa"/>
              <w:bottom w:w="0" w:type="dxa"/>
              <w:right w:w="0" w:type="dxa"/>
            </w:tcMar>
            <w:vAlign w:val="top"/>
          </w:tcPr>
          <w:p w14:paraId="4FC984C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Tridec...</w:t>
            </w:r>
          </w:p>
        </w:tc>
      </w:tr>
      <w:tr w14:paraId="0A0D1DE8">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537ECE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5281000</w:t>
            </w:r>
          </w:p>
        </w:tc>
        <w:tc>
          <w:tcPr>
            <w:tcBorders>
              <w:top w:val="nil"/>
              <w:left w:val="nil"/>
              <w:bottom w:val="nil"/>
              <w:right w:val="nil"/>
            </w:tcBorders>
            <w:shd w:val="clear" w:color="auto" w:fill="FFFFFF"/>
            <w:tcMar>
              <w:top w:w="0" w:type="dxa"/>
              <w:left w:w="0" w:type="dxa"/>
              <w:bottom w:w="0" w:type="dxa"/>
              <w:right w:w="0" w:type="dxa"/>
            </w:tcMar>
            <w:vAlign w:val="top"/>
          </w:tcPr>
          <w:p w14:paraId="431406E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2z62</w:t>
            </w:r>
          </w:p>
        </w:tc>
        <w:tc>
          <w:tcPr>
            <w:tcBorders>
              <w:top w:val="nil"/>
              <w:left w:val="nil"/>
              <w:bottom w:val="nil"/>
              <w:right w:val="nil"/>
            </w:tcBorders>
            <w:shd w:val="clear" w:color="auto" w:fill="FFFFFF"/>
            <w:tcMar>
              <w:top w:w="0" w:type="dxa"/>
              <w:left w:w="0" w:type="dxa"/>
              <w:bottom w:w="0" w:type="dxa"/>
              <w:right w:w="0" w:type="dxa"/>
            </w:tcMar>
            <w:vAlign w:val="top"/>
          </w:tcPr>
          <w:p w14:paraId="22255A4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-5.58</w:t>
            </w:r>
          </w:p>
        </w:tc>
        <w:tc>
          <w:tcPr>
            <w:tcBorders>
              <w:top w:val="nil"/>
              <w:left w:val="nil"/>
              <w:bottom w:val="nil"/>
              <w:right w:val="nil"/>
            </w:tcBorders>
            <w:shd w:val="clear" w:color="auto" w:fill="FFFFFF"/>
            <w:tcMar>
              <w:top w:w="0" w:type="dxa"/>
              <w:left w:w="0" w:type="dxa"/>
              <w:bottom w:w="0" w:type="dxa"/>
              <w:right w:w="0" w:type="dxa"/>
            </w:tcMar>
            <w:vAlign w:val="top"/>
          </w:tcPr>
          <w:p w14:paraId="565D863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6A92FBA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7F2324B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528079...</w:t>
            </w:r>
          </w:p>
        </w:tc>
        <w:tc>
          <w:tcPr>
            <w:tcBorders>
              <w:top w:val="nil"/>
              <w:left w:val="nil"/>
              <w:bottom w:val="nil"/>
              <w:right w:val="nil"/>
            </w:tcBorders>
            <w:shd w:val="clear" w:color="auto" w:fill="FFFFFF"/>
            <w:tcMar>
              <w:top w:w="0" w:type="dxa"/>
              <w:left w:w="0" w:type="dxa"/>
              <w:bottom w:w="0" w:type="dxa"/>
              <w:right w:w="0" w:type="dxa"/>
            </w:tcMar>
            <w:vAlign w:val="top"/>
          </w:tcPr>
          <w:p w14:paraId="77B5F4E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nil"/>
              <w:left w:val="nil"/>
              <w:bottom w:val="nil"/>
              <w:right w:val="nil"/>
            </w:tcBorders>
            <w:shd w:val="clear" w:color="auto" w:fill="FFFFFF"/>
            <w:tcMar>
              <w:top w:w="0" w:type="dxa"/>
              <w:left w:w="0" w:type="dxa"/>
              <w:bottom w:w="0" w:type="dxa"/>
              <w:right w:w="0" w:type="dxa"/>
            </w:tcMar>
            <w:vAlign w:val="top"/>
          </w:tcPr>
          <w:p w14:paraId="76213C4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Cholec...</w:t>
            </w:r>
          </w:p>
        </w:tc>
      </w:tr>
      <w:tr w14:paraId="22231593">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C77627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5192</w:t>
            </w:r>
          </w:p>
        </w:tc>
        <w:tc>
          <w:tcPr>
            <w:tcBorders>
              <w:top w:val="nil"/>
              <w:left w:val="nil"/>
              <w:bottom w:val="nil"/>
              <w:right w:val="nil"/>
            </w:tcBorders>
            <w:shd w:val="clear" w:color="auto" w:fill="FFFFFF"/>
            <w:tcMar>
              <w:top w:w="0" w:type="dxa"/>
              <w:left w:w="0" w:type="dxa"/>
              <w:bottom w:w="0" w:type="dxa"/>
              <w:right w:w="0" w:type="dxa"/>
            </w:tcMar>
            <w:vAlign w:val="top"/>
          </w:tcPr>
          <w:p w14:paraId="496E5AC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2z62</w:t>
            </w:r>
          </w:p>
        </w:tc>
        <w:tc>
          <w:tcPr>
            <w:tcBorders>
              <w:top w:val="nil"/>
              <w:left w:val="nil"/>
              <w:bottom w:val="nil"/>
              <w:right w:val="nil"/>
            </w:tcBorders>
            <w:shd w:val="clear" w:color="auto" w:fill="FFFFFF"/>
            <w:tcMar>
              <w:top w:w="0" w:type="dxa"/>
              <w:left w:w="0" w:type="dxa"/>
              <w:bottom w:w="0" w:type="dxa"/>
              <w:right w:w="0" w:type="dxa"/>
            </w:tcMar>
            <w:vAlign w:val="top"/>
          </w:tcPr>
          <w:p w14:paraId="1CD657C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-5.516</w:t>
            </w:r>
          </w:p>
        </w:tc>
        <w:tc>
          <w:tcPr>
            <w:tcBorders>
              <w:top w:val="nil"/>
              <w:left w:val="nil"/>
              <w:bottom w:val="nil"/>
              <w:right w:val="nil"/>
            </w:tcBorders>
            <w:shd w:val="clear" w:color="auto" w:fill="FFFFFF"/>
            <w:tcMar>
              <w:top w:w="0" w:type="dxa"/>
              <w:left w:w="0" w:type="dxa"/>
              <w:bottom w:w="0" w:type="dxa"/>
              <w:right w:w="0" w:type="dxa"/>
            </w:tcMar>
            <w:vAlign w:val="top"/>
          </w:tcPr>
          <w:p w14:paraId="4C6C930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26351D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Vina s...</w:t>
            </w:r>
          </w:p>
        </w:tc>
        <w:tc>
          <w:tcPr>
            <w:tcBorders>
              <w:top w:val="nil"/>
              <w:left w:val="nil"/>
              <w:bottom w:val="nil"/>
              <w:right w:val="nil"/>
            </w:tcBorders>
            <w:shd w:val="clear" w:color="auto" w:fill="FFFFFF"/>
            <w:tcMar>
              <w:top w:w="0" w:type="dxa"/>
              <w:left w:w="0" w:type="dxa"/>
              <w:bottom w:w="0" w:type="dxa"/>
              <w:right w:w="0" w:type="dxa"/>
            </w:tcMar>
            <w:vAlign w:val="top"/>
          </w:tcPr>
          <w:p w14:paraId="1F785CE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5192 i...</w:t>
            </w:r>
          </w:p>
        </w:tc>
        <w:tc>
          <w:tcPr>
            <w:tcBorders>
              <w:top w:val="nil"/>
              <w:left w:val="nil"/>
              <w:bottom w:val="nil"/>
              <w:right w:val="nil"/>
            </w:tcBorders>
            <w:shd w:val="clear" w:color="auto" w:fill="FFFFFF"/>
            <w:tcMar>
              <w:top w:w="0" w:type="dxa"/>
              <w:left w:w="0" w:type="dxa"/>
              <w:bottom w:w="0" w:type="dxa"/>
              <w:right w:w="0" w:type="dxa"/>
            </w:tcMar>
            <w:vAlign w:val="top"/>
          </w:tcPr>
          <w:p w14:paraId="7F7DDF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TLR4</w:t>
            </w:r>
          </w:p>
        </w:tc>
        <w:tc>
          <w:tcPr>
            <w:tcBorders>
              <w:top w:val="nil"/>
              <w:left w:val="nil"/>
              <w:bottom w:val="nil"/>
              <w:right w:val="nil"/>
            </w:tcBorders>
            <w:shd w:val="clear" w:color="auto" w:fill="FFFFFF"/>
            <w:tcMar>
              <w:top w:w="0" w:type="dxa"/>
              <w:left w:w="0" w:type="dxa"/>
              <w:bottom w:w="0" w:type="dxa"/>
              <w:right w:w="0" w:type="dxa"/>
            </w:tcMar>
            <w:vAlign w:val="top"/>
          </w:tcPr>
          <w:p w14:paraId="7CF9750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Sebaci...</w:t>
            </w:r>
          </w:p>
        </w:tc>
      </w:tr>
      <w:tr w14:paraId="4E951546">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1738F3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3B7B35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61F9DF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48CE22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AC61D9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231F89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674A6B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2AB54D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67F2C9E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Figure+Table/3.9_AutoDock_vina_分子对接_(QINGXIN)/QINGXIN-All-combining-Affinity-data.csv)</w:t>
      </w:r>
    </w:p>
    <w:p w14:paraId="34A331CA">
      <w:pPr>
        <w:pStyle w:val="3"/>
      </w:pPr>
      <w:r>
        <w:drawing>
          <wp:inline distT="0" distB="0" distL="0" distR="0">
            <wp:extent cx="5669280" cy="4535170"/>
            <wp:effectExtent l="0" t="0" r="762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cstate="print"/>
                    <a:stretch>
                      <a:fillRect/>
                    </a:stretch>
                  </pic:blipFill>
                  <pic:spPr>
                    <a:xfrm>
                      <a:off x="0" y="0"/>
                      <a:ext cx="78740" cy="62992"/>
                    </a:xfrm>
                    <a:prstGeom prst="rect">
                      <a:avLst/>
                    </a:prstGeom>
                    <a:noFill/>
                  </pic:spPr>
                </pic:pic>
              </a:graphicData>
            </a:graphic>
          </wp:inline>
        </w:drawing>
      </w:r>
    </w:p>
    <w:p w14:paraId="329EDC49">
      <w:pPr>
        <w:pStyle w:val="194"/>
      </w:pPr>
      <w:r>
        <w:rPr>
          <w:b/>
        </w:rPr>
        <w:t xml:space="preserve">Fig. </w:t>
      </w:r>
      <w:bookmarkStart w:id="40" w:name="Docking-91424-into-2z62"/>
      <w:r>
        <w:rPr>
          <w:b/>
        </w:rPr>
        <w:fldChar w:fldCharType="begin"/>
      </w:r>
      <w:r>
        <w:rPr>
          <w:b/>
        </w:rPr>
        <w:instrText xml:space="preserve">SEQ fig: \* Arabic</w:instrText>
      </w:r>
      <w:r>
        <w:rPr>
          <w:b/>
        </w:rPr>
        <w:fldChar w:fldCharType="separate"/>
      </w:r>
      <w:r>
        <w:rPr>
          <w:b/>
        </w:rPr>
        <w:t>13</w:t>
      </w:r>
      <w:r>
        <w:rPr>
          <w:b/>
        </w:rPr>
        <w:fldChar w:fldCharType="end"/>
      </w:r>
      <w:bookmarkEnd w:id="40"/>
      <w:r>
        <w:rPr>
          <w:b/>
        </w:rPr>
        <w:t xml:space="preserve"> </w:t>
      </w:r>
      <w:r>
        <w:t>Docking 91424 into 2z62</w:t>
      </w:r>
    </w:p>
    <w:p w14:paraId="375A5091">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Figure+Table/3.9_AutoDock_vina_分子对接_(QINGXIN)/Docking-91424-into-2z62.png)</w:t>
      </w:r>
    </w:p>
    <w:p w14:paraId="7011A15F">
      <w:pPr>
        <w:pStyle w:val="3"/>
      </w:pPr>
      <w:r>
        <w:drawing>
          <wp:inline distT="0" distB="0" distL="0" distR="0">
            <wp:extent cx="5669280" cy="4535170"/>
            <wp:effectExtent l="0" t="0" r="762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2" cstate="print"/>
                    <a:stretch>
                      <a:fillRect/>
                    </a:stretch>
                  </pic:blipFill>
                  <pic:spPr>
                    <a:xfrm>
                      <a:off x="0" y="0"/>
                      <a:ext cx="78740" cy="62992"/>
                    </a:xfrm>
                    <a:prstGeom prst="rect">
                      <a:avLst/>
                    </a:prstGeom>
                    <a:noFill/>
                  </pic:spPr>
                </pic:pic>
              </a:graphicData>
            </a:graphic>
          </wp:inline>
        </w:drawing>
      </w:r>
    </w:p>
    <w:p w14:paraId="2A76D9DD">
      <w:pPr>
        <w:pStyle w:val="194"/>
      </w:pPr>
      <w:r>
        <w:rPr>
          <w:b/>
        </w:rPr>
        <w:t xml:space="preserve">Fig. </w:t>
      </w:r>
      <w:bookmarkStart w:id="41" w:name="Docking-91424-into-2z62-detail"/>
      <w:r>
        <w:rPr>
          <w:b/>
        </w:rPr>
        <w:fldChar w:fldCharType="begin"/>
      </w:r>
      <w:r>
        <w:rPr>
          <w:b/>
        </w:rPr>
        <w:instrText xml:space="preserve">SEQ fig: \* Arabic</w:instrText>
      </w:r>
      <w:r>
        <w:rPr>
          <w:b/>
        </w:rPr>
        <w:fldChar w:fldCharType="separate"/>
      </w:r>
      <w:r>
        <w:rPr>
          <w:b/>
        </w:rPr>
        <w:t>14</w:t>
      </w:r>
      <w:r>
        <w:rPr>
          <w:b/>
        </w:rPr>
        <w:fldChar w:fldCharType="end"/>
      </w:r>
      <w:bookmarkEnd w:id="41"/>
      <w:r>
        <w:rPr>
          <w:b/>
        </w:rPr>
        <w:t xml:space="preserve"> </w:t>
      </w:r>
      <w:r>
        <w:t>Docking 91424 into 2z62 detail</w:t>
      </w:r>
    </w:p>
    <w:p w14:paraId="2273E0B1">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Figure+Table/3.9_AutoDock_vina_分子对接_(QINGXIN)/Docking-91424-into-2z62-detail.png)</w:t>
      </w:r>
    </w:p>
    <w:p w14:paraId="67CCF6B7">
      <w:pPr>
        <w:pStyle w:val="2"/>
      </w:pPr>
      <w:bookmarkStart w:id="42" w:name="conclusion"/>
      <w:r>
        <w:t>4</w:t>
      </w:r>
      <w:r>
        <w:tab/>
        <w:t>总结</w:t>
      </w:r>
      <w:bookmarkEnd w:id="42"/>
    </w:p>
    <w:p w14:paraId="3A911F69">
      <w:pPr>
        <w:pStyle w:val="38"/>
      </w:pPr>
      <w:r>
        <w:t xml:space="preserve">调控铁死亡的通路可能是 HIF-1 ，见 Fig. </w:t>
      </w:r>
      <w:r>
        <w:fldChar w:fldCharType="begin"/>
      </w:r>
      <w:r>
        <w:instrText xml:space="preserve"> HYPERLINK \l "COMMON-pathviews-hsa04066" \h </w:instrText>
      </w:r>
      <w:r>
        <w:fldChar w:fldCharType="separate"/>
      </w:r>
      <w:r>
        <w:fldChar w:fldCharType="begin"/>
      </w:r>
      <w:r>
        <w:instrText xml:space="preserve"> REF COMMON-pathviews-hsa04066 \h</w:instrText>
      </w:r>
      <w:r>
        <w:fldChar w:fldCharType="separate"/>
      </w:r>
      <w:r>
        <w:rPr>
          <w:b/>
        </w:rPr>
        <w:t>9</w:t>
      </w:r>
      <w:r>
        <w:fldChar w:fldCharType="end"/>
      </w:r>
      <w:r>
        <w:fldChar w:fldCharType="end"/>
      </w:r>
      <w:r>
        <w:t xml:space="preserve">  。 以 GEO 数据验证后发现，VEGFA, TLR4 为差异表达基因。 其他可能的通路，见Tab. </w:t>
      </w:r>
      <w:r>
        <w:fldChar w:fldCharType="begin"/>
      </w:r>
      <w:r>
        <w:instrText xml:space="preserve"> HYPERLINK \l "COMMON-KEGG-enrichment-data" \h </w:instrText>
      </w:r>
      <w:r>
        <w:fldChar w:fldCharType="separate"/>
      </w:r>
      <w:r>
        <w:fldChar w:fldCharType="begin"/>
      </w:r>
      <w:r>
        <w:instrText xml:space="preserve"> REF COMMON-KEGG-enrichment-data \h</w:instrText>
      </w:r>
      <w:r>
        <w:fldChar w:fldCharType="separate"/>
      </w:r>
      <w:r>
        <w:rPr>
          <w:b/>
        </w:rPr>
        <w:t>4</w:t>
      </w:r>
      <w:r>
        <w:fldChar w:fldCharType="end"/>
      </w:r>
      <w:r>
        <w:fldChar w:fldCharType="end"/>
      </w:r>
      <w:r>
        <w:t xml:space="preserve"> </w:t>
      </w:r>
    </w:p>
    <w:p w14:paraId="1CE7703C">
      <w:pPr>
        <w:pStyle w:val="3"/>
      </w:pPr>
      <w:r>
        <w:t xml:space="preserve">补充了分子对接分析，见 Fig. </w:t>
      </w:r>
      <w:r>
        <w:fldChar w:fldCharType="begin"/>
      </w:r>
      <w:r>
        <w:instrText xml:space="preserve"> HYPERLINK \l "QINGXIN-Overall-combining-Affinity" \h </w:instrText>
      </w:r>
      <w:r>
        <w:fldChar w:fldCharType="separate"/>
      </w:r>
      <w:r>
        <w:fldChar w:fldCharType="begin"/>
      </w:r>
      <w:r>
        <w:instrText xml:space="preserve"> REF QINGXIN-Overall-combining-Affinity \h</w:instrText>
      </w:r>
      <w:r>
        <w:fldChar w:fldCharType="separate"/>
      </w:r>
      <w:r>
        <w:rPr>
          <w:b/>
        </w:rPr>
        <w:t>12</w:t>
      </w:r>
      <w:r>
        <w:fldChar w:fldCharType="end"/>
      </w:r>
      <w:r>
        <w:fldChar w:fldCharType="end"/>
      </w:r>
      <w:r>
        <w:t xml:space="preserve"> 。</w:t>
      </w:r>
    </w:p>
    <w:p w14:paraId="71AB4EBA">
      <w:pPr>
        <w:pStyle w:val="2"/>
      </w:pPr>
      <w:bookmarkStart w:id="43" w:name="bibliography"/>
      <w:r>
        <w:t>Reference</w:t>
      </w:r>
      <w:bookmarkEnd w:id="43"/>
    </w:p>
    <w:p w14:paraId="5A2E9F4C">
      <w:pPr>
        <w:pStyle w:val="189"/>
      </w:pPr>
      <w:bookmarkStart w:id="44" w:name="ref-BatmanTcm20Kong2024"/>
      <w:bookmarkStart w:id="45" w:name="refs"/>
      <w:r>
        <w:t xml:space="preserve">1. Kong, X. </w:t>
      </w:r>
      <w:r>
        <w:rPr>
          <w:i/>
        </w:rPr>
        <w:t>et al.</w:t>
      </w:r>
      <w:r>
        <w:t xml:space="preserve"> BATMAN-tcm 2.0: An enhanced integrative database for known and predicted interactions between traditional chinese medicine ingredients and target proteins. </w:t>
      </w:r>
      <w:r>
        <w:rPr>
          <w:i/>
        </w:rPr>
        <w:t>Nucleic acids research</w:t>
      </w:r>
      <w:r>
        <w:t xml:space="preserve"> </w:t>
      </w:r>
      <w:r>
        <w:rPr>
          <w:b/>
        </w:rPr>
        <w:t>52</w:t>
      </w:r>
      <w:r>
        <w:t>, D1110–D1120 (2024).</w:t>
      </w:r>
    </w:p>
    <w:bookmarkEnd w:id="44"/>
    <w:p w14:paraId="5B131F0D">
      <w:pPr>
        <w:pStyle w:val="189"/>
      </w:pPr>
      <w:bookmarkStart w:id="46" w:name="ref-HobpreAccuratWeiM2022"/>
      <w:r>
        <w:t xml:space="preserve">2. Wei, M. </w:t>
      </w:r>
      <w:r>
        <w:rPr>
          <w:i/>
        </w:rPr>
        <w:t>et al.</w:t>
      </w:r>
      <w:r>
        <w:t xml:space="preserve"> HobPre: Accurate prediction of human oral bioavailability for small molecules. </w:t>
      </w:r>
      <w:r>
        <w:rPr>
          <w:i/>
        </w:rPr>
        <w:t>Journal of Cheminformatics</w:t>
      </w:r>
      <w:r>
        <w:t xml:space="preserve"> </w:t>
      </w:r>
      <w:r>
        <w:rPr>
          <w:b/>
        </w:rPr>
        <w:t>14</w:t>
      </w:r>
      <w:r>
        <w:t>, (2022).</w:t>
      </w:r>
    </w:p>
    <w:bookmarkEnd w:id="46"/>
    <w:p w14:paraId="003E98AA">
      <w:pPr>
        <w:pStyle w:val="189"/>
      </w:pPr>
      <w:bookmarkStart w:id="47" w:name="ref-MappingIdentifDurinc2009"/>
      <w:r>
        <w:t xml:space="preserve">3. Durinck, S., Spellman, P. T., Birney, E. &amp; Huber, W. Mapping identifiers for the integration of genomic datasets with the r/bioconductor package biomaRt. </w:t>
      </w:r>
      <w:r>
        <w:rPr>
          <w:i/>
        </w:rPr>
        <w:t>Nature protocols</w:t>
      </w:r>
      <w:r>
        <w:t xml:space="preserve"> </w:t>
      </w:r>
      <w:r>
        <w:rPr>
          <w:b/>
        </w:rPr>
        <w:t>4</w:t>
      </w:r>
      <w:r>
        <w:t>, 1184–1191 (2009).</w:t>
      </w:r>
    </w:p>
    <w:bookmarkEnd w:id="47"/>
    <w:p w14:paraId="365624C7">
      <w:pPr>
        <w:pStyle w:val="189"/>
      </w:pPr>
      <w:bookmarkStart w:id="48" w:name="ref-TheGenecardsSStelze2016"/>
      <w:r>
        <w:t xml:space="preserve">4. Stelzer, G. </w:t>
      </w:r>
      <w:r>
        <w:rPr>
          <w:i/>
        </w:rPr>
        <w:t>et al.</w:t>
      </w:r>
      <w:r>
        <w:t xml:space="preserve"> The genecards suite: From gene data mining to disease genome sequence analyses. </w:t>
      </w:r>
      <w:r>
        <w:rPr>
          <w:i/>
        </w:rPr>
        <w:t>Current protocols in bioinformatics</w:t>
      </w:r>
      <w:r>
        <w:t xml:space="preserve"> </w:t>
      </w:r>
      <w:r>
        <w:rPr>
          <w:b/>
        </w:rPr>
        <w:t>54</w:t>
      </w:r>
      <w:r>
        <w:t>, 1.30.1–1.30.33 (2016).</w:t>
      </w:r>
    </w:p>
    <w:bookmarkEnd w:id="48"/>
    <w:p w14:paraId="3964B3C5">
      <w:pPr>
        <w:pStyle w:val="189"/>
      </w:pPr>
      <w:bookmarkStart w:id="49" w:name="ref-FerrdbV2UpdaZhou2023"/>
      <w:r>
        <w:t xml:space="preserve">5. Zhou, N. </w:t>
      </w:r>
      <w:r>
        <w:rPr>
          <w:i/>
        </w:rPr>
        <w:t>et al.</w:t>
      </w:r>
      <w:r>
        <w:t xml:space="preserve"> FerrDb v2: Update of the manually curated database of ferroptosis regulators and ferroptosis-disease associations. </w:t>
      </w:r>
      <w:r>
        <w:rPr>
          <w:i/>
        </w:rPr>
        <w:t>Nucleic acids research</w:t>
      </w:r>
      <w:r>
        <w:t xml:space="preserve"> </w:t>
      </w:r>
      <w:r>
        <w:rPr>
          <w:b/>
        </w:rPr>
        <w:t>51</w:t>
      </w:r>
      <w:r>
        <w:t>, D571–D582 (2023).</w:t>
      </w:r>
    </w:p>
    <w:bookmarkEnd w:id="49"/>
    <w:p w14:paraId="2327F5BC">
      <w:pPr>
        <w:pStyle w:val="189"/>
      </w:pPr>
      <w:bookmarkStart w:id="50" w:name="ref-ClusterprofilerWuTi2021"/>
      <w:r>
        <w:t xml:space="preserve">6. Wu, T. </w:t>
      </w:r>
      <w:r>
        <w:rPr>
          <w:i/>
        </w:rPr>
        <w:t>et al.</w:t>
      </w:r>
      <w:r>
        <w:t xml:space="preserve"> ClusterProfiler 4.0: A universal enrichment tool for interpreting omics data. </w:t>
      </w:r>
      <w:r>
        <w:rPr>
          <w:i/>
        </w:rPr>
        <w:t>The Innovation</w:t>
      </w:r>
      <w:r>
        <w:t xml:space="preserve"> </w:t>
      </w:r>
      <w:r>
        <w:rPr>
          <w:b/>
        </w:rPr>
        <w:t>2</w:t>
      </w:r>
      <w:r>
        <w:t>, (2021).</w:t>
      </w:r>
    </w:p>
    <w:bookmarkEnd w:id="50"/>
    <w:p w14:paraId="4B3EBD99">
      <w:pPr>
        <w:pStyle w:val="189"/>
      </w:pPr>
      <w:bookmarkStart w:id="51" w:name="ref-LimmaLinearMSmyth2005"/>
      <w:r>
        <w:t xml:space="preserve">7. Smyth, G. K. Limma: Linear models for microarray data. in </w:t>
      </w:r>
      <w:r>
        <w:rPr>
          <w:i/>
        </w:rPr>
        <w:t>Bioinformatics and Computational Biology Solutions Using R and Bioconductor</w:t>
      </w:r>
      <w:r>
        <w:t xml:space="preserve"> (eds. Gentleman, R., Carey, V. J., Huber, W., Irizarry, R. A. &amp; Dudoit, S.) 397–420 (Springer-Verlag, 2005). doi:</w:t>
      </w:r>
      <w:r>
        <w:fldChar w:fldCharType="begin"/>
      </w:r>
      <w:r>
        <w:instrText xml:space="preserve"> HYPERLINK "https://doi.org/10.1007/0-387-29362-0_23" \h </w:instrText>
      </w:r>
      <w:r>
        <w:fldChar w:fldCharType="separate"/>
      </w:r>
      <w:r>
        <w:rPr>
          <w:rStyle w:val="24"/>
        </w:rPr>
        <w:t>10.1007/0-387-29362-0_23</w:t>
      </w:r>
      <w:r>
        <w:rPr>
          <w:rStyle w:val="24"/>
        </w:rPr>
        <w:fldChar w:fldCharType="end"/>
      </w:r>
      <w:r>
        <w:t>.</w:t>
      </w:r>
    </w:p>
    <w:bookmarkEnd w:id="51"/>
    <w:p w14:paraId="2FD6DD28">
      <w:pPr>
        <w:pStyle w:val="189"/>
      </w:pPr>
      <w:bookmarkStart w:id="52" w:name="ref-LigandDockingSeelig2010"/>
      <w:r>
        <w:t xml:space="preserve">8. Seeliger, D. &amp; Groot, B. L. de. Ligand docking and binding site analysis with pymol and autodock/vina. </w:t>
      </w:r>
      <w:r>
        <w:rPr>
          <w:i/>
        </w:rPr>
        <w:t>Journal of Computer-Aided Molecular Design</w:t>
      </w:r>
      <w:r>
        <w:t xml:space="preserve"> </w:t>
      </w:r>
      <w:r>
        <w:rPr>
          <w:b/>
        </w:rPr>
        <w:t>24</w:t>
      </w:r>
      <w:r>
        <w:t>, (2010).</w:t>
      </w:r>
    </w:p>
    <w:bookmarkEnd w:id="52"/>
    <w:p w14:paraId="778B15AB">
      <w:pPr>
        <w:pStyle w:val="189"/>
      </w:pPr>
      <w:bookmarkStart w:id="53" w:name="ref-AutogridfrImpZhang2019"/>
      <w:r>
        <w:t xml:space="preserve">9. Zhang, Y., Forli, S., Omelchenko, A. &amp; Sanner, M. F. AutoGridFR: Improvements on autodock affinity maps and associated software tools. </w:t>
      </w:r>
      <w:r>
        <w:rPr>
          <w:i/>
        </w:rPr>
        <w:t>Journal of computational chemistry</w:t>
      </w:r>
      <w:r>
        <w:t xml:space="preserve"> </w:t>
      </w:r>
      <w:r>
        <w:rPr>
          <w:b/>
        </w:rPr>
        <w:t>40</w:t>
      </w:r>
      <w:r>
        <w:t>, 2882–2886 (2019).</w:t>
      </w:r>
    </w:p>
    <w:bookmarkEnd w:id="53"/>
    <w:p w14:paraId="3F135735">
      <w:pPr>
        <w:pStyle w:val="189"/>
      </w:pPr>
      <w:bookmarkStart w:id="54" w:name="ref-AutodockVina1Eberha2021"/>
      <w:r>
        <w:t xml:space="preserve">10. Eberhardt, J., Santos-Martins, D., Tillack, A. F. &amp; Forli, S. AutoDock vina 1.2.0: New docking methods, expanded force field, and python bindings. </w:t>
      </w:r>
      <w:r>
        <w:rPr>
          <w:i/>
        </w:rPr>
        <w:t>Journal of Chemical Information and Modeling</w:t>
      </w:r>
      <w:r>
        <w:t xml:space="preserve"> </w:t>
      </w:r>
      <w:r>
        <w:rPr>
          <w:b/>
        </w:rPr>
        <w:t>61</w:t>
      </w:r>
      <w:r>
        <w:t>, 3891–3898 (2021).</w:t>
      </w:r>
    </w:p>
    <w:bookmarkEnd w:id="54"/>
    <w:p w14:paraId="1AEABA92">
      <w:pPr>
        <w:pStyle w:val="189"/>
      </w:pPr>
      <w:bookmarkStart w:id="55" w:name="ref-Identification_Xiang_2023"/>
      <w:r>
        <w:t xml:space="preserve">11. Xiang, Q., Zhao, Y. &amp; Li, W. Identification and validation of ferroptosis-related gene signature in intervertebral disc degeneration. </w:t>
      </w:r>
      <w:r>
        <w:rPr>
          <w:i/>
        </w:rPr>
        <w:t>Frontiers in endocrinology</w:t>
      </w:r>
      <w:r>
        <w:t xml:space="preserve"> </w:t>
      </w:r>
      <w:r>
        <w:rPr>
          <w:b/>
        </w:rPr>
        <w:t>14</w:t>
      </w:r>
      <w:r>
        <w:t>, (2023).</w:t>
      </w:r>
    </w:p>
    <w:bookmarkEnd w:id="55"/>
    <w:p w14:paraId="1CAC4E21">
      <w:pPr>
        <w:pStyle w:val="189"/>
      </w:pPr>
      <w:bookmarkStart w:id="56" w:name="ref-Bioinformatics_Liu_C_2022"/>
      <w:r>
        <w:t xml:space="preserve">12. Liu, C., Li, Z. &amp; Xi, H. Bioinformatics analysis and &lt;i&gt;in vivo&lt;/i&gt; validation of ferroptosis-related genes in ischemic stroke. </w:t>
      </w:r>
      <w:r>
        <w:rPr>
          <w:i/>
        </w:rPr>
        <w:t>Frontiers in pharmacology</w:t>
      </w:r>
      <w:r>
        <w:t xml:space="preserve"> </w:t>
      </w:r>
      <w:r>
        <w:rPr>
          <w:b/>
        </w:rPr>
        <w:t>13</w:t>
      </w:r>
      <w:r>
        <w:t>, (2022).</w:t>
      </w:r>
    </w:p>
    <w:bookmarkEnd w:id="56"/>
    <w:p w14:paraId="148B4A07">
      <w:pPr>
        <w:pStyle w:val="189"/>
      </w:pPr>
      <w:bookmarkStart w:id="57" w:name="ref-Ferroptosis_rel_Dong_2023"/>
      <w:r>
        <w:t xml:space="preserve">13. Dong, H. </w:t>
      </w:r>
      <w:r>
        <w:rPr>
          <w:i/>
        </w:rPr>
        <w:t>et al.</w:t>
      </w:r>
      <w:r>
        <w:t xml:space="preserve"> Ferroptosis related genes participate in the pathogenesis of spinal cord injury via hif-1 signaling pathway. </w:t>
      </w:r>
      <w:r>
        <w:rPr>
          <w:i/>
        </w:rPr>
        <w:t>Brain research bulletin</w:t>
      </w:r>
      <w:r>
        <w:t xml:space="preserve"> </w:t>
      </w:r>
      <w:r>
        <w:rPr>
          <w:b/>
        </w:rPr>
        <w:t>192</w:t>
      </w:r>
      <w:r>
        <w:t>, 192–202 (2023).</w:t>
      </w:r>
    </w:p>
    <w:bookmarkEnd w:id="45"/>
    <w:bookmarkEnd w:id="57"/>
    <w:sectPr>
      <w:headerReference r:id="rId6" w:type="first"/>
      <w:headerReference r:id="rId5" w:type="default"/>
      <w:footerReference r:id="rId7" w:type="default"/>
      <w:type w:val="continuous"/>
      <w:pgSz w:w="11906" w:h="16838"/>
      <w:pgMar w:top="1440" w:right="1800" w:bottom="1440" w:left="1800" w:header="907" w:footer="90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35"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F1YZnSAAAABAEAAA8AAAAAAAAAAQAgAAAAIgAAAGRycy9k&#10;b3ducmV2LnhtbFBLAQIUABQAAAAIAIdO4kAt2/BwzwEAAJkDAAAOAAAAAAAAAAEAIAAAACEBAABk&#10;cnMvZTJvRG9jLnhtbFBLBQYAAAAABgAGAFkBAABiBQ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29"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31"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33"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hyphenationZone w:val="360"/>
  <w:footnotePr>
    <w:footnote w:id="0"/>
    <w:footnote w:id="1"/>
  </w:footnotePr>
  <w:endnotePr>
    <w:endnote w:id="0"/>
    <w:endnote w:id="1"/>
  </w:endnotePr>
  <w:compat>
    <w:compatSetting w:name="compatibilityMode" w:uri="http://schemas.microsoft.com/office/word" w:val="15"/>
  </w:compat>
  <w:rsids>
    <w:rsidRoot w:val="00000000"/>
    <w:rsid w:val="FF5D30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TotalTime>1</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2025-01-07T17:43:00Z</dcterms:created>
  <dc:creator>echo</dc:creator>
  <cp:lastModifiedBy>echo</cp:lastModifiedBy>
  <dcterms:modified xsi:type="dcterms:W3CDTF">2025-01-07T17:45:26Z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y fmtid="{D5CDD505-2E9C-101B-9397-08002B2CF9AE}" pid="6" name="KSOProductBuildVer">
    <vt:lpwstr>1033-12.1.0.17900</vt:lpwstr>
  </property>
  <property fmtid="{D5CDD505-2E9C-101B-9397-08002B2CF9AE}" pid="7" name="ICV">
    <vt:lpwstr>C28956483950C9FDB6F77C678AFCC356_42</vt:lpwstr>
  </property>
</Properties>
</file>