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pPr>
      <w:r>
        <w:rPr>
          <w:rFonts w:ascii="Microsoft YaHei" w:hAnsi="Microsoft YaHei" w:eastAsia="Microsoft YaHei" w:cs="Microsoft YaHei"/>
          <w:i w:val="false"/>
          <w:b w:val="true"/>
          <w:u w:val="none"/>
          <w:sz w:val="52"/>
          <w:szCs w:val="52"/>
          <w:color w:val="000000"/>
        </w:rPr>
        <w:t xml:space="preserve">生信分析报告</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项目标题：</w:t>
      </w:r>
      <w:r>
        <w:rPr>
          <w:rFonts w:ascii="SimSun" w:hAnsi="SimSun" w:eastAsia="SimSun" w:cs="SimSun"/>
          <w:i w:val="false"/>
          <w:b w:val="true"/>
          <w:u w:val="single"/>
          <w:sz w:val="28"/>
          <w:szCs w:val="28"/>
          <w:color w:val="000000"/>
        </w:rPr>
        <w:t xml:space="preserve">          清心莲子饮网络药理学分析           ;</w:t>
      </w: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单    号：</w:t>
      </w:r>
      <w:r>
        <w:rPr>
          <w:rFonts w:ascii="SimSun" w:hAnsi="SimSun" w:eastAsia="SimSun" w:cs="SimSun"/>
          <w:i w:val="false"/>
          <w:b w:val="true"/>
          <w:u w:val="single"/>
          <w:sz w:val="28"/>
          <w:szCs w:val="28"/>
          <w:color w:val="000000"/>
        </w:rPr>
        <w:t xml:space="preserve">                 BSJF240734                  ;</w:t>
      </w: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分析人员：</w:t>
      </w:r>
      <w:r>
        <w:rPr>
          <w:rFonts w:ascii="SimSun" w:hAnsi="SimSun" w:eastAsia="SimSun" w:cs="SimSun"/>
          <w:i w:val="false"/>
          <w:b w:val="true"/>
          <w:u w:val="single"/>
          <w:sz w:val="28"/>
          <w:szCs w:val="28"/>
          <w:color w:val="000000"/>
        </w:rPr>
        <w:t xml:space="preserve">                   黄礼闯                    ;</w:t>
      </w: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分析类型：</w:t>
      </w:r>
      <w:r>
        <w:rPr>
          <w:rFonts w:ascii="SimSun" w:hAnsi="SimSun" w:eastAsia="SimSun" w:cs="SimSun"/>
          <w:i w:val="false"/>
          <w:b w:val="true"/>
          <w:u w:val="single"/>
          <w:sz w:val="28"/>
          <w:szCs w:val="28"/>
          <w:color w:val="000000"/>
        </w:rPr>
        <w:t xml:space="preserve">                  生信分析                   ;</w:t>
      </w: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委 托 人：</w:t>
      </w:r>
      <w:r>
        <w:rPr>
          <w:rFonts w:ascii="SimSun" w:hAnsi="SimSun" w:eastAsia="SimSun" w:cs="SimSun"/>
          <w:i w:val="false"/>
          <w:b w:val="true"/>
          <w:u w:val="single"/>
          <w:sz w:val="28"/>
          <w:szCs w:val="28"/>
          <w:color w:val="000000"/>
        </w:rPr>
        <w:t xml:space="preserve">                    林波                     ;</w:t>
      </w:r>
    </w:p>
    <w:p>
      <w:pPr>
        <w:pStyle w:val="Normal"/>
        <w:jc w:val="left"/>
        <w:pBdr>
          <w:bottom w:val="none" w:sz="0" w:space="0" w:color="000000"/>
          <w:top w:val="none" w:sz="0" w:space="0" w:color="000000"/>
          <w:left w:val="none" w:sz="0" w:space="0" w:color="000000"/>
          <w:right w:val="none" w:sz="0" w:space="0" w:color="000000"/>
        </w:pBdr>
        <w:spacing w:after="0" w:before="0" w:line="600"/>
        <w:ind w:left="0" w:right="0" w:firstLine="0" w:firstLineChars="0"/>
      </w:pPr>
      <w:r>
        <w:rPr>
          <w:rFonts w:ascii="SimSun" w:hAnsi="SimSun" w:eastAsia="SimSun" w:cs="SimSun"/>
          <w:i w:val="false"/>
          <w:b w:val="true"/>
          <w:u w:val="none"/>
          <w:sz w:val="28"/>
          <w:szCs w:val="28"/>
          <w:color w:val="000000"/>
        </w:rPr>
        <w:t xml:space="preserve">  受 托 人：</w:t>
      </w:r>
      <w:r>
        <w:rPr>
          <w:rFonts w:ascii="SimSun" w:hAnsi="SimSun" w:eastAsia="SimSun" w:cs="SimSun"/>
          <w:i w:val="false"/>
          <w:b w:val="true"/>
          <w:u w:val="single"/>
          <w:sz w:val="28"/>
          <w:szCs w:val="28"/>
          <w:color w:val="000000"/>
        </w:rPr>
        <w:t xml:space="preserve">          杭州铂赛生物科技有限公司           .</w:t>
      </w:r>
    </w:p>
    <w:p>
      <w:pPr>
        <w:pStyle w:val="Heading1"/>
      </w:pPr>
      <w:bookmarkStart w:id="20" w:name="abstract"/>
      <w:r>
        <w:t xml:space="preserve">分析流程</w:t>
      </w:r>
      <w:bookmarkEnd w:id="20"/>
    </w:p>
    <w:p>
      <w:pPr>
        <w:numPr>
          <w:ilvl w:val="0"/>
          <w:numId w:val="1001"/>
        </w:numPr>
        <w:pStyle w:val="Compact"/>
      </w:pPr>
      <w:r>
        <w:t xml:space="preserve">通过网络药理学筛选出清心莲子饮和CKD的共同靶点</w:t>
      </w:r>
    </w:p>
    <w:p>
      <w:pPr>
        <w:numPr>
          <w:ilvl w:val="0"/>
          <w:numId w:val="1001"/>
        </w:numPr>
        <w:pStyle w:val="Compact"/>
      </w:pPr>
      <w:r>
        <w:t xml:space="preserve">根据上一步靶点的相关信号通路与铁死亡相关信号通路进行通路富集</w:t>
      </w:r>
    </w:p>
    <w:p>
      <w:pPr>
        <w:pStyle w:val="FirstParagraph"/>
      </w:pPr>
      <w:r>
        <w:rPr/>
        <w:drawing xmlns:r="http://schemas.openxmlformats.org/officeDocument/2006/relationships">
          <wp:inline distT="0" distB="0" distL="0" distR="0">
            <wp:extent cx="5669280" cy="4918711"/>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3d1310e1.png"/>
                    <a:stretch>
                      <a:fillRect/>
                    </a:stretch>
                  </pic:blipFill>
                  <pic:spPr bwMode="auto">
                    <a:xfrm>
                      <a:off x="0" y="0"/>
                      <a:ext cx="78740" cy="68315"/>
                    </a:xfrm>
                    <a:prstGeom prst="rect">
                      <a:avLst/>
                    </a:prstGeom>
                    <a:noFill/>
                  </pic:spPr>
                </pic:pic>
              </a:graphicData>
            </a:graphic>
          </wp:inline>
        </w:drawing>
      </w:r>
    </w:p>
    <w:p>
      <w:pPr>
        <w:pStyle w:val="ImageCaption"/>
      </w:pPr>
      <w:r>
        <w:rPr>
          <w:rFonts/>
          <w:b w:val="true"/>
        </w:rPr>
        <w:t xml:space="preserve">Fig. </w:t>
      </w:r>
      <w:bookmarkStart w:id="35c1570e-9c3d-4c4d-aaa9-7524b55aaa2a" w:name="Unnamed-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c1570e-9c3d-4c4d-aaa9-7524b55aaa2a"/>
      <w:r>
        <w:rPr>
          <w:rFonts/>
          <w:b w:val="true"/>
        </w:rPr>
        <w:t xml:space="preserve"> </w:t>
      </w:r>
      <w:r>
        <w:t xml:space="preserve">Unnamed 1</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Figure+Table/1.0_分析流程_{#abstract}/Unnamed-1.pdf)</w:t>
      </w:r>
    </w:p>
    <w:p>
      <w:pPr>
        <w:pStyle w:val="Heading1"/>
      </w:pPr>
      <w:bookmarkStart w:id="21" w:name="introduction"/>
      <w:r>
        <w:t xml:space="preserve">材料和方法</w:t>
      </w:r>
      <w:bookmarkEnd w:id="21"/>
    </w:p>
    <w:p>
      <w:pPr>
        <w:pStyle w:val="Heading2"/>
      </w:pPr>
      <w:bookmarkStart w:id="22" w:name="数据分析平台"/>
      <w:r>
        <w:t xml:space="preserve">数据分析平台</w:t>
      </w:r>
      <w:bookmarkEnd w:id="22"/>
    </w:p>
    <w:p>
      <w:pPr>
        <w:pStyle w:val="FirstParagraph"/>
      </w:pPr>
      <w:r>
        <w:t xml:space="preserve">在 Linux pop-os x86_64 (6.9.3-76060903-generic) 上，使用 R version 4.4.2 (2024-10-31) (https://www.r-project.org/) 对数据统计分析与整合分析。</w:t>
      </w:r>
    </w:p>
    <w:p>
      <w:pPr>
        <w:pStyle w:val="Heading2"/>
      </w:pPr>
      <w:bookmarkStart w:id="23" w:name="batman-网络药理学-dataset-qingxin"/>
      <w:r>
        <w:t xml:space="preserve">BATMAN 网络药理学 (Dataset: QINGXIN)</w:t>
      </w:r>
      <w:bookmarkEnd w:id="23"/>
    </w:p>
    <w:p>
      <w:pPr>
        <w:pStyle w:val="FirstParagraph"/>
      </w:pPr>
      <w:r>
        <w:t xml:space="preserve">从数据库</w:t>
      </w:r>
      <w:r>
        <w:t xml:space="preserve"> </w:t>
      </w:r>
      <w:r>
        <w:rPr>
          <w:rStyle w:val="VerbatimChar"/>
        </w:rPr>
        <w:t xml:space="preserve">BATMAN-TCM</w:t>
      </w:r>
      <w:r>
        <w:t xml:space="preserve"> </w:t>
      </w:r>
      <w:r>
        <w:t xml:space="preserve">((2024,</w:t>
      </w:r>
      <w:r>
        <w:t xml:space="preserve"> </w:t>
      </w:r>
      <w:r>
        <w:rPr>
          <w:b/>
        </w:rPr>
        <w:t xml:space="preserve">IF:16.6</w:t>
      </w:r>
      <w:r>
        <w:t xml:space="preserve">, Q1, Nucleic acids research)</w:t>
      </w:r>
      <w:r>
        <w:t xml:space="preserve">[@BatmanTcm20Kong2024]</w:t>
      </w:r>
      <w:r>
        <w:t xml:space="preserve">) 中获取 赤芍, 麦冬, 车前子, 人参, 地骨皮, 莲子, 黄芩, 甘草, 黄芪, 赤芍 等中药的成分、靶点数据。</w:t>
      </w:r>
      <w:r>
        <w:t xml:space="preserve"> </w:t>
      </w:r>
      <w:r>
        <w:t xml:space="preserve">使用</w:t>
      </w:r>
      <w:r>
        <w:t xml:space="preserve"> </w:t>
      </w:r>
      <w:r>
        <w:rPr>
          <w:rStyle w:val="VerbatimChar"/>
        </w:rPr>
        <w:t xml:space="preserve">BATMAN-TCM</w:t>
      </w:r>
      <w:r>
        <w:t xml:space="preserve"> </w:t>
      </w:r>
      <w:r>
        <w:t xml:space="preserve">数据库中的</w:t>
      </w:r>
      <w:r>
        <w:t xml:space="preserve"> </w:t>
      </w:r>
      <w:r>
        <w:rPr>
          <w:rStyle w:val="VerbatimChar"/>
        </w:rPr>
        <w:t xml:space="preserve">known_target_proteins</w:t>
      </w:r>
      <w:r>
        <w:t xml:space="preserve"> </w:t>
      </w:r>
      <w:r>
        <w:t xml:space="preserve">作为成分靶点。此外，还使用了</w:t>
      </w:r>
      <w:r>
        <w:t xml:space="preserve"> </w:t>
      </w:r>
      <w:r>
        <w:rPr>
          <w:rStyle w:val="VerbatimChar"/>
        </w:rPr>
        <w:t xml:space="preserve">BATMAN-TCM</w:t>
      </w:r>
      <w:r>
        <w:t xml:space="preserve"> </w:t>
      </w:r>
      <w:r>
        <w:t xml:space="preserve">数据库中的</w:t>
      </w:r>
      <w:r>
        <w:t xml:space="preserve"> </w:t>
      </w:r>
      <w:r>
        <w:rPr>
          <w:rStyle w:val="VerbatimChar"/>
        </w:rPr>
        <w:t xml:space="preserve">predicted_target_proteins</w:t>
      </w:r>
      <w:r>
        <w:t xml:space="preserve"> </w:t>
      </w:r>
      <w:r>
        <w:t xml:space="preserve">作为成分靶点，并设定 分数 cut-off 为 0.9。合并靶点数据。以</w:t>
      </w:r>
      <w:r>
        <w:t xml:space="preserve"> </w:t>
      </w:r>
      <w:r>
        <w:rPr>
          <w:rStyle w:val="VerbatimChar"/>
        </w:rPr>
        <w:t xml:space="preserve">BiomaRt</w:t>
      </w:r>
      <w:r>
        <w:t xml:space="preserve"> </w:t>
      </w:r>
      <w:r>
        <w:t xml:space="preserve">((2009,</w:t>
      </w:r>
      <w:r>
        <w:t xml:space="preserve"> </w:t>
      </w:r>
      <w:r>
        <w:rPr>
          <w:b/>
        </w:rPr>
        <w:t xml:space="preserve">IF:13.1</w:t>
      </w:r>
      <w:r>
        <w:t xml:space="preserve">, Q1, Nature protocols)</w:t>
      </w:r>
      <w:r>
        <w:t xml:space="preserve">[@MappingIdentifDurinc2009]</w:t>
      </w:r>
      <w:r>
        <w:t xml:space="preserve">) 对靶点信息的 entrez_id 转化为基因 Symbol (hgnc_symbol) 。</w:t>
      </w:r>
      <w:r>
        <w:t xml:space="preserve"> </w:t>
      </w:r>
      <w:r>
        <w:t xml:space="preserve">以</w:t>
      </w:r>
      <w:r>
        <w:t xml:space="preserve"> </w:t>
      </w:r>
      <w:r>
        <w:rPr>
          <w:rStyle w:val="VerbatimChar"/>
        </w:rPr>
        <w:t xml:space="preserve">PubChemR</w:t>
      </w:r>
      <w:r>
        <w:t xml:space="preserve"> </w:t>
      </w:r>
      <w:r>
        <w:t xml:space="preserve">获取化合物同义名 (Synonym)，按正则表达式 (Regex) 匹配化合物简短的同义名用以化合物注释。</w:t>
      </w:r>
    </w:p>
    <w:p>
      <w:pPr>
        <w:pStyle w:val="Heading2"/>
      </w:pPr>
      <w:bookmarkStart w:id="24" w:name="genecards-基因获取-dataset-ckd"/>
      <w:r>
        <w:t xml:space="preserve">GeneCards 基因获取 (Dataset: CKD)</w:t>
      </w:r>
      <w:bookmarkEnd w:id="24"/>
    </w:p>
    <w:p>
      <w:pPr>
        <w:pStyle w:val="FirstParagraph"/>
      </w:pPr>
      <w:r>
        <w:t xml:space="preserve">从</w:t>
      </w:r>
      <w:r>
        <w:t xml:space="preserve"> </w:t>
      </w:r>
      <w:r>
        <w:rPr>
          <w:rStyle w:val="VerbatimChar"/>
        </w:rPr>
        <w:t xml:space="preserve">GeneCards</w:t>
      </w:r>
      <w:r>
        <w:t xml:space="preserve"> </w:t>
      </w:r>
      <w:r>
        <w:t xml:space="preserve">数据库 (2016,</w:t>
      </w:r>
      <w:r>
        <w:t xml:space="preserve"> </w:t>
      </w:r>
      <w:r>
        <w:rPr>
          <w:b/>
        </w:rPr>
        <w:t xml:space="preserve">IF:NA</w:t>
      </w:r>
      <w:r>
        <w:t xml:space="preserve">, NA, Current protocols in bioinformatics)</w:t>
      </w:r>
      <w:r>
        <w:t xml:space="preserve">[@TheGenecardsSStelze2016]</w:t>
      </w:r>
      <w:r>
        <w:t xml:space="preserve"> </w:t>
      </w:r>
      <w:r>
        <w:t xml:space="preserve">获取 Chronic kidney disease 相关的基因集，得分 cut-off 为 3。</w:t>
      </w:r>
    </w:p>
    <w:p>
      <w:pPr>
        <w:pStyle w:val="Heading2"/>
      </w:pPr>
      <w:bookmarkStart w:id="25" w:name="ferrdb-铁死亡调控因子-dataset-ferr"/>
      <w:r>
        <w:t xml:space="preserve">FerrDb 铁死亡调控因子 (Dataset: FERR)</w:t>
      </w:r>
      <w:bookmarkEnd w:id="25"/>
    </w:p>
    <w:p>
      <w:pPr>
        <w:pStyle w:val="FirstParagraph"/>
      </w:pPr>
      <w:r>
        <w:t xml:space="preserve">从数据库</w:t>
      </w:r>
      <w:r>
        <w:t xml:space="preserve"> </w:t>
      </w:r>
      <w:r>
        <w:rPr>
          <w:rStyle w:val="VerbatimChar"/>
        </w:rPr>
        <w:t xml:space="preserve">FerrDb V2</w:t>
      </w:r>
      <w:r>
        <w:t xml:space="preserve"> </w:t>
      </w:r>
      <w:r>
        <w:t xml:space="preserve">(2023,</w:t>
      </w:r>
      <w:r>
        <w:t xml:space="preserve"> </w:t>
      </w:r>
      <w:r>
        <w:rPr>
          <w:b/>
        </w:rPr>
        <w:t xml:space="preserve">IF:16.6</w:t>
      </w:r>
      <w:r>
        <w:t xml:space="preserve">, Q1, Nucleic acids research)</w:t>
      </w:r>
      <w:r>
        <w:t xml:space="preserve">[@FerrdbV2UpdaZhou2023]</w:t>
      </w:r>
      <w:r>
        <w:t xml:space="preserve"> </w:t>
      </w:r>
      <w:r>
        <w:t xml:space="preserve">获取与铁死亡相关的调控因子或铁死亡与疾病之间的关联信息</w:t>
      </w:r>
      <w:r>
        <w:t xml:space="preserve"> </w:t>
      </w:r>
      <w:hyperlink r:id="rId26">
        <w:r>
          <w:rPr>
            <w:rStyle w:val="Hyperlink"/>
          </w:rPr>
          <w:t xml:space="preserve">http://www.zhounan.org/ferrdb/current/</w:t>
        </w:r>
      </w:hyperlink>
      <w:r>
        <w:t xml:space="preserve">。</w:t>
      </w:r>
    </w:p>
    <w:p>
      <w:pPr>
        <w:pStyle w:val="Heading2"/>
      </w:pPr>
      <w:bookmarkStart w:id="27" w:name="富集分析-dataset-common"/>
      <w:r>
        <w:t xml:space="preserve">富集分析 (Dataset: COMMON)</w:t>
      </w:r>
      <w:bookmarkEnd w:id="27"/>
    </w:p>
    <w:p>
      <w:pPr>
        <w:pStyle w:val="FirstParagraph"/>
      </w:pPr>
      <w:r>
        <w:t xml:space="preserve">以 ClusterProfiler R 包 (4.15.0.2) (2021,</w:t>
      </w:r>
      <w:r>
        <w:t xml:space="preserve"> </w:t>
      </w:r>
      <w:r>
        <w:rPr>
          <w:b/>
        </w:rPr>
        <w:t xml:space="preserve">IF:33.2</w:t>
      </w:r>
      <w:r>
        <w:t xml:space="preserve">, Q1, The Innovation)</w:t>
      </w:r>
      <w:r>
        <w:t xml:space="preserve">[@ClusterprofilerWuTi2021]</w:t>
      </w:r>
      <w:r>
        <w:t xml:space="preserve">进行 KEGG 和 GO 富集分析。</w:t>
      </w:r>
      <w:r>
        <w:t xml:space="preserve"> </w:t>
      </w:r>
      <w:r>
        <w:t xml:space="preserve">以</w:t>
      </w:r>
      <w:r>
        <w:t xml:space="preserve"> </w:t>
      </w:r>
      <w:r>
        <w:rPr>
          <w:rStyle w:val="VerbatimChar"/>
        </w:rPr>
        <w:t xml:space="preserve">pathview</w:t>
      </w:r>
      <w:r>
        <w:t xml:space="preserve"> </w:t>
      </w:r>
      <w:r>
        <w:t xml:space="preserve">R 包 (1.46.0) 对选择的 KEGG 通路可视化。</w:t>
      </w:r>
    </w:p>
    <w:p>
      <w:pPr>
        <w:pStyle w:val="Heading1"/>
      </w:pPr>
      <w:bookmarkStart w:id="28" w:name="workflow"/>
      <w:r>
        <w:t xml:space="preserve">分析结果</w:t>
      </w:r>
      <w:bookmarkEnd w:id="28"/>
    </w:p>
    <w:p>
      <w:pPr>
        <w:pStyle w:val="Heading2"/>
      </w:pPr>
      <w:bookmarkStart w:id="29" w:name="batman-网络药理学-qingxin"/>
      <w:r>
        <w:t xml:space="preserve">BATMAN 网络药理学 (QINGXIN)</w:t>
      </w:r>
      <w:bookmarkEnd w:id="29"/>
    </w:p>
    <w:p>
      <w:pPr>
        <w:pStyle w:val="FirstParagraph"/>
      </w:pPr>
      <w:r>
        <w:t xml:space="preserve">各中药的化合物组成统计：CHE QIAN ZI (n=85) , CHI SHAO (n=238) , DI GU PI (n=114) , GAN CAO (n=509) , HUANG QI (n=248) , HUANG QIN (n=299) , LIAN ZI (n=48) , LIGNUM PAEONIAE RUBRA (n=3) , MAI DONG (n=86) , REN SHEN (n=604) 。共包含化合物 272 个 (非重复)。</w:t>
      </w:r>
      <w:r>
        <w:t xml:space="preserve"> </w:t>
      </w:r>
      <w:r>
        <w:t xml:space="preserve">共包含靶点 1856 个 (非重复)。</w:t>
      </w:r>
    </w:p>
    <w:p>
      <w:pPr>
        <w:pStyle w:val="BodyText"/>
      </w:pPr>
      <w:r>
        <w:t xml:space="preserve">Fig.</w:t>
      </w:r>
      <w:r>
        <w:t xml:space="preserve"> </w:t>
      </w:r>
      <w:hyperlink w:anchor="Intersection-of-herbs-compound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Intersection-of-herbs-compounds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pStyle w:val="BodyText"/>
      </w:pPr>
      <w:r>
        <w:t xml:space="preserve">UpSet 图展示了中药各组成成分之间的交集。</w:t>
      </w:r>
    </w:p>
    <w:p>
      <w:pPr>
        <w:pStyle w:val="BodyText"/>
      </w:pPr>
      <w:r>
        <w:t xml:space="preserve">Fig.</w:t>
      </w:r>
      <w:r>
        <w:t xml:space="preserve"> </w:t>
      </w:r>
      <w:hyperlink w:anchor="Intersection-of-herbs-all-targe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Intersection-of-herbs-all-targets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p>
    <w:p>
      <w:pPr>
        <w:pStyle w:val="BodyText"/>
      </w:pPr>
      <w:r>
        <w:rPr/>
        <w:drawing xmlns:r="http://schemas.openxmlformats.org/officeDocument/2006/relationships">
          <wp:inline distT="0" distB="0" distL="0" distR="0">
            <wp:extent cx="5669280" cy="4491072"/>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552f43c8.png"/>
                    <a:stretch>
                      <a:fillRect/>
                    </a:stretch>
                  </pic:blipFill>
                  <pic:spPr bwMode="auto">
                    <a:xfrm>
                      <a:off x="0" y="0"/>
                      <a:ext cx="78740" cy="62376"/>
                    </a:xfrm>
                    <a:prstGeom prst="rect">
                      <a:avLst/>
                    </a:prstGeom>
                    <a:noFill/>
                  </pic:spPr>
                </pic:pic>
              </a:graphicData>
            </a:graphic>
          </wp:inline>
        </w:drawing>
      </w:r>
    </w:p>
    <w:p>
      <w:pPr>
        <w:pStyle w:val="ImageCaption"/>
      </w:pPr>
      <w:r>
        <w:rPr>
          <w:rFonts/>
          <w:b w:val="true"/>
        </w:rPr>
        <w:t xml:space="preserve">Fig. </w:t>
      </w:r>
      <w:bookmarkStart w:id="e2e880d1-a5e3-43d1-9aaf-63a152d1f8c4" w:name="Intersection-of-herbs-compound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e880d1-a5e3-43d1-9aaf-63a152d1f8c4"/>
      <w:r>
        <w:rPr>
          <w:rFonts/>
          <w:b w:val="true"/>
        </w:rPr>
        <w:t xml:space="preserve"> </w:t>
      </w:r>
      <w:r>
        <w:t xml:space="preserve">Intersection of herbs compounds</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Figure+Table/3.1_BATMAN_网络药理学_(QINGXIN)/Intersection-of-herbs-compounds.pdf)</w:t>
      </w:r>
    </w:p>
    <w:p>
      <w:pPr>
        <w:numPr>
          <w:ilvl w:val="0"/>
          <w:numId w:val="1002"/>
        </w:numPr>
        <w:pStyle w:val="Compact"/>
      </w:pPr>
      <w:r>
        <w:t xml:space="preserve">All_intersection:</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(See: Figure+Table/3.1_BATMAN_网络药理学_(QINGXIN)/Intersection-of-herbs-compounds-content)</w:t>
      </w:r>
    </w:p>
    <w:p>
      <w:pPr>
        <w:pStyle w:val="FirstParagraph"/>
      </w:pPr>
      <w:r>
        <w:rPr/>
        <w:drawing xmlns:r="http://schemas.openxmlformats.org/officeDocument/2006/relationships">
          <wp:inline distT="0" distB="0" distL="0" distR="0">
            <wp:extent cx="5669280" cy="4491072"/>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1ef48e27.png"/>
                    <a:stretch>
                      <a:fillRect/>
                    </a:stretch>
                  </pic:blipFill>
                  <pic:spPr bwMode="auto">
                    <a:xfrm>
                      <a:off x="0" y="0"/>
                      <a:ext cx="78740" cy="62376"/>
                    </a:xfrm>
                    <a:prstGeom prst="rect">
                      <a:avLst/>
                    </a:prstGeom>
                    <a:noFill/>
                  </pic:spPr>
                </pic:pic>
              </a:graphicData>
            </a:graphic>
          </wp:inline>
        </w:drawing>
      </w:r>
    </w:p>
    <w:p>
      <w:pPr>
        <w:pStyle w:val="ImageCaption"/>
      </w:pPr>
      <w:r>
        <w:rPr>
          <w:rFonts/>
          <w:b w:val="true"/>
        </w:rPr>
        <w:t xml:space="preserve">Fig. </w:t>
      </w:r>
      <w:bookmarkStart w:id="5cc6198e-470d-4a3b-9c97-843534bd3211" w:name="Intersection-of-herbs-all-target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c6198e-470d-4a3b-9c97-843534bd3211"/>
      <w:r>
        <w:rPr>
          <w:rFonts/>
          <w:b w:val="true"/>
        </w:rPr>
        <w:t xml:space="preserve"> </w:t>
      </w:r>
      <w:r>
        <w:t xml:space="preserve">Intersection of herbs all targets</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Figure+Table/3.1_BATMAN_网络药理学_(QINGXIN)/Intersection-of-herbs-all-targets.pdf)</w:t>
      </w:r>
    </w:p>
    <w:p>
      <w:pPr>
        <w:numPr>
          <w:ilvl w:val="0"/>
          <w:numId w:val="1003"/>
        </w:numPr>
        <w:pStyle w:val="Compact"/>
      </w:pPr>
      <w:r>
        <w:t xml:space="preserve">All_intersection: NA, MAPK1, AKT1, STAT3</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(See: Figure+Table/3.1_BATMAN_网络药理学_(QINGXIN)/Intersection-of-herbs-all-targets-content)</w:t>
      </w:r>
    </w:p>
    <w:p>
      <w:pPr>
        <w:pStyle w:val="Heading2"/>
      </w:pPr>
      <w:bookmarkStart w:id="30" w:name="genecards-基因获取-ckd"/>
      <w:r>
        <w:t xml:space="preserve">GeneCards 基因获取 (CKD)</w:t>
      </w:r>
      <w:bookmarkEnd w:id="30"/>
    </w:p>
    <w:p>
      <w:pPr>
        <w:pStyle w:val="FirstParagraph"/>
      </w:pPr>
      <w:r>
        <w:t xml:space="preserve">从</w:t>
      </w:r>
      <w:r>
        <w:t xml:space="preserve"> </w:t>
      </w:r>
      <w:r>
        <w:rPr>
          <w:rStyle w:val="VerbatimChar"/>
        </w:rPr>
        <w:t xml:space="preserve">GeneCards</w:t>
      </w:r>
      <w:r>
        <w:t xml:space="preserve"> </w:t>
      </w:r>
      <w:r>
        <w:t xml:space="preserve">取得的靶点数据，统计为 Functional Element (n=11) , Genetic Locus (n=1) , Protein Coding (n=675) , Pseudogene (n=1) , RNA Gene (lncRNA) (n=20) , RNA Gene (miRNA) (n=28) , RNA Gene (tRNA) (n=2) 。共 738 个靶点。</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  </w:t>
      </w:r>
      <w:bookmarkStart w:id="bcb6a73c-6279-4a0c-93ef-e9c7fc29b429" w:name="CKD-disease-related-targets-from-GeneCard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b6a73c-6279-4a0c-93ef-e9c7fc29b429"/>
      <w:r>
        <w:rPr>
          <w:rFonts/>
          <w:b w:val="true"/>
        </w:rPr>
        <w:t xml:space="preserve">  </w:t>
      </w:r>
      <w:r>
        <w:t xml:space="preserve">CKD disease related targets from GeneCards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4"/>
        <w:gridCol w:w="1234"/>
        <w:gridCol w:w="1234"/>
        <w:gridCol w:w="1234"/>
        <w:gridCol w:w="1234"/>
        <w:gridCol w:w="1234"/>
        <w:gridCol w:w="12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UniProt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GIFtS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GC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Score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COL4A4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Collagen 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Protein Co...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P53420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GC02M226973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34.39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NPHS2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NPHS2 Stom...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Protein 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Q9NP85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GC01M179554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31.78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COL4A5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Collagen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Protein 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P29400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GC0XP108439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30.73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UMOD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Uromodulin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Protein 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P07911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GC16M027663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29.38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PKD2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Polycystin...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Protein 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Q13563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GC04P088007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26.96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r>
    </w:tbl>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Figure+Table/3.2_GeneCards_基因获取_(CKD)/CKD-disease-related-targets-from-GeneCards.xlsx)</w:t>
      </w:r>
    </w:p>
    <w:p>
      <w:pPr>
        <w:numPr>
          <w:ilvl w:val="0"/>
          <w:numId w:val="1004"/>
        </w:numPr>
        <w:pStyle w:val="Compact"/>
      </w:pPr>
      <w:r>
        <w:t xml:space="preserve">The GeneCards data was obtained by querying: Chronic kidney disease</w:t>
      </w:r>
    </w:p>
    <w:p>
      <w:pPr>
        <w:numPr>
          <w:ilvl w:val="0"/>
          <w:numId w:val="1004"/>
        </w:numPr>
        <w:pStyle w:val="Compact"/>
      </w:pPr>
      <w:r>
        <w:t xml:space="preserve">Restrict (with quotes): TRUE</w:t>
      </w:r>
    </w:p>
    <w:p>
      <w:pPr>
        <w:numPr>
          <w:ilvl w:val="0"/>
          <w:numId w:val="1004"/>
        </w:numPr>
        <w:pStyle w:val="Compact"/>
      </w:pPr>
      <w:r>
        <w:t xml:space="preserve">Filtering by Score:: Score &gt; 3</w:t>
      </w:r>
    </w:p>
    <w:p>
      <w:pPr>
        <w:pStyle w:val="Heading2"/>
      </w:pPr>
      <w:bookmarkStart w:id="31" w:name="network-疾病-成分-靶点-qingxin"/>
      <w:r>
        <w:t xml:space="preserve">Network 疾病-成分-靶点 (QINGXIN)</w:t>
      </w:r>
      <w:bookmarkEnd w:id="31"/>
    </w:p>
    <w:p>
      <w:pPr>
        <w:pStyle w:val="FirstParagraph"/>
      </w:pPr>
      <w:r>
        <w:rPr/>
        <w:drawing xmlns:r="http://schemas.openxmlformats.org/officeDocument/2006/relationships">
          <wp:inline distT="0" distB="0" distL="0" distR="0">
            <wp:extent cx="5669280" cy="4376925"/>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2b8c680a.png"/>
                    <a:stretch>
                      <a:fillRect/>
                    </a:stretch>
                  </pic:blipFill>
                  <pic:spPr bwMode="auto">
                    <a:xfrm>
                      <a:off x="0" y="0"/>
                      <a:ext cx="78740" cy="60791"/>
                    </a:xfrm>
                    <a:prstGeom prst="rect">
                      <a:avLst/>
                    </a:prstGeom>
                    <a:noFill/>
                  </pic:spPr>
                </pic:pic>
              </a:graphicData>
            </a:graphic>
          </wp:inline>
        </w:drawing>
      </w:r>
    </w:p>
    <w:p>
      <w:pPr>
        <w:pStyle w:val="ImageCaption"/>
      </w:pPr>
      <w:r>
        <w:rPr>
          <w:rFonts/>
          <w:b w:val="true"/>
        </w:rPr>
        <w:t xml:space="preserve">Fig. </w:t>
      </w:r>
      <w:bookmarkStart w:id="a3d58d08-e8e2-4548-961c-3d6b20c1f498" w:name="QINGXIN-network-pharmacology-with-disea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d58d08-e8e2-4548-961c-3d6b20c1f498"/>
      <w:r>
        <w:rPr>
          <w:rFonts/>
          <w:b w:val="true"/>
        </w:rPr>
        <w:t xml:space="preserve"> </w:t>
      </w:r>
      <w:r>
        <w:t xml:space="preserve">QINGXIN network pharmacology with disease</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Figure+Table/3.3_Network_疾病-成分-靶点_(QINGXIN)/QINGXIN-network-pharmacology-with-disease.pdf)</w:t>
      </w:r>
    </w:p>
    <w:p>
      <w:pPr>
        <w:pStyle w:val="BodyText"/>
      </w:pPr>
      <w:r>
        <w:rPr/>
        <w:drawing xmlns:r="http://schemas.openxmlformats.org/officeDocument/2006/relationships">
          <wp:inline distT="0" distB="0" distL="0" distR="0">
            <wp:extent cx="5669280" cy="3739312"/>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792aad85.png"/>
                    <a:stretch>
                      <a:fillRect/>
                    </a:stretch>
                  </pic:blipFill>
                  <pic:spPr bwMode="auto">
                    <a:xfrm>
                      <a:off x="0" y="0"/>
                      <a:ext cx="78740" cy="51935"/>
                    </a:xfrm>
                    <a:prstGeom prst="rect">
                      <a:avLst/>
                    </a:prstGeom>
                    <a:noFill/>
                  </pic:spPr>
                </pic:pic>
              </a:graphicData>
            </a:graphic>
          </wp:inline>
        </w:drawing>
      </w:r>
    </w:p>
    <w:p>
      <w:pPr>
        <w:pStyle w:val="ImageCaption"/>
      </w:pPr>
      <w:r>
        <w:rPr>
          <w:rFonts/>
          <w:b w:val="true"/>
        </w:rPr>
        <w:t xml:space="preserve">Fig. </w:t>
      </w:r>
      <w:bookmarkStart w:id="bf28c847-0d7f-4160-845a-440ea421b173" w:name="QINGXIN-Targets-intersect-with-targets-of-diseas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28c847-0d7f-4160-845a-440ea421b173"/>
      <w:r>
        <w:rPr>
          <w:rFonts/>
          <w:b w:val="true"/>
        </w:rPr>
        <w:t xml:space="preserve"> </w:t>
      </w:r>
      <w:r>
        <w:t xml:space="preserve">QINGXIN Targets intersect with targets of diseases</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Figure+Table/3.3_Network_疾病-成分-靶点_(QINGXIN)/QINGXIN-Targets-intersect-with-targets-of-diseases.pdf)</w:t>
      </w:r>
    </w:p>
    <w:p>
      <w:pPr>
        <w:pStyle w:val="Heading2"/>
      </w:pPr>
      <w:bookmarkStart w:id="32" w:name="ferrdb-铁死亡调控因子-ferr"/>
      <w:r>
        <w:t xml:space="preserve">FerrDb 铁死亡调控因子 (FERR)</w:t>
      </w:r>
      <w:bookmarkEnd w:id="32"/>
    </w:p>
    <w:p>
      <w:pPr>
        <w:pStyle w:val="FirstParagraph"/>
      </w:pPr>
      <w:r>
        <w:t xml:space="preserve">铁死亡相关调控因子统计：marker (n=9) , driver (n=264) , suppressor (n=238) , unclassifier (n=110)</w:t>
      </w:r>
    </w:p>
    <w:p>
      <w:pPr>
        <w:pStyle w:val="Heading2"/>
      </w:pPr>
      <w:bookmarkStart w:id="33" w:name="ferrdb-与铁死亡相关基因的交集-ferr"/>
      <w:r>
        <w:t xml:space="preserve">FerrDb 与铁死亡相关基因的交集 (FERR)</w:t>
      </w:r>
      <w:bookmarkEnd w:id="33"/>
    </w:p>
    <w:p>
      <w:pPr>
        <w:pStyle w:val="FirstParagraph"/>
      </w:pPr>
      <w:r>
        <w:rPr/>
        <w:drawing xmlns:r="http://schemas.openxmlformats.org/officeDocument/2006/relationships">
          <wp:inline distT="0" distB="0" distL="0" distR="0">
            <wp:extent cx="5669280" cy="3327706"/>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6715cdc8.png"/>
                    <a:stretch>
                      <a:fillRect/>
                    </a:stretch>
                  </pic:blipFill>
                  <pic:spPr bwMode="auto">
                    <a:xfrm>
                      <a:off x="0" y="0"/>
                      <a:ext cx="78740" cy="46218"/>
                    </a:xfrm>
                    <a:prstGeom prst="rect">
                      <a:avLst/>
                    </a:prstGeom>
                    <a:noFill/>
                  </pic:spPr>
                </pic:pic>
              </a:graphicData>
            </a:graphic>
          </wp:inline>
        </w:drawing>
      </w:r>
    </w:p>
    <w:p>
      <w:pPr>
        <w:pStyle w:val="ImageCaption"/>
      </w:pPr>
      <w:r>
        <w:rPr>
          <w:rFonts/>
          <w:b w:val="true"/>
        </w:rPr>
        <w:t xml:space="preserve">Fig. </w:t>
      </w:r>
      <w:bookmarkStart w:id="9709fdc3-677f-4145-bdbf-fd985fa73176" w:name="Intersection-of-Related-targets-with-Ferroptosis-al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09fdc3-677f-4145-bdbf-fd985fa73176"/>
      <w:r>
        <w:rPr>
          <w:rFonts/>
          <w:b w:val="true"/>
        </w:rPr>
        <w:t xml:space="preserve"> </w:t>
      </w:r>
      <w:r>
        <w:t xml:space="preserve">Intersection of Related targets with Ferroptosis all</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Figure+Table/3.5_FerrDb_与铁死亡相关基因的交集_(FERR)/Intersection-of-Related-targets-with-Ferroptosis-all.pdf)</w:t>
      </w:r>
    </w:p>
    <w:p>
      <w:pPr>
        <w:numPr>
          <w:ilvl w:val="0"/>
          <w:numId w:val="1005"/>
        </w:numPr>
        <w:pStyle w:val="Compact"/>
      </w:pPr>
      <w:r>
        <w:t xml:space="preserve">All_intersection: ALB, LCN2, IL6, ADIPOQ, VDR, TGFB1, MUC1, CBS, TF, VEGFA, HMOX1, IL1B, TGFBR1, HMGB1, HAMP, IFNG, TLR4, NFE2L2, HIF1A, TIMP1, PPARG, GSTM1, FGF21, HNF4A, TP53, DPP4, MTOR, CDH1, NOX4, CP, IDO1, HBA1, PTGS2, GSK3B, HOTAIR, SLC11A2, KEAP1</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(See: Figure+Table/3.5_FerrDb_与铁死亡相关基因的交集_(FERR)/Intersection-of-Related-targets-with-Ferroptosis-all-content)</w:t>
      </w:r>
    </w:p>
    <w:p>
      <w:pPr>
        <w:pStyle w:val="Heading2"/>
      </w:pPr>
      <w:bookmarkStart w:id="34" w:name="富集分析-common"/>
      <w:r>
        <w:t xml:space="preserve">富集分析 (COMMON)</w:t>
      </w:r>
      <w:bookmarkEnd w:id="34"/>
    </w:p>
    <w:p>
      <w:pPr>
        <w:pStyle w:val="FirstParagraph"/>
      </w:pPr>
      <w:r>
        <w:rPr/>
        <w:drawing xmlns:r="http://schemas.openxmlformats.org/officeDocument/2006/relationships">
          <wp:inline distT="0" distB="0" distL="0" distR="0">
            <wp:extent cx="5669280" cy="2853346"/>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100e2c50.png"/>
                    <a:stretch>
                      <a:fillRect/>
                    </a:stretch>
                  </pic:blipFill>
                  <pic:spPr bwMode="auto">
                    <a:xfrm>
                      <a:off x="0" y="0"/>
                      <a:ext cx="78740" cy="39630"/>
                    </a:xfrm>
                    <a:prstGeom prst="rect">
                      <a:avLst/>
                    </a:prstGeom>
                    <a:noFill/>
                  </pic:spPr>
                </pic:pic>
              </a:graphicData>
            </a:graphic>
          </wp:inline>
        </w:drawing>
      </w:r>
    </w:p>
    <w:p>
      <w:pPr>
        <w:pStyle w:val="ImageCaption"/>
      </w:pPr>
      <w:r>
        <w:rPr>
          <w:rFonts/>
          <w:b w:val="true"/>
        </w:rPr>
        <w:t xml:space="preserve">Fig. </w:t>
      </w:r>
      <w:bookmarkStart w:id="345445e1-cf71-40f6-9ba3-8aff8f233c7a" w:name="COMMON-KEGG-enrich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45445e1-cf71-40f6-9ba3-8aff8f233c7a"/>
      <w:r>
        <w:rPr>
          <w:rFonts/>
          <w:b w:val="true"/>
        </w:rPr>
        <w:t xml:space="preserve"> </w:t>
      </w:r>
      <w:r>
        <w:t xml:space="preserve">COMMON KEGG enrichment</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Figure+Table/3.6_富集分析_(COMMON)/COMMON-KEGG-enrichment.pdf)</w:t>
      </w:r>
    </w:p>
    <w:p>
      <w:pPr>
        <w:pStyle w:val="BodyText"/>
      </w:pPr>
      <w:r>
        <w:rPr/>
        <w:drawing xmlns:r="http://schemas.openxmlformats.org/officeDocument/2006/relationships">
          <wp:inline distT="0" distB="0" distL="0" distR="0">
            <wp:extent cx="5669280" cy="4966999"/>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2747b405.png"/>
                    <a:stretch>
                      <a:fillRect/>
                    </a:stretch>
                  </pic:blipFill>
                  <pic:spPr bwMode="auto">
                    <a:xfrm>
                      <a:off x="0" y="0"/>
                      <a:ext cx="78740" cy="68986"/>
                    </a:xfrm>
                    <a:prstGeom prst="rect">
                      <a:avLst/>
                    </a:prstGeom>
                    <a:noFill/>
                  </pic:spPr>
                </pic:pic>
              </a:graphicData>
            </a:graphic>
          </wp:inline>
        </w:drawing>
      </w:r>
    </w:p>
    <w:p>
      <w:pPr>
        <w:pStyle w:val="ImageCaption"/>
      </w:pPr>
      <w:r>
        <w:rPr>
          <w:rFonts/>
          <w:b w:val="true"/>
        </w:rPr>
        <w:t xml:space="preserve">Fig. </w:t>
      </w:r>
      <w:bookmarkStart w:id="64604335-9494-4fb9-9b2c-a61270deb326" w:name="COMMON-GO-enrich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4604335-9494-4fb9-9b2c-a61270deb326"/>
      <w:r>
        <w:rPr>
          <w:rFonts/>
          <w:b w:val="true"/>
        </w:rPr>
        <w:t xml:space="preserve"> </w:t>
      </w:r>
      <w:r>
        <w:t xml:space="preserve">COMMON GO enrichment</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Figure+Table/3.6_富集分析_(COMMON)/COMMON-GO-enrichment.pdf)</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  </w:t>
      </w:r>
      <w:bookmarkStart w:id="a7696958-35f9-4d4b-b283-d5c39464924d" w:name="COMMON-KEGG-enrichment-dat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7696958-35f9-4d4b-b283-d5c39464924d"/>
      <w:r>
        <w:rPr>
          <w:rFonts/>
          <w:b w:val="true"/>
        </w:rPr>
        <w:t xml:space="preserve">  </w:t>
      </w:r>
      <w:r>
        <w:t xml:space="preserve">COMMON KEGG enrichment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Subcat...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Descri...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GeneRatio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BgRatio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P.adjust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Qvalue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GeneID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Enviro...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Signal...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Hsa04066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HIF-1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110/8878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2.6671...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4.8008...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2.3583...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3091/3...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Human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Hsa05225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Hepato...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170/8878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1.2895...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1.1605...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5.7011...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2932/2...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Human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Infect...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Hsa05144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Malaria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50/8878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3.3575...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9.8958...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3039/3...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Human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Cardio...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Hsa05418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Fluid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141/8878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5.4365...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2.4464...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2944/3...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Organi...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Immune...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Hsa04659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Th17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109/8878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1.7547...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6.3172...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3091/3...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1"/>
                <w:szCs w:val="21"/>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1"/>
                <w:szCs w:val="21"/>
                <w:color w:val="000000"/>
              </w:rPr>
              <w:t xml:space="preserve">...</w:t>
            </w:r>
          </w:p>
        </w:tc>
      </w:tr>
    </w:tbl>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Figure+Table/3.6_富集分析_(COMMON)/COMMON-KEGG-enrichment-data.xlsx)</w:t>
      </w:r>
    </w:p>
    <w:p>
      <w:pPr>
        <w:pStyle w:val="BodyText"/>
      </w:pPr>
      <w:r>
        <w:rPr/>
        <w:drawing xmlns:r="http://schemas.openxmlformats.org/officeDocument/2006/relationships">
          <wp:inline distT="0" distB="0" distL="0" distR="0">
            <wp:extent cx="5669280" cy="3842095"/>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cstate="print" r:embed="/tmp/RtmpjbFhcJ/file252d9040c69cfd.png"/>
                    <a:stretch>
                      <a:fillRect/>
                    </a:stretch>
                  </pic:blipFill>
                  <pic:spPr bwMode="auto">
                    <a:xfrm>
                      <a:off x="0" y="0"/>
                      <a:ext cx="78740" cy="53362"/>
                    </a:xfrm>
                    <a:prstGeom prst="rect">
                      <a:avLst/>
                    </a:prstGeom>
                    <a:noFill/>
                  </pic:spPr>
                </pic:pic>
              </a:graphicData>
            </a:graphic>
          </wp:inline>
        </w:drawing>
      </w:r>
    </w:p>
    <w:p>
      <w:pPr>
        <w:pStyle w:val="ImageCaption"/>
      </w:pPr>
      <w:r>
        <w:rPr>
          <w:rFonts/>
          <w:b w:val="true"/>
        </w:rPr>
        <w:t xml:space="preserve">Fig. </w:t>
      </w:r>
      <w:bookmarkStart w:id="812df3a0-4c8c-4926-95cb-d0e85271987d" w:name="COMMON-hsa04066-visualizat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12df3a0-4c8c-4926-95cb-d0e85271987d"/>
      <w:r>
        <w:rPr>
          <w:rFonts/>
          <w:b w:val="true"/>
        </w:rPr>
        <w:t xml:space="preserve"> </w:t>
      </w:r>
      <w:r>
        <w:t xml:space="preserve">COMMON hsa04066 visualization</w:t>
      </w:r>
    </w:p>
    <w:p>
      <w:pPr>
        <w:pStyle w:val="Normal"/>
        <w:jc w:val="center"/>
        <w:pBdr>
          <w:bottom w:val="none" w:sz="0" w:space="0" w:color="000000"/>
          <w:top w:val="none" w:sz="0" w:space="0" w:color="000000"/>
          <w:left w:val="none" w:sz="0" w:space="0" w:color="000000"/>
          <w:right w:val="none" w:sz="0" w:space="0" w:color="000000"/>
        </w:pBdr>
        <w:spacing w:after="0" w:before="0" w:line="288"/>
        <w:ind w:left="0" w:right="0" w:firstLine="0" w:firstLineChars="0"/>
      </w:pPr>
      <w:r>
        <w:rPr>
          <w:rFonts/>
          <w:b w:val="true"/>
        </w:rPr>
        <w:t xml:space="preserve">(File path: Figure+Table/3.6_富集分析_(COMMON)/COMMON-hsa04066-visualization.png)</w:t>
      </w:r>
    </w:p>
    <w:p>
      <w:pPr>
        <w:numPr>
          <w:ilvl w:val="0"/>
          <w:numId w:val="1006"/>
        </w:numPr>
        <w:pStyle w:val="Compact"/>
      </w:pPr>
      <w:r>
        <w:t xml:space="preserve">Interactive figure:</w:t>
      </w:r>
      <w:r>
        <w:t xml:space="preserve"> </w:t>
      </w:r>
    </w:p>
    <w:p>
      <w:pPr>
        <w:numPr>
          <w:ilvl w:val="0"/>
          <w:numId w:val="1006"/>
        </w:numPr>
        <w:pStyle w:val="Compact"/>
      </w:pPr>
      <w:r>
        <w:t xml:space="preserve">Enriched genes: VEGFA, HIF1A, MTOR, TF, TIMP1, HMOX1, TLR4, IFNG, IL6</w:t>
      </w:r>
    </w:p>
    <w:p>
      <w:pPr>
        <w:pStyle w:val="Heading1"/>
      </w:pPr>
      <w:bookmarkStart w:id="35" w:name="conclusion"/>
      <w:r>
        <w:t xml:space="preserve">总结</w:t>
      </w:r>
      <w:bookmarkEnd w:id="35"/>
    </w:p>
    <w:p>
      <w:pPr>
        <w:pStyle w:val="FirstParagraph"/>
      </w:pPr>
      <w:r>
        <w:t xml:space="preserve">调控铁死亡的通路可能是 HIF-1 ，见Fig.</w:t>
      </w:r>
      <w:r>
        <w:t xml:space="preserve"> </w:t>
      </w:r>
      <w:hyperlink w:anchor="COMMON-hsa04066-visualizatio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COMMON-hsa04066-visualization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 </w:t>
      </w:r>
      <w:r>
        <w:t xml:space="preserve">。</w:t>
      </w:r>
      <w:r>
        <w:t xml:space="preserve"> </w:t>
      </w:r>
      <w:r>
        <w:t xml:space="preserve">其他可能的通路，见Tab.</w:t>
      </w:r>
      <w:r>
        <w:t xml:space="preserve"> </w:t>
      </w:r>
      <w:hyperlink w:anchor="COMMON-KEGG-enrichment-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COMMON-KEGG-enrichment-data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zhounan.org/ferrdb/current/" TargetMode="External" /></Relationships>
</file>

<file path=word/_rels/footnotes.xml.rels><?xml version="1.0" encoding="UTF-8"?>
<Relationships xmlns="http://schemas.openxmlformats.org/package/2006/relationships"><Relationship Type="http://schemas.openxmlformats.org/officeDocument/2006/relationships/hyperlink" Id="rId26" Target="http://www.zhounan.org/ferrdb/cur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2024-12-23T05:52:35Z</dcterms:created>
  <dcterms:modified xsi:type="dcterms:W3CDTF">2024-12-23T05:52:35Z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/home/echo/utils.tool/inst/extdata/library.bib</vt:lpwstr>
  </property>
  <property fmtid="{D5CDD505-2E9C-101B-9397-08002B2CF9AE}" pid="3" name="csl">
    <vt:lpwstr>/home/echo/utils.tool/inst/extdata/nature.csl</vt:lpwstr>
  </property>
  <property fmtid="{D5CDD505-2E9C-101B-9397-08002B2CF9AE}" pid="4" name="output">
    <vt:lpwstr/>
  </property>
  <property fmtid="{D5CDD505-2E9C-101B-9397-08002B2CF9AE}" pid="5" name="reference-section-title">
    <vt:lpwstr>Reference</vt:lpwstr>
  </property>
</Properties>
</file>