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29895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15" w:name="_GoBack"/>
    </w:p>
    <w:p w14:paraId="2FFBEF6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BA33D2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7E6C2D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BE2262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5C35792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5A64B7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70203A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2D8CE0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补充 METTL                  ;</w:t>
      </w:r>
    </w:p>
    <w:p w14:paraId="05FC911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BSXN240936                  ;</w:t>
      </w:r>
    </w:p>
    <w:p w14:paraId="40EB0A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43FEB0A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23A73AE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李扬                     ;</w:t>
      </w:r>
    </w:p>
    <w:p w14:paraId="67662EA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53EB545">
      <w:r>
        <w:br w:type="page"/>
      </w:r>
    </w:p>
    <w:p w14:paraId="3C8A58D4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765DFDA8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77B09BCC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6EE24EA9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39616EBF">
      <w:pPr>
        <w:pStyle w:val="4"/>
      </w:pPr>
      <w:bookmarkStart w:id="3" w:name="survival-生存分析-dataset-ov_mettl"/>
      <w:r>
        <w:t>2.2</w:t>
      </w:r>
      <w:r>
        <w:tab/>
        <w:t>Survival 生存分析 (Dataset: OV_METTL)</w:t>
      </w:r>
      <w:bookmarkEnd w:id="3"/>
    </w:p>
    <w:p w14:paraId="71A6C5C8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1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(logCPM)。使用标准化过的基因表达数据。 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</w:t>
      </w:r>
    </w:p>
    <w:p w14:paraId="70CBDB30">
      <w:pPr>
        <w:pStyle w:val="2"/>
      </w:pPr>
      <w:bookmarkStart w:id="4" w:name="workflow"/>
      <w:r>
        <w:t>3</w:t>
      </w:r>
      <w:r>
        <w:tab/>
        <w:t>分析结果</w:t>
      </w:r>
      <w:bookmarkEnd w:id="4"/>
    </w:p>
    <w:p w14:paraId="3E76406D">
      <w:pPr>
        <w:pStyle w:val="4"/>
      </w:pPr>
      <w:bookmarkStart w:id="5" w:name="mettl14-mettl16-gse146553"/>
      <w:r>
        <w:t>3.1</w:t>
      </w:r>
      <w:r>
        <w:tab/>
        <w:t>METTL14 METTL16 (GSE146553)</w:t>
      </w:r>
      <w:bookmarkEnd w:id="5"/>
    </w:p>
    <w:p w14:paraId="397108EE">
      <w:pPr>
        <w:pStyle w:val="38"/>
      </w:pPr>
      <w:r>
        <w:drawing>
          <wp:inline distT="0" distB="0" distL="0" distR="0">
            <wp:extent cx="3698875" cy="4572000"/>
            <wp:effectExtent l="0" t="0" r="158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4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70B95">
      <w:pPr>
        <w:pStyle w:val="194"/>
      </w:pPr>
      <w:r>
        <w:rPr>
          <w:b/>
        </w:rPr>
        <w:t xml:space="preserve">Fig. </w:t>
      </w:r>
      <w:bookmarkStart w:id="6" w:name="HGSOC-Box-Plot-Of-DEGs-mett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6"/>
      <w:r>
        <w:rPr>
          <w:b/>
        </w:rPr>
        <w:t xml:space="preserve"> </w:t>
      </w:r>
      <w:r>
        <w:t>HGSOC Box Plot Of DEGs mettl</w:t>
      </w:r>
    </w:p>
    <w:p w14:paraId="49755A7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Figure+Table_mettl/3.1_METTL14_METTL16_(GSE146553)/HGSOC-Box-Plot-Of-DEGs-mettl.pdf)</w:t>
      </w:r>
    </w:p>
    <w:p w14:paraId="38E78307">
      <w:pPr>
        <w:pStyle w:val="3"/>
      </w:pPr>
      <w:r>
        <w:t xml:space="preserve">Fig. </w:t>
      </w:r>
      <w:r>
        <w:fldChar w:fldCharType="begin"/>
      </w:r>
      <w:r>
        <w:instrText xml:space="preserve"> HYPERLINK \l "HGSOC-Box-Plot-Of-DEGs-mettl" \h </w:instrText>
      </w:r>
      <w:r>
        <w:fldChar w:fldCharType="separate"/>
      </w:r>
      <w:r>
        <w:fldChar w:fldCharType="begin"/>
      </w:r>
      <w:r>
        <w:instrText xml:space="preserve"> REF HGSOC-Box-Plot-Of-DEGs-mettl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基因 METTL14, METTL16 表达水平，以及对应的 limma 差异分析显著水平。</w:t>
      </w:r>
    </w:p>
    <w:p w14:paraId="5C9706D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7" w:name="HGSOC-Statistic-of-Focused-genes-mett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  </w:t>
      </w:r>
      <w:r>
        <w:t>HGSOC Statistic of Focused genes mettl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20BBFC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5EF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E52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0CD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E02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30A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</w:tr>
      <w:tr w14:paraId="444E76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1B89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1686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-0.8379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7826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0.03967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D299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0.004613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2C7A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8097066</w:t>
            </w:r>
          </w:p>
        </w:tc>
      </w:tr>
      <w:tr w14:paraId="208B7B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8B0B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3234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2DE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0.05187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E681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0.006894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0645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8011270</w:t>
            </w:r>
          </w:p>
        </w:tc>
      </w:tr>
      <w:tr w14:paraId="0E2033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F5F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METTL16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4E9D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-0.7029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016B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0.09055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E50E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0.01621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F0AF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8011275</w:t>
            </w:r>
          </w:p>
        </w:tc>
      </w:tr>
    </w:tbl>
    <w:p w14:paraId="146E41B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Figure+Table_mettl/3.1_METTL14_METTL16_(GSE146553)/HGSOC-Statistic-of-Focused-genes-mettl.xlsx)</w:t>
      </w:r>
    </w:p>
    <w:p w14:paraId="701C42FB">
      <w:pPr>
        <w:pStyle w:val="3"/>
      </w:pPr>
      <w:r>
        <w:t xml:space="preserve">Tab. </w:t>
      </w:r>
      <w:r>
        <w:fldChar w:fldCharType="begin"/>
      </w:r>
      <w:r>
        <w:instrText xml:space="preserve"> HYPERLINK \l "HGSOC-Statistic-of-Focused-genes-mettl" \h </w:instrText>
      </w:r>
      <w:r>
        <w:fldChar w:fldCharType="separate"/>
      </w:r>
      <w:r>
        <w:fldChar w:fldCharType="begin"/>
      </w:r>
      <w:r>
        <w:instrText xml:space="preserve"> REF HGSOC-Statistic-of-Focused-genes-mettl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为聚焦分析的基因的统计附表。</w:t>
      </w:r>
    </w:p>
    <w:p w14:paraId="39888B26">
      <w:pPr>
        <w:pStyle w:val="4"/>
      </w:pPr>
      <w:bookmarkStart w:id="8" w:name="survival-生存分析-ov_mettl-tcga-ov"/>
      <w:r>
        <w:t>3.2</w:t>
      </w:r>
      <w:r>
        <w:tab/>
        <w:t>Survival 生存分析 (OV_METTL) (TCGA-OV)</w:t>
      </w:r>
      <w:bookmarkEnd w:id="8"/>
    </w:p>
    <w:p w14:paraId="051791B5">
      <w:pPr>
        <w:pStyle w:val="38"/>
      </w:pPr>
      <w:r>
        <w:t xml:space="preserve">按 </w:t>
      </w:r>
      <w:r>
        <w:rPr>
          <w:rStyle w:val="197"/>
        </w:rPr>
        <w:t>survminer::surv_cutpoint</w:t>
      </w:r>
      <w:r>
        <w:t xml:space="preserve"> 计算的 cutoff，将样本分为 Low 和 High 风险组。生存数据为TCGA-OV，使用标准化过的基因表达数据。根据元数据信息 (即临床数据) ，去除了生存状态未知的样例。根据 P value &lt; 0.05, 共筛到 1 个特征。 分别为 METTL16。</w:t>
      </w:r>
    </w:p>
    <w:p w14:paraId="46C6B148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A8647">
      <w:pPr>
        <w:pStyle w:val="194"/>
      </w:pPr>
      <w:r>
        <w:rPr>
          <w:b/>
        </w:rPr>
        <w:t xml:space="preserve">Fig. </w:t>
      </w:r>
      <w:bookmarkStart w:id="9" w:name="OV-METTL-survival-curve-of-METTL14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9"/>
      <w:r>
        <w:rPr>
          <w:b/>
        </w:rPr>
        <w:t xml:space="preserve"> </w:t>
      </w:r>
      <w:r>
        <w:t>OV METTL survival curve of METTL14</w:t>
      </w:r>
    </w:p>
    <w:p w14:paraId="18D82D2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Figure+Table_mettl/3.2_Survival_生存分析_(OV_METTL)_(TCGA-OV)/OV-METTL-survival-curve-of-METTL14.pdf)</w:t>
      </w:r>
    </w:p>
    <w:p w14:paraId="310104A5">
      <w:pPr>
        <w:pStyle w:val="3"/>
      </w:pPr>
      <w:r>
        <w:t xml:space="preserve">Fig. </w:t>
      </w:r>
      <w:r>
        <w:fldChar w:fldCharType="begin"/>
      </w:r>
      <w:r>
        <w:instrText xml:space="preserve"> HYPERLINK \l "OV-METTL-survival-curve-of-METTL14" \h </w:instrText>
      </w:r>
      <w:r>
        <w:fldChar w:fldCharType="separate"/>
      </w:r>
      <w:r>
        <w:fldChar w:fldCharType="begin"/>
      </w:r>
      <w:r>
        <w:instrText xml:space="preserve"> REF OV-METTL-survival-curve-of-METTL14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METTL14 生存曲线。</w:t>
      </w:r>
    </w:p>
    <w:p w14:paraId="7A48C127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4006A">
      <w:pPr>
        <w:pStyle w:val="194"/>
      </w:pPr>
      <w:r>
        <w:rPr>
          <w:b/>
        </w:rPr>
        <w:t xml:space="preserve">Fig. </w:t>
      </w:r>
      <w:bookmarkStart w:id="10" w:name="OV-METTL-survival-curve-of-METTL16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0"/>
      <w:r>
        <w:rPr>
          <w:b/>
        </w:rPr>
        <w:t xml:space="preserve"> </w:t>
      </w:r>
      <w:r>
        <w:t>OV METTL survival curve of METTL16</w:t>
      </w:r>
    </w:p>
    <w:p w14:paraId="60B160A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Figure+Table_mettl/3.2_Survival_生存分析_(OV_METTL)_(TCGA-OV)/OV-METTL-survival-curve-of-METTL16.pdf)</w:t>
      </w:r>
    </w:p>
    <w:p w14:paraId="3CBC2BEC">
      <w:pPr>
        <w:pStyle w:val="3"/>
      </w:pPr>
      <w:r>
        <w:t xml:space="preserve">Fig. </w:t>
      </w:r>
      <w:r>
        <w:fldChar w:fldCharType="begin"/>
      </w:r>
      <w:r>
        <w:instrText xml:space="preserve"> HYPERLINK \l "OV-METTL-survival-curve-of-METTL16" \h </w:instrText>
      </w:r>
      <w:r>
        <w:fldChar w:fldCharType="separate"/>
      </w:r>
      <w:r>
        <w:fldChar w:fldCharType="begin"/>
      </w:r>
      <w:r>
        <w:instrText xml:space="preserve"> REF OV-METTL-survival-curve-of-METTL16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METTL16 生存曲线。</w:t>
      </w:r>
    </w:p>
    <w:p w14:paraId="0FF0D28A">
      <w:pPr>
        <w:pStyle w:val="2"/>
      </w:pPr>
      <w:bookmarkStart w:id="11" w:name="conclusion"/>
      <w:r>
        <w:t>4</w:t>
      </w:r>
      <w:r>
        <w:tab/>
        <w:t>总结</w:t>
      </w:r>
      <w:bookmarkEnd w:id="11"/>
    </w:p>
    <w:p w14:paraId="7E5CC592">
      <w:pPr>
        <w:pStyle w:val="2"/>
      </w:pPr>
      <w:bookmarkStart w:id="12" w:name="bibliography"/>
      <w:r>
        <w:t>Reference</w:t>
      </w:r>
      <w:bookmarkEnd w:id="12"/>
    </w:p>
    <w:p w14:paraId="34BA31E4">
      <w:pPr>
        <w:pStyle w:val="189"/>
      </w:pPr>
      <w:bookmarkStart w:id="13" w:name="refs"/>
      <w:bookmarkStart w:id="14" w:name="ref-EdgerDifferenChen"/>
      <w:r>
        <w:t>1. Chen, Y., McCarthy, D., Ritchie, M., Robinson, M. &amp; Smyth, G. EdgeR: Differential analysis of sequence read count data users guide. 119.</w:t>
      </w:r>
      <w:bookmarkEnd w:id="15"/>
    </w:p>
    <w:bookmarkEnd w:id="13"/>
    <w:bookmarkEnd w:id="14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BLg7ek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FFF2F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2025-03-25T15:46:00Z</dcterms:created>
  <dc:creator>echo</dc:creator>
  <cp:lastModifiedBy>echo</cp:lastModifiedBy>
  <dcterms:modified xsi:type="dcterms:W3CDTF">2025-03-25T15:47:03Z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E0A1E25ED73A7D33775FE267F09988C3_42</vt:lpwstr>
  </property>
</Properties>
</file>