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GTSE1在卵巢癌中高表达，是否可以添加预后分析（高表达预后不良）</w:t>
      </w:r>
    </w:p>
    <w:p>
      <w:pPr>
        <w:pStyle w:val="BlockText"/>
      </w:pPr>
      <w:r>
        <w:t xml:space="preserve">Reply: 已添加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2"/>
        </w:numPr>
        <w:pStyle w:val="Compact"/>
      </w:pPr>
      <w:r>
        <w:t xml:space="preserve">GTSE1基因在肿瘤中是高表达的，但是在耐药和敏感的比较时，耐药肿瘤中GTSE1的表达比敏感肿瘤中GTSE1的表达要低，这样就与我们方案中研究耐药相矛盾。是否可以换个数据集重新分析</w:t>
      </w:r>
    </w:p>
    <w:p>
      <w:pPr>
        <w:pStyle w:val="BlockText"/>
      </w:pPr>
      <w:r>
        <w:t xml:space="preserve">Reply: 已添加高表达。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Content: METTL14</w:t>
      </w:r>
    </w:p>
    <w:p>
      <w:pPr>
        <w:numPr>
          <w:ilvl w:val="0"/>
          <w:numId w:val="1003"/>
        </w:numPr>
        <w:pStyle w:val="Compact"/>
      </w:pPr>
      <w:r>
        <w:t xml:space="preserve">路苗苗 Comment: 筛选出来的甲基转移酶METTL14与GTSE1是负相关的, , 参考文献PMID： 39103890，METTL14在高级别浆液性卵巢癌中低表达，过表达METTL14抑制高级别浆液性卵巢癌进展；此外，参考文献PMID： 35251990：METTL14在卵巢癌中下调并预测METTL14 表达降低的患者生存率差；因此过表达METTL14可能通过抑制GTSE1表达进而抑制高级别浆液性卵巢癌进展； , 生信分析与文献报道一致，可以选择METTL14进行后续实验的验证</w:t>
      </w:r>
    </w:p>
    <w:p>
      <w:pPr>
        <w:pStyle w:val="BlockText"/>
      </w:pPr>
      <w:r>
        <w:t xml:space="preserve">Reply: …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2025-03-06T08:20:53Z</dcterms:created>
  <dcterms:modified xsi:type="dcterms:W3CDTF">2025-03-06T08:20:53Z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