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C594B89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3FB30919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3E37E39F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6CF1575B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2EC1DF12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rFonts w:ascii="Microsoft YaHei" w:hAnsi="Microsoft YaHei" w:eastAsia="Microsoft YaHei" w:cs="Microsoft YaHei"/>
          <w:b/>
          <w:i w:val="0"/>
          <w:color w:val="000000"/>
          <w:sz w:val="52"/>
          <w:szCs w:val="52"/>
          <w:u w:val="none"/>
        </w:rPr>
        <w:t>生信分析报告</w:t>
      </w:r>
    </w:p>
    <w:p w14:paraId="248AA16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6567530A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6463563A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0AB76AA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项目标题：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高级别浆液性卵巢癌              ;</w:t>
      </w:r>
    </w:p>
    <w:p w14:paraId="0A04E708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单    号：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BSXN240936                  ;</w:t>
      </w:r>
    </w:p>
    <w:p w14:paraId="65F7273F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分析人员：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 黄礼闯                    ;</w:t>
      </w:r>
    </w:p>
    <w:p w14:paraId="5AA6DB08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分析类型：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生信协助                   ;</w:t>
      </w:r>
    </w:p>
    <w:p w14:paraId="5099F968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委 托 人：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  李扬                     ;</w:t>
      </w:r>
    </w:p>
    <w:p w14:paraId="760D687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受 托 人：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杭州铂赛生物科技有限公司           .</w:t>
      </w:r>
    </w:p>
    <w:p w14:paraId="7063761B">
      <w:r>
        <w:br w:type="page"/>
      </w:r>
    </w:p>
    <w:p w14:paraId="4B79AB88">
      <w:pPr>
        <w:pStyle w:val="2"/>
      </w:pPr>
      <w:bookmarkStart w:id="0" w:name="abstract"/>
      <w:r>
        <w:t>1</w:t>
      </w:r>
      <w:r>
        <w:tab/>
        <w:t>分析流程</w:t>
      </w:r>
      <w:bookmarkEnd w:id="0"/>
    </w:p>
    <w:p w14:paraId="52584F72">
      <w:pPr>
        <w:pStyle w:val="4"/>
      </w:pPr>
      <w:bookmarkStart w:id="1" w:name="需求"/>
      <w:r>
        <w:t>1.1</w:t>
      </w:r>
      <w:r>
        <w:tab/>
        <w:t>需求</w:t>
      </w:r>
      <w:bookmarkEnd w:id="1"/>
    </w:p>
    <w:p w14:paraId="1E3486B7">
      <w:pPr>
        <w:pStyle w:val="186"/>
        <w:numPr>
          <w:ilvl w:val="0"/>
          <w:numId w:val="1"/>
        </w:numPr>
      </w:pPr>
      <w:r>
        <w:t>GTSE1 在 HGSOC 中高表达促进肿瘤增值与迁移。 GTSE1 与化疗耐药有关。在卵巢癌 (HGSOC) 中的表达，在化疗耐药卵巢癌数据集中的表达。</w:t>
      </w:r>
    </w:p>
    <w:p w14:paraId="5C08D58B">
      <w:pPr>
        <w:pStyle w:val="186"/>
        <w:numPr>
          <w:ilvl w:val="0"/>
          <w:numId w:val="1"/>
        </w:numPr>
      </w:pPr>
      <w:r>
        <w:t>GTSE1 的 mRNA 序列上的 m6A 甲基化，GTSE1可能主要被ALKBH5、IGF2BP1、METTL14、METTL3、YTHDF1、YTHDF2。 GTSE1与甲基化相关酶的表达进行相关性分析</w:t>
      </w:r>
    </w:p>
    <w:p w14:paraId="089443FD">
      <w:pPr>
        <w:pStyle w:val="38"/>
      </w:pPr>
      <w:r>
        <w:drawing>
          <wp:inline distT="0" distB="0" distL="0" distR="0">
            <wp:extent cx="5161915" cy="45720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99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2E769D">
      <w:pPr>
        <w:pStyle w:val="194"/>
      </w:pPr>
      <w:r>
        <w:rPr>
          <w:b/>
        </w:rPr>
        <w:t xml:space="preserve">Fig. </w:t>
      </w:r>
      <w:bookmarkStart w:id="2" w:name="Route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bookmarkEnd w:id="2"/>
      <w:r>
        <w:rPr>
          <w:b/>
        </w:rPr>
        <w:t xml:space="preserve"> </w:t>
      </w:r>
      <w:r>
        <w:t>Route</w:t>
      </w:r>
    </w:p>
    <w:p w14:paraId="7A946FEA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Figure+Table/1.1.0_需求/Route.pdf)</w:t>
      </w:r>
    </w:p>
    <w:p w14:paraId="3BD14345">
      <w:pPr>
        <w:pStyle w:val="2"/>
      </w:pPr>
      <w:bookmarkStart w:id="3" w:name="introduction"/>
      <w:r>
        <w:t>2</w:t>
      </w:r>
      <w:r>
        <w:tab/>
        <w:t>材料和方法</w:t>
      </w:r>
      <w:bookmarkEnd w:id="3"/>
    </w:p>
    <w:p w14:paraId="1CCEFC61">
      <w:pPr>
        <w:pStyle w:val="4"/>
      </w:pPr>
      <w:bookmarkStart w:id="4" w:name="数据分析平台"/>
      <w:r>
        <w:t>2.1</w:t>
      </w:r>
      <w:r>
        <w:tab/>
        <w:t>数据分析平台</w:t>
      </w:r>
      <w:bookmarkEnd w:id="4"/>
    </w:p>
    <w:p w14:paraId="18EF97DD">
      <w:pPr>
        <w:pStyle w:val="38"/>
      </w:pPr>
      <w:r>
        <w:t>在 Linux pop-os x86_64 (6.9.3-76060903-generic) 上，使用 R version 4.4.2 (2024-10-31) (</w:t>
      </w:r>
      <w:r>
        <w:fldChar w:fldCharType="begin"/>
      </w:r>
      <w:r>
        <w:instrText xml:space="preserve"> HYPERLINK "https://www.r-project.org/" \h </w:instrText>
      </w:r>
      <w:r>
        <w:fldChar w:fldCharType="separate"/>
      </w:r>
      <w:r>
        <w:rPr>
          <w:rStyle w:val="24"/>
        </w:rPr>
        <w:t>https://www.r-project.org/</w:t>
      </w:r>
      <w:r>
        <w:rPr>
          <w:rStyle w:val="24"/>
        </w:rPr>
        <w:fldChar w:fldCharType="end"/>
      </w:r>
      <w:r>
        <w:t>) 对数据统计分析与整合分析。</w:t>
      </w:r>
    </w:p>
    <w:p w14:paraId="65454736">
      <w:pPr>
        <w:pStyle w:val="4"/>
      </w:pPr>
      <w:bookmarkStart w:id="5" w:name="tcga-数据获取-dataset-ov"/>
      <w:r>
        <w:t>2.2</w:t>
      </w:r>
      <w:r>
        <w:tab/>
        <w:t>TCGA 数据获取 (Dataset: OV)</w:t>
      </w:r>
      <w:bookmarkEnd w:id="5"/>
    </w:p>
    <w:p w14:paraId="3838742C">
      <w:pPr>
        <w:pStyle w:val="38"/>
      </w:pPr>
      <w:r>
        <w:t xml:space="preserve">以 R 包 </w:t>
      </w:r>
      <w:r>
        <w:rPr>
          <w:rStyle w:val="197"/>
        </w:rPr>
        <w:t>TCGAbiolinks</w:t>
      </w:r>
      <w:r>
        <w:t xml:space="preserve"> (2.35.1) (2015, </w:t>
      </w:r>
      <w:r>
        <w:rPr>
          <w:b/>
        </w:rPr>
        <w:t>IF:16.6</w:t>
      </w:r>
      <w:r>
        <w:t>, Q1, Nucleic Acids Research)</w:t>
      </w:r>
      <w:r>
        <w:rPr>
          <w:vertAlign w:val="superscript"/>
        </w:rPr>
        <w:t>1</w:t>
      </w:r>
      <w:r>
        <w:t xml:space="preserve"> 获取 TCGA-OV 数据集。</w:t>
      </w:r>
    </w:p>
    <w:p w14:paraId="675565EE">
      <w:pPr>
        <w:pStyle w:val="4"/>
      </w:pPr>
      <w:bookmarkStart w:id="6" w:name="gse-数据搜索-dataset-hgsoc"/>
      <w:r>
        <w:t>2.3</w:t>
      </w:r>
      <w:r>
        <w:tab/>
        <w:t>GSE 数据搜索 (Dataset: HGSOC)</w:t>
      </w:r>
      <w:bookmarkEnd w:id="6"/>
    </w:p>
    <w:p w14:paraId="166E3C61">
      <w:pPr>
        <w:pStyle w:val="38"/>
      </w:pPr>
      <w:r>
        <w:t xml:space="preserve">使用 Entrez Direct (EDirect) </w:t>
      </w:r>
      <w:r>
        <w:fldChar w:fldCharType="begin"/>
      </w:r>
      <w:r>
        <w:instrText xml:space="preserve"> HYPERLINK "https://www.ncbi.nlm.nih.gov/books/NBK3837/" \h </w:instrText>
      </w:r>
      <w:r>
        <w:fldChar w:fldCharType="separate"/>
      </w:r>
      <w:r>
        <w:rPr>
          <w:rStyle w:val="24"/>
        </w:rPr>
        <w:t>https://www.ncbi.nlm.nih.gov/books/NBK3837/</w:t>
      </w:r>
      <w:r>
        <w:rPr>
          <w:rStyle w:val="24"/>
        </w:rPr>
        <w:fldChar w:fldCharType="end"/>
      </w:r>
      <w:r>
        <w:t xml:space="preserve"> 搜索 GEO 数据库 (</w:t>
      </w:r>
      <w:r>
        <w:rPr>
          <w:rStyle w:val="197"/>
        </w:rPr>
        <w:t>esearch -db gds</w:t>
      </w:r>
      <w:r>
        <w:t>)，查询信息为: ((high-grade serous ovarian cancer[Description] AND (normal[Description]) AND ((6:1000[Number of Samples]) AND (GSE[Entry Type]) AND (Homo Sapiens[Organism]))。 以正则匹配，滤除包含 ‘single cell’ 或 ‘scRNA’ 的数据例。仅查询临床样本信息，因此滤除匹配到 ‘cells’, ‘cell type’ 或 ‘cell line’ 的实验数据例。 此外，去除了以特定 Marker 细胞类型为研究对象的数据例 (CD4、CD8 T 细胞等)。仅获取类型包含 ‘Expression profiling by high throughput sequencing’ 或 ‘Expression profiling by array’ 的数据例。</w:t>
      </w:r>
    </w:p>
    <w:p w14:paraId="07BFA093">
      <w:pPr>
        <w:pStyle w:val="4"/>
      </w:pPr>
      <w:bookmarkStart w:id="7" w:name="geo-数据获取-dataset-hgsoc"/>
      <w:r>
        <w:t>2.4</w:t>
      </w:r>
      <w:r>
        <w:tab/>
        <w:t>GEO 数据获取 (Dataset: HGSOC)</w:t>
      </w:r>
      <w:bookmarkEnd w:id="7"/>
    </w:p>
    <w:p w14:paraId="79A88AA0">
      <w:pPr>
        <w:pStyle w:val="38"/>
      </w:pPr>
      <w:r>
        <w:t xml:space="preserve">以 R 包 </w:t>
      </w:r>
      <w:r>
        <w:rPr>
          <w:rStyle w:val="197"/>
        </w:rPr>
        <w:t>GEOquery</w:t>
      </w:r>
      <w:r>
        <w:t xml:space="preserve"> (2.74.0) 获取 GSE146553 数据集。</w:t>
      </w:r>
    </w:p>
    <w:p w14:paraId="3C0160EC">
      <w:pPr>
        <w:pStyle w:val="4"/>
      </w:pPr>
      <w:bookmarkStart w:id="8" w:name="limma-差异分析-dataset-hgsoc"/>
      <w:r>
        <w:t>2.5</w:t>
      </w:r>
      <w:r>
        <w:tab/>
        <w:t>Limma 差异分析 (Dataset: HGSOC)</w:t>
      </w:r>
      <w:bookmarkEnd w:id="8"/>
    </w:p>
    <w:p w14:paraId="2757601A">
      <w:pPr>
        <w:pStyle w:val="38"/>
      </w:pPr>
      <w:r>
        <w:t xml:space="preserve">使用 </w:t>
      </w:r>
      <w:r>
        <w:rPr>
          <w:rStyle w:val="197"/>
        </w:rPr>
        <w:t>log2</w:t>
      </w:r>
      <w:r>
        <w:t xml:space="preserve"> 和 </w:t>
      </w:r>
      <w:r>
        <w:rPr>
          <w:rStyle w:val="197"/>
        </w:rPr>
        <w:t>limma::normalizeBetweenArrays</w:t>
      </w:r>
      <w:r>
        <w:t xml:space="preserve"> 对数据标准化。 以 </w:t>
      </w:r>
      <w:r>
        <w:rPr>
          <w:rStyle w:val="197"/>
        </w:rPr>
        <w:t>limma</w:t>
      </w:r>
      <w:r>
        <w:t xml:space="preserve"> (3.62.1) (2005)</w:t>
      </w:r>
      <w:r>
        <w:rPr>
          <w:vertAlign w:val="superscript"/>
        </w:rPr>
        <w:t>2</w:t>
      </w:r>
      <w:r>
        <w:t xml:space="preserve"> 差异分析。创建设计矩阵，对比矩阵，差异分析：hgsoc vs normal。使用 </w:t>
      </w:r>
      <w:r>
        <w:rPr>
          <w:rStyle w:val="197"/>
        </w:rPr>
        <w:t>limma::lmFit</w:t>
      </w:r>
      <w:r>
        <w:t xml:space="preserve">, </w:t>
      </w:r>
      <w:r>
        <w:rPr>
          <w:rStyle w:val="197"/>
        </w:rPr>
        <w:t>limma::contrasts.fit</w:t>
      </w:r>
      <w:r>
        <w:t xml:space="preserve">, </w:t>
      </w:r>
      <w:r>
        <w:rPr>
          <w:rStyle w:val="197"/>
        </w:rPr>
        <w:t>limma::eBayes</w:t>
      </w:r>
      <w:r>
        <w:t xml:space="preserve"> 拟合线形模型。以 </w:t>
      </w:r>
      <w:r>
        <w:rPr>
          <w:rStyle w:val="197"/>
        </w:rPr>
        <w:t>limma::topTable</w:t>
      </w:r>
      <w:r>
        <w:t xml:space="preserve"> 提取所有结果，并过滤得到 P.Value 小于 0.05，|Log2(FC)| 大于 0.5 的统计结果。</w:t>
      </w:r>
    </w:p>
    <w:p w14:paraId="1565E72D">
      <w:pPr>
        <w:pStyle w:val="4"/>
      </w:pPr>
      <w:bookmarkStart w:id="9" w:name="gse-数据搜索"/>
      <w:r>
        <w:t>2.6</w:t>
      </w:r>
      <w:r>
        <w:tab/>
        <w:t>GSE 数据搜索</w:t>
      </w:r>
      <w:bookmarkEnd w:id="9"/>
    </w:p>
    <w:p w14:paraId="71A27E80">
      <w:pPr>
        <w:pStyle w:val="38"/>
      </w:pPr>
      <w:r>
        <w:t xml:space="preserve">使用 Entrez Direct (EDirect) </w:t>
      </w:r>
      <w:r>
        <w:fldChar w:fldCharType="begin"/>
      </w:r>
      <w:r>
        <w:instrText xml:space="preserve"> HYPERLINK "https://www.ncbi.nlm.nih.gov/books/NBK3837/" \h </w:instrText>
      </w:r>
      <w:r>
        <w:fldChar w:fldCharType="separate"/>
      </w:r>
      <w:r>
        <w:rPr>
          <w:rStyle w:val="24"/>
        </w:rPr>
        <w:t>https://www.ncbi.nlm.nih.gov/books/NBK3837/</w:t>
      </w:r>
      <w:r>
        <w:rPr>
          <w:rStyle w:val="24"/>
        </w:rPr>
        <w:fldChar w:fldCharType="end"/>
      </w:r>
      <w:r>
        <w:t xml:space="preserve"> 搜索 GEO 数据库 (</w:t>
      </w:r>
      <w:r>
        <w:rPr>
          <w:rStyle w:val="197"/>
        </w:rPr>
        <w:t>esearch -db gds</w:t>
      </w:r>
      <w:r>
        <w:t>)，查询信息为: ((ovarian cancer[Description] AND (Drug resistance[Description]) AND ((6:1000[Number of Samples]) AND (GSE[Entry Type]) AND (Homo Sapiens[Organism]))。</w:t>
      </w:r>
    </w:p>
    <w:p w14:paraId="6C8D3E28">
      <w:pPr>
        <w:pStyle w:val="4"/>
      </w:pPr>
      <w:bookmarkStart w:id="10" w:name="geo-数据获取-dataset-ov_gse173579"/>
      <w:r>
        <w:t>2.7</w:t>
      </w:r>
      <w:r>
        <w:tab/>
        <w:t>GEO 数据获取 (Dataset: OV_GSE173579)</w:t>
      </w:r>
      <w:bookmarkEnd w:id="10"/>
    </w:p>
    <w:p w14:paraId="634EFB28">
      <w:pPr>
        <w:pStyle w:val="38"/>
      </w:pPr>
      <w:r>
        <w:t xml:space="preserve">以 R 包 </w:t>
      </w:r>
      <w:r>
        <w:rPr>
          <w:rStyle w:val="197"/>
        </w:rPr>
        <w:t>GEOquery</w:t>
      </w:r>
      <w:r>
        <w:t xml:space="preserve"> (2.74.0) 获取 GSE173579 数据集。 以 </w:t>
      </w:r>
      <w:r>
        <w:rPr>
          <w:rStyle w:val="197"/>
        </w:rPr>
        <w:t>GEOquery:::getRNASeqQuantResults</w:t>
      </w:r>
      <w:r>
        <w:t xml:space="preserve"> 获取 RNA count 数据 (NCBI-generated data, 参考 </w:t>
      </w:r>
      <w:r>
        <w:fldChar w:fldCharType="begin"/>
      </w:r>
      <w:r>
        <w:instrText xml:space="preserve"> HYPERLINK "https://www.ncbi.nlm.nih.gov/geo/info/rnaseqcounts.html" \h </w:instrText>
      </w:r>
      <w:r>
        <w:fldChar w:fldCharType="separate"/>
      </w:r>
      <w:r>
        <w:rPr>
          <w:rStyle w:val="24"/>
        </w:rPr>
        <w:t>https://www.ncbi.nlm.nih.gov/geo/info/rnaseqcounts.html</w:t>
      </w:r>
      <w:r>
        <w:rPr>
          <w:rStyle w:val="24"/>
        </w:rPr>
        <w:fldChar w:fldCharType="end"/>
      </w:r>
      <w:r>
        <w:t>) 以及基因注释。</w:t>
      </w:r>
    </w:p>
    <w:p w14:paraId="7A196031">
      <w:pPr>
        <w:pStyle w:val="4"/>
      </w:pPr>
      <w:bookmarkStart w:id="11" w:name="limma-差异分析-dataset-ov_gse173579"/>
      <w:r>
        <w:t>2.8</w:t>
      </w:r>
      <w:r>
        <w:tab/>
        <w:t>Limma 差异分析 (Dataset: OV_GSE173579)</w:t>
      </w:r>
      <w:bookmarkEnd w:id="11"/>
    </w:p>
    <w:p w14:paraId="0DBA13A8">
      <w:pPr>
        <w:pStyle w:val="38"/>
      </w:pPr>
      <w:r>
        <w:t xml:space="preserve">以 R 包 </w:t>
      </w:r>
      <w:r>
        <w:rPr>
          <w:rStyle w:val="197"/>
        </w:rPr>
        <w:t>edgeR</w:t>
      </w:r>
      <w:r>
        <w:t xml:space="preserve"> (4.4.0) ()</w:t>
      </w:r>
      <w:r>
        <w:rPr>
          <w:vertAlign w:val="superscript"/>
        </w:rPr>
        <w:t>3</w:t>
      </w:r>
      <w:r>
        <w:t xml:space="preserve"> 对数据预处理。以 </w:t>
      </w:r>
      <w:r>
        <w:rPr>
          <w:rStyle w:val="197"/>
        </w:rPr>
        <w:t>edgeR::filterByExpr</w:t>
      </w:r>
      <w:r>
        <w:t xml:space="preserve"> 过滤 count 数量小于 10 的基因。以 </w:t>
      </w:r>
      <w:r>
        <w:rPr>
          <w:rStyle w:val="197"/>
        </w:rPr>
        <w:t>edgeR::calcNormFactors</w:t>
      </w:r>
      <w:r>
        <w:t>，</w:t>
      </w:r>
      <w:r>
        <w:rPr>
          <w:rStyle w:val="197"/>
        </w:rPr>
        <w:t>limma::voom</w:t>
      </w:r>
      <w:r>
        <w:t xml:space="preserve"> 转化 count 数据为 log2 counts-per-million (logCPM)。 以 </w:t>
      </w:r>
      <w:r>
        <w:rPr>
          <w:rStyle w:val="197"/>
        </w:rPr>
        <w:t>limma</w:t>
      </w:r>
      <w:r>
        <w:t xml:space="preserve"> (3.62.1) (2005)</w:t>
      </w:r>
      <w:r>
        <w:rPr>
          <w:vertAlign w:val="superscript"/>
        </w:rPr>
        <w:t>2</w:t>
      </w:r>
      <w:r>
        <w:t xml:space="preserve"> 差异分析。分析方法参考 </w:t>
      </w:r>
      <w:r>
        <w:fldChar w:fldCharType="begin"/>
      </w:r>
      <w:r>
        <w:instrText xml:space="preserve"> HYPERLINK "https://bioconductor.org/packages/release/workflows/vignettes/RNAseq123/inst/doc/limmaWorkflow.html" \h </w:instrText>
      </w:r>
      <w:r>
        <w:fldChar w:fldCharType="separate"/>
      </w:r>
      <w:r>
        <w:rPr>
          <w:rStyle w:val="24"/>
        </w:rPr>
        <w:t>https://bioconductor.org/packages/release/workflows/vignettes/RNAseq123/inst/doc/limmaWorkflow.html</w:t>
      </w:r>
      <w:r>
        <w:rPr>
          <w:rStyle w:val="24"/>
        </w:rPr>
        <w:fldChar w:fldCharType="end"/>
      </w:r>
      <w:r>
        <w:t xml:space="preserve">。创建设计矩阵，对比矩阵，差异分析：Carboplatin_high_Resistant_SKOV3 vs Non_resistance_SKOV3。使用 </w:t>
      </w:r>
      <w:r>
        <w:rPr>
          <w:rStyle w:val="197"/>
        </w:rPr>
        <w:t>limma::lmFit</w:t>
      </w:r>
      <w:r>
        <w:t xml:space="preserve">, </w:t>
      </w:r>
      <w:r>
        <w:rPr>
          <w:rStyle w:val="197"/>
        </w:rPr>
        <w:t>limma::contrasts.fit</w:t>
      </w:r>
      <w:r>
        <w:t xml:space="preserve">, </w:t>
      </w:r>
      <w:r>
        <w:rPr>
          <w:rStyle w:val="197"/>
        </w:rPr>
        <w:t>limma::eBayes</w:t>
      </w:r>
      <w:r>
        <w:t xml:space="preserve"> 拟合线形模型。以 </w:t>
      </w:r>
      <w:r>
        <w:rPr>
          <w:rStyle w:val="197"/>
        </w:rPr>
        <w:t>limma::topTable</w:t>
      </w:r>
      <w:r>
        <w:t xml:space="preserve"> 提取所有结果，并过滤得到 P.Value 小于 0.05，|Log2(FC)| 大于 0.3 的统计结果。</w:t>
      </w:r>
    </w:p>
    <w:p w14:paraId="0EBCF735">
      <w:pPr>
        <w:pStyle w:val="4"/>
      </w:pPr>
      <w:bookmarkStart w:id="12" w:name="geo-数据获取-dataset-oc_gse140996"/>
      <w:r>
        <w:t>2.9</w:t>
      </w:r>
      <w:r>
        <w:tab/>
        <w:t>GEO 数据获取 (Dataset: OC_GSE140996)</w:t>
      </w:r>
      <w:bookmarkEnd w:id="12"/>
    </w:p>
    <w:p w14:paraId="0A407EAC">
      <w:pPr>
        <w:pStyle w:val="38"/>
      </w:pPr>
      <w:r>
        <w:t xml:space="preserve">以 R 包 </w:t>
      </w:r>
      <w:r>
        <w:rPr>
          <w:rStyle w:val="197"/>
        </w:rPr>
        <w:t>GEOquery</w:t>
      </w:r>
      <w:r>
        <w:t xml:space="preserve"> (2.74.0) 获取 GSE140996 数据集。</w:t>
      </w:r>
    </w:p>
    <w:p w14:paraId="49F6D482">
      <w:pPr>
        <w:pStyle w:val="4"/>
      </w:pPr>
      <w:bookmarkStart w:id="13" w:name="limma-差异分析-dataset-oc_gse140996"/>
      <w:r>
        <w:t>2.10</w:t>
      </w:r>
      <w:r>
        <w:tab/>
        <w:t>Limma 差异分析 (Dataset: OC_GSE140996)</w:t>
      </w:r>
      <w:bookmarkEnd w:id="13"/>
    </w:p>
    <w:p w14:paraId="6CF56789">
      <w:pPr>
        <w:pStyle w:val="38"/>
      </w:pPr>
      <w:r>
        <w:t xml:space="preserve">以 </w:t>
      </w:r>
      <w:r>
        <w:rPr>
          <w:rStyle w:val="197"/>
        </w:rPr>
        <w:t>limma</w:t>
      </w:r>
      <w:r>
        <w:t xml:space="preserve"> (3.62.1) (2005)</w:t>
      </w:r>
      <w:r>
        <w:rPr>
          <w:vertAlign w:val="superscript"/>
        </w:rPr>
        <w:t>2</w:t>
      </w:r>
      <w:r>
        <w:t xml:space="preserve"> 差异分析。创建设计矩阵，对比矩阵，差异分析：W1CR_none vs W1_none。使用 </w:t>
      </w:r>
      <w:r>
        <w:rPr>
          <w:rStyle w:val="197"/>
        </w:rPr>
        <w:t>limma::lmFit</w:t>
      </w:r>
      <w:r>
        <w:t xml:space="preserve">, </w:t>
      </w:r>
      <w:r>
        <w:rPr>
          <w:rStyle w:val="197"/>
        </w:rPr>
        <w:t>limma::contrasts.fit</w:t>
      </w:r>
      <w:r>
        <w:t xml:space="preserve">, </w:t>
      </w:r>
      <w:r>
        <w:rPr>
          <w:rStyle w:val="197"/>
        </w:rPr>
        <w:t>limma::eBayes</w:t>
      </w:r>
      <w:r>
        <w:t xml:space="preserve"> 拟合线形模型。以 </w:t>
      </w:r>
      <w:r>
        <w:rPr>
          <w:rStyle w:val="197"/>
        </w:rPr>
        <w:t>limma::topTable</w:t>
      </w:r>
      <w:r>
        <w:t xml:space="preserve"> 提取所有结果，并过滤得到 P.Value 小于 0.05，|Log2(FC)| 大于 0.3 的统计结果。</w:t>
      </w:r>
    </w:p>
    <w:p w14:paraId="2DDBF9D3">
      <w:pPr>
        <w:pStyle w:val="4"/>
      </w:pPr>
      <w:bookmarkStart w:id="14" w:name="geo-数据获取-dataset-oc_gse143152"/>
      <w:r>
        <w:t>2.11</w:t>
      </w:r>
      <w:r>
        <w:tab/>
        <w:t>GEO 数据获取 (Dataset: OC_GSE143152)</w:t>
      </w:r>
      <w:bookmarkEnd w:id="14"/>
    </w:p>
    <w:p w14:paraId="3B1C1F25">
      <w:pPr>
        <w:pStyle w:val="38"/>
      </w:pPr>
      <w:r>
        <w:t xml:space="preserve">以 R 包 </w:t>
      </w:r>
      <w:r>
        <w:rPr>
          <w:rStyle w:val="197"/>
        </w:rPr>
        <w:t>GEOquery</w:t>
      </w:r>
      <w:r>
        <w:t xml:space="preserve"> (2.74.0) 获取 GSE143152 数据集。 以 </w:t>
      </w:r>
      <w:r>
        <w:rPr>
          <w:rStyle w:val="197"/>
        </w:rPr>
        <w:t>GEOquery:::getRNASeqQuantResults</w:t>
      </w:r>
      <w:r>
        <w:t xml:space="preserve"> 获取 RNA count 数据 (NCBI-generated data, 参考 </w:t>
      </w:r>
      <w:r>
        <w:fldChar w:fldCharType="begin"/>
      </w:r>
      <w:r>
        <w:instrText xml:space="preserve"> HYPERLINK "https://www.ncbi.nlm.nih.gov/geo/info/rnaseqcounts.html" \h </w:instrText>
      </w:r>
      <w:r>
        <w:fldChar w:fldCharType="separate"/>
      </w:r>
      <w:r>
        <w:rPr>
          <w:rStyle w:val="24"/>
        </w:rPr>
        <w:t>https://www.ncbi.nlm.nih.gov/geo/info/rnaseqcounts.html</w:t>
      </w:r>
      <w:r>
        <w:rPr>
          <w:rStyle w:val="24"/>
        </w:rPr>
        <w:fldChar w:fldCharType="end"/>
      </w:r>
      <w:r>
        <w:t>) 缺失样本: GSM4251001 (‘NCBI-generated data’ 缺失样本计数数据的原因包括运行未通过 50% 的对齐率或由于技术原因处理失败) 以及基因注释。</w:t>
      </w:r>
    </w:p>
    <w:p w14:paraId="6ECC8FAF">
      <w:pPr>
        <w:pStyle w:val="4"/>
      </w:pPr>
      <w:bookmarkStart w:id="15" w:name="limma-差异分析-dataset-oc_gse143152"/>
      <w:r>
        <w:t>2.12</w:t>
      </w:r>
      <w:r>
        <w:tab/>
        <w:t>Limma 差异分析 (Dataset: OC_GSE143152)</w:t>
      </w:r>
      <w:bookmarkEnd w:id="15"/>
    </w:p>
    <w:p w14:paraId="1A02B119">
      <w:pPr>
        <w:pStyle w:val="38"/>
      </w:pPr>
      <w:r>
        <w:t xml:space="preserve">以 R 包 </w:t>
      </w:r>
      <w:r>
        <w:rPr>
          <w:rStyle w:val="197"/>
        </w:rPr>
        <w:t>edgeR</w:t>
      </w:r>
      <w:r>
        <w:t xml:space="preserve"> (4.4.0) ()</w:t>
      </w:r>
      <w:r>
        <w:rPr>
          <w:vertAlign w:val="superscript"/>
        </w:rPr>
        <w:t>3</w:t>
      </w:r>
      <w:r>
        <w:t xml:space="preserve"> 对数据预处理。以 </w:t>
      </w:r>
      <w:r>
        <w:rPr>
          <w:rStyle w:val="197"/>
        </w:rPr>
        <w:t>edgeR::filterByExpr</w:t>
      </w:r>
      <w:r>
        <w:t xml:space="preserve"> 过滤 count 数量小于 10 的基因。以 </w:t>
      </w:r>
      <w:r>
        <w:rPr>
          <w:rStyle w:val="197"/>
        </w:rPr>
        <w:t>edgeR::calcNormFactors</w:t>
      </w:r>
      <w:r>
        <w:t>，</w:t>
      </w:r>
      <w:r>
        <w:rPr>
          <w:rStyle w:val="197"/>
        </w:rPr>
        <w:t>limma::voom</w:t>
      </w:r>
      <w:r>
        <w:t xml:space="preserve"> 转化 count 数据为 log2 counts-per-million (logCPM)。 以 </w:t>
      </w:r>
      <w:r>
        <w:rPr>
          <w:rStyle w:val="197"/>
        </w:rPr>
        <w:t>limma</w:t>
      </w:r>
      <w:r>
        <w:t xml:space="preserve"> (3.62.1) (2005)</w:t>
      </w:r>
      <w:r>
        <w:rPr>
          <w:vertAlign w:val="superscript"/>
        </w:rPr>
        <w:t>2</w:t>
      </w:r>
      <w:r>
        <w:t xml:space="preserve"> 差异分析。分析方法参考 </w:t>
      </w:r>
      <w:r>
        <w:fldChar w:fldCharType="begin"/>
      </w:r>
      <w:r>
        <w:instrText xml:space="preserve"> HYPERLINK "https://bioconductor.org/packages/release/workflows/vignettes/RNAseq123/inst/doc/limmaWorkflow.html" \h </w:instrText>
      </w:r>
      <w:r>
        <w:fldChar w:fldCharType="separate"/>
      </w:r>
      <w:r>
        <w:rPr>
          <w:rStyle w:val="24"/>
        </w:rPr>
        <w:t>https://bioconductor.org/packages/release/workflows/vignettes/RNAseq123/inst/doc/limmaWorkflow.html</w:t>
      </w:r>
      <w:r>
        <w:rPr>
          <w:rStyle w:val="24"/>
        </w:rPr>
        <w:fldChar w:fldCharType="end"/>
      </w:r>
      <w:r>
        <w:t xml:space="preserve">。创建设计矩阵，对比矩阵，差异分析：prexasertib_resistant_Kuramochi vs parental_Kuramochi, prexasertib_resistant_OV vs parental_OV, prexasertib_resistant_EFO vs parental_EFO, prexasertib_resistant_OVSAHO vs parental_OVSAHO。使用 </w:t>
      </w:r>
      <w:r>
        <w:rPr>
          <w:rStyle w:val="197"/>
        </w:rPr>
        <w:t>limma::lmFit</w:t>
      </w:r>
      <w:r>
        <w:t xml:space="preserve">, </w:t>
      </w:r>
      <w:r>
        <w:rPr>
          <w:rStyle w:val="197"/>
        </w:rPr>
        <w:t>limma::contrasts.fit</w:t>
      </w:r>
      <w:r>
        <w:t xml:space="preserve">, </w:t>
      </w:r>
      <w:r>
        <w:rPr>
          <w:rStyle w:val="197"/>
        </w:rPr>
        <w:t>limma::eBayes</w:t>
      </w:r>
      <w:r>
        <w:t xml:space="preserve"> 拟合线形模型。以 </w:t>
      </w:r>
      <w:r>
        <w:rPr>
          <w:rStyle w:val="197"/>
        </w:rPr>
        <w:t>limma::topTable</w:t>
      </w:r>
      <w:r>
        <w:t xml:space="preserve"> 提取所有结果，并过滤得到 P.Value 小于 0.05，|Log2(FC)| 大于 0.3 的统计结果。</w:t>
      </w:r>
    </w:p>
    <w:p w14:paraId="69AA592A">
      <w:pPr>
        <w:pStyle w:val="4"/>
      </w:pPr>
      <w:bookmarkStart w:id="16" w:name="geo-数据获取-dataset-oc_gse285737"/>
      <w:r>
        <w:t>2.13</w:t>
      </w:r>
      <w:r>
        <w:tab/>
        <w:t>GEO 数据获取 (Dataset: OC_GSE285737)</w:t>
      </w:r>
      <w:bookmarkEnd w:id="16"/>
    </w:p>
    <w:p w14:paraId="3E68A393">
      <w:pPr>
        <w:pStyle w:val="38"/>
      </w:pPr>
      <w:r>
        <w:t xml:space="preserve">以 R 包 </w:t>
      </w:r>
      <w:r>
        <w:rPr>
          <w:rStyle w:val="197"/>
        </w:rPr>
        <w:t>GEOquery</w:t>
      </w:r>
      <w:r>
        <w:t xml:space="preserve"> (2.74.0) 获取 GSE285737 数据集。</w:t>
      </w:r>
    </w:p>
    <w:p w14:paraId="34DE555A">
      <w:pPr>
        <w:pStyle w:val="4"/>
      </w:pPr>
      <w:bookmarkStart w:id="17" w:name="limma-差异分析-dataset-oc_gse285737"/>
      <w:r>
        <w:t>2.14</w:t>
      </w:r>
      <w:r>
        <w:tab/>
        <w:t>Limma 差异分析 (Dataset: OC_GSE285737)</w:t>
      </w:r>
      <w:bookmarkEnd w:id="17"/>
    </w:p>
    <w:p w14:paraId="5414D383">
      <w:pPr>
        <w:pStyle w:val="38"/>
      </w:pPr>
      <w:r>
        <w:t xml:space="preserve">以 R 包 </w:t>
      </w:r>
      <w:r>
        <w:rPr>
          <w:rStyle w:val="197"/>
        </w:rPr>
        <w:t>edgeR</w:t>
      </w:r>
      <w:r>
        <w:t xml:space="preserve"> (4.4.0) ()</w:t>
      </w:r>
      <w:r>
        <w:rPr>
          <w:vertAlign w:val="superscript"/>
        </w:rPr>
        <w:t>3</w:t>
      </w:r>
      <w:r>
        <w:t xml:space="preserve"> 对数据预处理。以 </w:t>
      </w:r>
      <w:r>
        <w:rPr>
          <w:rStyle w:val="197"/>
        </w:rPr>
        <w:t>edgeR::filterByExpr</w:t>
      </w:r>
      <w:r>
        <w:t xml:space="preserve"> 过滤 count 数量小于 10 的基因。以 </w:t>
      </w:r>
      <w:r>
        <w:rPr>
          <w:rStyle w:val="197"/>
        </w:rPr>
        <w:t>edgeR::calcNormFactors</w:t>
      </w:r>
      <w:r>
        <w:t>，</w:t>
      </w:r>
      <w:r>
        <w:rPr>
          <w:rStyle w:val="197"/>
        </w:rPr>
        <w:t>limma::voom</w:t>
      </w:r>
      <w:r>
        <w:t xml:space="preserve"> 转化 count 数据为 log2 counts-per-million (logCPM)。 以 </w:t>
      </w:r>
      <w:r>
        <w:rPr>
          <w:rStyle w:val="197"/>
        </w:rPr>
        <w:t>limma</w:t>
      </w:r>
      <w:r>
        <w:t xml:space="preserve"> (3.62.1) (2005)</w:t>
      </w:r>
      <w:r>
        <w:rPr>
          <w:vertAlign w:val="superscript"/>
        </w:rPr>
        <w:t>2</w:t>
      </w:r>
      <w:r>
        <w:t xml:space="preserve"> 差异分析。分析方法参考 </w:t>
      </w:r>
      <w:r>
        <w:fldChar w:fldCharType="begin"/>
      </w:r>
      <w:r>
        <w:instrText xml:space="preserve"> HYPERLINK "https://bioconductor.org/packages/release/workflows/vignettes/RNAseq123/inst/doc/limmaWorkflow.html" \h </w:instrText>
      </w:r>
      <w:r>
        <w:fldChar w:fldCharType="separate"/>
      </w:r>
      <w:r>
        <w:rPr>
          <w:rStyle w:val="24"/>
        </w:rPr>
        <w:t>https://bioconductor.org/packages/release/workflows/vignettes/RNAseq123/inst/doc/limmaWorkflow.html</w:t>
      </w:r>
      <w:r>
        <w:rPr>
          <w:rStyle w:val="24"/>
        </w:rPr>
        <w:fldChar w:fldCharType="end"/>
      </w:r>
      <w:r>
        <w:t xml:space="preserve">。创建设计矩阵，对比矩阵，差异分析：Carboplatin_resistant_OVCAR_3 vs OVCAR_3。使用 </w:t>
      </w:r>
      <w:r>
        <w:rPr>
          <w:rStyle w:val="197"/>
        </w:rPr>
        <w:t>limma::lmFit</w:t>
      </w:r>
      <w:r>
        <w:t xml:space="preserve">, </w:t>
      </w:r>
      <w:r>
        <w:rPr>
          <w:rStyle w:val="197"/>
        </w:rPr>
        <w:t>limma::contrasts.fit</w:t>
      </w:r>
      <w:r>
        <w:t xml:space="preserve">, </w:t>
      </w:r>
      <w:r>
        <w:rPr>
          <w:rStyle w:val="197"/>
        </w:rPr>
        <w:t>limma::eBayes</w:t>
      </w:r>
      <w:r>
        <w:t xml:space="preserve"> 拟合线形模型。以 </w:t>
      </w:r>
      <w:r>
        <w:rPr>
          <w:rStyle w:val="197"/>
        </w:rPr>
        <w:t>limma::topTable</w:t>
      </w:r>
      <w:r>
        <w:t xml:space="preserve"> 提取所有结果，并过滤得到 P.Value 小于 0.05，|Log2(FC)| 大于 0.3 的统计结果。</w:t>
      </w:r>
    </w:p>
    <w:p w14:paraId="386E25EC">
      <w:pPr>
        <w:pStyle w:val="4"/>
      </w:pPr>
      <w:bookmarkStart w:id="18" w:name="geo-数据获取-dataset-hgsoc_gse141630"/>
      <w:r>
        <w:t>2.15</w:t>
      </w:r>
      <w:r>
        <w:tab/>
        <w:t>GEO 数据获取 (Dataset: HGSOC_GSE141630)</w:t>
      </w:r>
      <w:bookmarkEnd w:id="18"/>
    </w:p>
    <w:p w14:paraId="4876C840">
      <w:pPr>
        <w:pStyle w:val="38"/>
      </w:pPr>
      <w:r>
        <w:t xml:space="preserve">以 R 包 </w:t>
      </w:r>
      <w:r>
        <w:rPr>
          <w:rStyle w:val="197"/>
        </w:rPr>
        <w:t>GEOquery</w:t>
      </w:r>
      <w:r>
        <w:t xml:space="preserve"> (2.74.0) 获取 GSE141630 数据集。</w:t>
      </w:r>
    </w:p>
    <w:p w14:paraId="3FF81D6D">
      <w:pPr>
        <w:pStyle w:val="4"/>
      </w:pPr>
      <w:bookmarkStart w:id="19" w:name="limma-差异分析-dataset-hgsoc_gse141630"/>
      <w:r>
        <w:t>2.16</w:t>
      </w:r>
      <w:r>
        <w:tab/>
        <w:t>Limma 差异分析 (Dataset: HGSOC_GSE141630)</w:t>
      </w:r>
      <w:bookmarkEnd w:id="19"/>
    </w:p>
    <w:p w14:paraId="3A789491">
      <w:pPr>
        <w:pStyle w:val="38"/>
      </w:pPr>
      <w:r>
        <w:t xml:space="preserve">以 </w:t>
      </w:r>
      <w:r>
        <w:rPr>
          <w:rStyle w:val="197"/>
        </w:rPr>
        <w:t>limma</w:t>
      </w:r>
      <w:r>
        <w:t xml:space="preserve"> (3.62.1) (2005)</w:t>
      </w:r>
      <w:r>
        <w:rPr>
          <w:vertAlign w:val="superscript"/>
        </w:rPr>
        <w:t>2</w:t>
      </w:r>
      <w:r>
        <w:t xml:space="preserve"> 差异分析。分析方法参考 </w:t>
      </w:r>
      <w:r>
        <w:fldChar w:fldCharType="begin"/>
      </w:r>
      <w:r>
        <w:instrText xml:space="preserve"> HYPERLINK "https://bioconductor.org/packages/release/workflows/vignettes/RNAseq123/inst/doc/limmaWorkflow.html" \h </w:instrText>
      </w:r>
      <w:r>
        <w:fldChar w:fldCharType="separate"/>
      </w:r>
      <w:r>
        <w:rPr>
          <w:rStyle w:val="24"/>
        </w:rPr>
        <w:t>https://bioconductor.org/packages/release/workflows/vignettes/RNAseq123/inst/doc/limmaWorkflow.html</w:t>
      </w:r>
      <w:r>
        <w:rPr>
          <w:rStyle w:val="24"/>
        </w:rPr>
        <w:fldChar w:fldCharType="end"/>
      </w:r>
      <w:r>
        <w:t xml:space="preserve">。创建设计矩阵，对比矩阵，差异分析：carboplatin_resistant vs sensitive。使用 </w:t>
      </w:r>
      <w:r>
        <w:rPr>
          <w:rStyle w:val="197"/>
        </w:rPr>
        <w:t>limma::lmFit</w:t>
      </w:r>
      <w:r>
        <w:t xml:space="preserve">, </w:t>
      </w:r>
      <w:r>
        <w:rPr>
          <w:rStyle w:val="197"/>
        </w:rPr>
        <w:t>limma::contrasts.fit</w:t>
      </w:r>
      <w:r>
        <w:t xml:space="preserve">, </w:t>
      </w:r>
      <w:r>
        <w:rPr>
          <w:rStyle w:val="197"/>
        </w:rPr>
        <w:t>limma::eBayes</w:t>
      </w:r>
      <w:r>
        <w:t xml:space="preserve"> 拟合线形模型。以 </w:t>
      </w:r>
      <w:r>
        <w:rPr>
          <w:rStyle w:val="197"/>
        </w:rPr>
        <w:t>limma::topTable</w:t>
      </w:r>
      <w:r>
        <w:t xml:space="preserve"> 提取所有结果，并过滤得到 P.Value 小于 0.05，|Log2(FC)| 大于 0.5 的统计结果。</w:t>
      </w:r>
    </w:p>
    <w:p w14:paraId="3DCC03CA">
      <w:pPr>
        <w:pStyle w:val="4"/>
      </w:pPr>
      <w:bookmarkStart w:id="20" w:name="epifactors-表观遗传调控因子数据获取-dataset-m6a"/>
      <w:r>
        <w:t>2.17</w:t>
      </w:r>
      <w:r>
        <w:tab/>
        <w:t>EpiFactors 表观遗传调控因子数据获取 (Dataset: M6A)</w:t>
      </w:r>
      <w:bookmarkEnd w:id="20"/>
    </w:p>
    <w:p w14:paraId="68A7E5F9">
      <w:pPr>
        <w:pStyle w:val="38"/>
      </w:pPr>
      <w:r>
        <w:t xml:space="preserve">从数据库 </w:t>
      </w:r>
      <w:r>
        <w:rPr>
          <w:rStyle w:val="197"/>
        </w:rPr>
        <w:t>EpiFactors</w:t>
      </w:r>
      <w:r>
        <w:t xml:space="preserve"> (2023, </w:t>
      </w:r>
      <w:r>
        <w:rPr>
          <w:b/>
        </w:rPr>
        <w:t>IF:16.6</w:t>
      </w:r>
      <w:r>
        <w:t>, Q1, Nucleic acids research)</w:t>
      </w:r>
      <w:r>
        <w:rPr>
          <w:vertAlign w:val="superscript"/>
        </w:rPr>
        <w:t>4</w:t>
      </w:r>
      <w:r>
        <w:t xml:space="preserve"> 获取表观遗传调控蛋白的数据。</w:t>
      </w:r>
    </w:p>
    <w:p w14:paraId="46274CB0">
      <w:pPr>
        <w:pStyle w:val="2"/>
      </w:pPr>
      <w:bookmarkStart w:id="21" w:name="workflow"/>
      <w:r>
        <w:t>3</w:t>
      </w:r>
      <w:r>
        <w:tab/>
        <w:t>分析结果</w:t>
      </w:r>
      <w:bookmarkEnd w:id="21"/>
    </w:p>
    <w:p w14:paraId="0A4EDE18">
      <w:pPr>
        <w:pStyle w:val="4"/>
      </w:pPr>
      <w:bookmarkStart w:id="22" w:name="tcga-数据获取-ov"/>
      <w:r>
        <w:t>3.1</w:t>
      </w:r>
      <w:r>
        <w:tab/>
        <w:t>TCGA 数据获取 (OV)</w:t>
      </w:r>
      <w:bookmarkEnd w:id="22"/>
    </w:p>
    <w:p w14:paraId="78F8E1CC">
      <w:pPr>
        <w:pStyle w:val="38"/>
      </w:pPr>
      <w:r>
        <w:t>获取 TCGA-OV 数据。</w:t>
      </w:r>
    </w:p>
    <w:p w14:paraId="7B679FDF">
      <w:pPr>
        <w:pStyle w:val="4"/>
      </w:pPr>
      <w:bookmarkStart w:id="23" w:name="survival-生存分析-ov"/>
      <w:r>
        <w:t>3.2</w:t>
      </w:r>
      <w:r>
        <w:tab/>
        <w:t>Survival 生存分析 (OV)</w:t>
      </w:r>
      <w:bookmarkEnd w:id="23"/>
    </w:p>
    <w:p w14:paraId="54F39625">
      <w:pPr>
        <w:pStyle w:val="38"/>
      </w:pPr>
      <w:r>
        <w:t xml:space="preserve">Fig. </w:t>
      </w:r>
      <w:r>
        <w:fldChar w:fldCharType="begin"/>
      </w:r>
      <w:r>
        <w:instrText xml:space="preserve"> HYPERLINK \l "OV-survival-curve-of-GTSE1" \h </w:instrText>
      </w:r>
      <w:r>
        <w:fldChar w:fldCharType="separate"/>
      </w:r>
      <w:r>
        <w:fldChar w:fldCharType="begin"/>
      </w:r>
      <w:r>
        <w:instrText xml:space="preserve"> REF OV-survival-curve-of-GTSE1 \h</w:instrText>
      </w:r>
      <w:r>
        <w:fldChar w:fldCharType="separate"/>
      </w:r>
      <w:r>
        <w:rPr>
          <w:b/>
        </w:rPr>
        <w:t>2</w:t>
      </w:r>
      <w:r>
        <w:fldChar w:fldCharType="end"/>
      </w:r>
      <w:r>
        <w:fldChar w:fldCharType="end"/>
      </w:r>
      <w:r>
        <w:t xml:space="preserve"> 为 GTSE1 生存曲线。 </w:t>
      </w:r>
    </w:p>
    <w:p w14:paraId="3363684D">
      <w:pPr>
        <w:pStyle w:val="3"/>
      </w:pPr>
      <w:r>
        <w:drawing>
          <wp:inline distT="0" distB="0" distL="0" distR="0">
            <wp:extent cx="5029200" cy="4572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FBCD0F">
      <w:pPr>
        <w:pStyle w:val="194"/>
      </w:pPr>
      <w:r>
        <w:rPr>
          <w:b/>
        </w:rPr>
        <w:t xml:space="preserve">Fig. </w:t>
      </w:r>
      <w:bookmarkStart w:id="24" w:name="OV-survival-curve-of-GTSE1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2</w:t>
      </w:r>
      <w:r>
        <w:rPr>
          <w:b/>
        </w:rPr>
        <w:fldChar w:fldCharType="end"/>
      </w:r>
      <w:bookmarkEnd w:id="24"/>
      <w:r>
        <w:rPr>
          <w:b/>
        </w:rPr>
        <w:t xml:space="preserve"> </w:t>
      </w:r>
      <w:r>
        <w:t>OV survival curve of GTSE1</w:t>
      </w:r>
    </w:p>
    <w:p w14:paraId="36C65E6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Figure+Table/3.2.0_Survival_生存分析_(OV)/OV-survival-curve-of-GTSE1.pdf)</w:t>
      </w:r>
    </w:p>
    <w:p w14:paraId="163B6707">
      <w:pPr>
        <w:pStyle w:val="4"/>
      </w:pPr>
      <w:bookmarkStart w:id="25" w:name="gse-数据搜索-hgsoc"/>
      <w:r>
        <w:t>3.3</w:t>
      </w:r>
      <w:r>
        <w:tab/>
        <w:t>GSE 数据搜索 (HGSOC)</w:t>
      </w:r>
      <w:bookmarkEnd w:id="25"/>
    </w:p>
    <w:p w14:paraId="394D0A2E">
      <w:pPr>
        <w:pStyle w:val="38"/>
      </w:pPr>
      <w:r>
        <w:t>以 Entrez Direct (EDirect) 搜索 GEO 数据库 (检索条件见方法章节) 。</w:t>
      </w:r>
    </w:p>
    <w:p w14:paraId="4FAD9B44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26" w:name="High-grade-serous-ovarian-cancer-EDirect-query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bookmarkEnd w:id="26"/>
      <w:r>
        <w:rPr>
          <w:b/>
        </w:rPr>
        <w:t xml:space="preserve">  </w:t>
      </w:r>
      <w:r>
        <w:t>High grade serous ovarian cancer EDirect query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1728"/>
        <w:gridCol w:w="1728"/>
        <w:gridCol w:w="1728"/>
        <w:gridCol w:w="1728"/>
      </w:tblGrid>
      <w:tr w14:paraId="382CB88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70109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GSE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A525C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Title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281B7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Summary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44B7E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Taxon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1086E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GdsType</w:t>
            </w:r>
          </w:p>
        </w:tc>
      </w:tr>
      <w:tr w14:paraId="69132FF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DB01A2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GSE209964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2447EA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 count level 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F28C3A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Transcriptomic pr...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086952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Homo sapiens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A79D2A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Expression profil...</w:t>
            </w:r>
          </w:p>
        </w:tc>
      </w:tr>
      <w:tr w14:paraId="493DC2A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CF9740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GSE181955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DEF74A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 expression o...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08364E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We report RNA seq...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D36FB4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Homo sapiens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56F5A6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Expression profil...</w:t>
            </w:r>
          </w:p>
        </w:tc>
      </w:tr>
      <w:tr w14:paraId="21BAF1A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3EE4E7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GSE146556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AA86CE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Global DNA hypome...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4D2EEF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This SuperSeries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61DF0A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Homo sapiens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B1F637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Methylation profi...</w:t>
            </w:r>
          </w:p>
        </w:tc>
      </w:tr>
      <w:tr w14:paraId="677BA1E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E93136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GSE146553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A2193F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Global DNA hypome...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1D4F10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Comparison of DNA...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3B0CD6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Homo sapiens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24E597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Expression profil...</w:t>
            </w:r>
          </w:p>
        </w:tc>
      </w:tr>
      <w:tr w14:paraId="49536DE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CBC61C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GSE135886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CBB777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LncRNA and mRNA e...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975CB1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Ovarian cancer is...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C5C53B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Homo sapiens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5D1EDE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Expression profil...</w:t>
            </w:r>
          </w:p>
        </w:tc>
      </w:tr>
      <w:tr w14:paraId="1549544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6AFF50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E1E960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9ACF12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A2A43B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B40D5E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44739E1A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Figure+Table/3.3.0_GSE_数据搜索_(HGSOC)/High-grade-serous-ovarian-cancer-EDirect-query.xlsx)</w:t>
      </w:r>
    </w:p>
    <w:p w14:paraId="5C32449D">
      <w:pPr>
        <w:pStyle w:val="4"/>
      </w:pPr>
      <w:bookmarkStart w:id="27" w:name="geo-数据获取-hgsoc"/>
      <w:r>
        <w:t>3.4</w:t>
      </w:r>
      <w:r>
        <w:tab/>
        <w:t>GEO 数据获取 (HGSOC)</w:t>
      </w:r>
      <w:bookmarkEnd w:id="27"/>
    </w:p>
    <w:p w14:paraId="1B44A068">
      <w:pPr>
        <w:pStyle w:val="4"/>
      </w:pPr>
      <w:bookmarkStart w:id="28" w:name="limma-差异分析-hgsoc"/>
      <w:r>
        <w:t>3.5</w:t>
      </w:r>
      <w:r>
        <w:tab/>
        <w:t>Limma 差异分析 (HGSOC)</w:t>
      </w:r>
      <w:bookmarkEnd w:id="28"/>
    </w:p>
    <w:p w14:paraId="7C933C28">
      <w:pPr>
        <w:pStyle w:val="38"/>
      </w:pPr>
      <w:r>
        <w:t>筛选 group 为 “normal”, “hgsoc”，最终得到 43 例数据。样本分组：hgsoc (n=40) , normal (n=3) , Others (n=0) 。以 公式 ~ 0 + group 创建设计矩阵 (design matrix) 。差异分析：hgsoc vs normal。(若 A vs B，则为前者比后者，LogFC 大于 0 时，A 表达量高于 B)。上调或下调 DEGs 统计：up (n=1992) , down (n=2347)</w:t>
      </w:r>
    </w:p>
    <w:p w14:paraId="2DFF9D3A">
      <w:pPr>
        <w:pStyle w:val="3"/>
      </w:pPr>
      <w:r>
        <w:t xml:space="preserve">Fig. </w:t>
      </w:r>
      <w:r>
        <w:fldChar w:fldCharType="begin"/>
      </w:r>
      <w:r>
        <w:instrText xml:space="preserve"> HYPERLINK \l "HGSOC-Box-Plot-Of-DEGs" \h </w:instrText>
      </w:r>
      <w:r>
        <w:fldChar w:fldCharType="separate"/>
      </w:r>
      <w:r>
        <w:fldChar w:fldCharType="begin"/>
      </w:r>
      <w:r>
        <w:instrText xml:space="preserve"> REF HGSOC-Box-Plot-Of-DEGs \h</w:instrText>
      </w:r>
      <w:r>
        <w:fldChar w:fldCharType="separate"/>
      </w:r>
      <w:r>
        <w:rPr>
          <w:b/>
        </w:rPr>
        <w:t>4</w:t>
      </w:r>
      <w:r>
        <w:fldChar w:fldCharType="end"/>
      </w:r>
      <w:r>
        <w:fldChar w:fldCharType="end"/>
      </w:r>
      <w:r>
        <w:t xml:space="preserve"> 基因 GTSE1 表达水平，以及对应的 limma 差异分析显著水平。</w:t>
      </w:r>
    </w:p>
    <w:p w14:paraId="39DA549B">
      <w:pPr>
        <w:pStyle w:val="3"/>
      </w:pPr>
      <w:r>
        <w:drawing>
          <wp:inline distT="0" distB="0" distL="0" distR="0">
            <wp:extent cx="5669280" cy="4553585"/>
            <wp:effectExtent l="0" t="0" r="7620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3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556973">
      <w:pPr>
        <w:pStyle w:val="194"/>
      </w:pPr>
      <w:r>
        <w:rPr>
          <w:b/>
        </w:rPr>
        <w:t xml:space="preserve">Fig. </w:t>
      </w:r>
      <w:bookmarkStart w:id="29" w:name="HGSOC-hgsoc-vs-normal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3</w:t>
      </w:r>
      <w:r>
        <w:rPr>
          <w:b/>
        </w:rPr>
        <w:fldChar w:fldCharType="end"/>
      </w:r>
      <w:bookmarkEnd w:id="29"/>
      <w:r>
        <w:rPr>
          <w:b/>
        </w:rPr>
        <w:t xml:space="preserve"> </w:t>
      </w:r>
      <w:r>
        <w:t>HGSOC hgsoc vs normal</w:t>
      </w:r>
    </w:p>
    <w:p w14:paraId="6322A0BD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Figure+Table/3.5.0_Limma_差异分析_(HGSOC)/HGSOC-hgsoc-vs-normal.pdf)</w:t>
      </w:r>
    </w:p>
    <w:p w14:paraId="7130532C">
      <w:pPr>
        <w:pStyle w:val="186"/>
        <w:numPr>
          <w:ilvl w:val="0"/>
          <w:numId w:val="1"/>
        </w:numPr>
      </w:pPr>
      <w:r>
        <w:t>P.Value cut-off: 0.05</w:t>
      </w:r>
    </w:p>
    <w:p w14:paraId="715526B3">
      <w:pPr>
        <w:pStyle w:val="186"/>
        <w:numPr>
          <w:ilvl w:val="0"/>
          <w:numId w:val="1"/>
        </w:numPr>
      </w:pPr>
      <w:r>
        <w:t>Log2(FC) cut-off: 0.5</w:t>
      </w:r>
    </w:p>
    <w:p w14:paraId="7E97961A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(See: Figure+Table/3.5.0_Limma_差异分析_(HGSOC)/HGSOC-hgsoc-vs-normal-content)</w:t>
      </w:r>
    </w:p>
    <w:p w14:paraId="34480CC9">
      <w:pPr>
        <w:pStyle w:val="38"/>
      </w:pPr>
      <w:r>
        <w:drawing>
          <wp:inline distT="0" distB="0" distL="0" distR="0">
            <wp:extent cx="3465830" cy="45720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45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2719BA">
      <w:pPr>
        <w:pStyle w:val="194"/>
      </w:pPr>
      <w:r>
        <w:rPr>
          <w:b/>
        </w:rPr>
        <w:t xml:space="preserve">Fig. </w:t>
      </w:r>
      <w:bookmarkStart w:id="30" w:name="HGSOC-Box-Plot-Of-DEGs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4</w:t>
      </w:r>
      <w:r>
        <w:rPr>
          <w:b/>
        </w:rPr>
        <w:fldChar w:fldCharType="end"/>
      </w:r>
      <w:bookmarkEnd w:id="30"/>
      <w:r>
        <w:rPr>
          <w:b/>
        </w:rPr>
        <w:t xml:space="preserve"> </w:t>
      </w:r>
      <w:r>
        <w:t>HGSOC Box Plot Of DEGs</w:t>
      </w:r>
    </w:p>
    <w:p w14:paraId="02801BAA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Figure+Table/3.5.0_Limma_差异分析_(HGSOC)/HGSOC-Box-Plot-Of-DEGs.pdf)</w:t>
      </w:r>
    </w:p>
    <w:p w14:paraId="02295822">
      <w:pPr>
        <w:pStyle w:val="4"/>
      </w:pPr>
      <w:bookmarkStart w:id="31" w:name="drug-resistant"/>
      <w:r>
        <w:t>3.6</w:t>
      </w:r>
      <w:r>
        <w:tab/>
        <w:t>Drug resistant</w:t>
      </w:r>
      <w:bookmarkEnd w:id="31"/>
    </w:p>
    <w:p w14:paraId="1E5237F7">
      <w:pPr>
        <w:pStyle w:val="5"/>
      </w:pPr>
      <w:bookmarkStart w:id="32" w:name="gse-数据搜索-hgsoc_res"/>
      <w:r>
        <w:t>3.6.1</w:t>
      </w:r>
      <w:r>
        <w:tab/>
        <w:t>GSE 数据搜索 (HGSOC_RES)</w:t>
      </w:r>
      <w:bookmarkEnd w:id="32"/>
    </w:p>
    <w:p w14:paraId="54B0479E">
      <w:pPr>
        <w:pStyle w:val="5"/>
      </w:pPr>
      <w:bookmarkStart w:id="33" w:name="geo-数据获取-ov_gse173579"/>
      <w:r>
        <w:t>3.6.2</w:t>
      </w:r>
      <w:r>
        <w:tab/>
        <w:t>GEO 数据获取 (OV_GSE173579)</w:t>
      </w:r>
      <w:bookmarkEnd w:id="33"/>
    </w:p>
    <w:p w14:paraId="699C8237">
      <w:pPr>
        <w:pStyle w:val="38"/>
      </w:pPr>
      <w:r>
        <w:t xml:space="preserve">以 </w:t>
      </w:r>
      <w:r>
        <w:rPr>
          <w:rStyle w:val="197"/>
        </w:rPr>
        <w:t>GEOquery</w:t>
      </w:r>
      <w:r>
        <w:t xml:space="preserve"> 获取 GSE173579 的数据信息。</w:t>
      </w:r>
    </w:p>
    <w:p w14:paraId="292E5CA2">
      <w:pPr>
        <w:pStyle w:val="5"/>
      </w:pPr>
      <w:bookmarkStart w:id="34" w:name="limma-差异分析-ov_gse173579"/>
      <w:r>
        <w:t>3.6.3</w:t>
      </w:r>
      <w:r>
        <w:tab/>
        <w:t>Limma 差异分析 (OV_GSE173579)</w:t>
      </w:r>
      <w:bookmarkEnd w:id="34"/>
    </w:p>
    <w:p w14:paraId="23EA2D69">
      <w:pPr>
        <w:pStyle w:val="38"/>
      </w:pPr>
      <w:r>
        <w:t xml:space="preserve">以 </w:t>
      </w:r>
      <w:r>
        <w:rPr>
          <w:rStyle w:val="197"/>
        </w:rPr>
        <w:t>edgeR</w:t>
      </w:r>
      <w:r>
        <w:t xml:space="preserve"> 将GSE173579 RNA-seq 数据标准化 (详见方法章节)。以 公式 ~ 0 + group 创建设计矩阵 (design matrix) 。差异分析：Carboplatin_high_Resistant_SKOV3 vs Non_resistance_SKOV3。(若 A vs B，则为前者比后者，LogFC 大于 0 时，A 表达量高于 B)。</w:t>
      </w:r>
    </w:p>
    <w:p w14:paraId="30DC071F">
      <w:pPr>
        <w:pStyle w:val="3"/>
      </w:pPr>
      <w:r>
        <w:t xml:space="preserve">Fig. </w:t>
      </w:r>
      <w:r>
        <w:fldChar w:fldCharType="begin"/>
      </w:r>
      <w:r>
        <w:instrText xml:space="preserve"> HYPERLINK \l "OV-GSE173579-Box-Plot-Of-DEGs" \h </w:instrText>
      </w:r>
      <w:r>
        <w:fldChar w:fldCharType="separate"/>
      </w:r>
      <w:r>
        <w:fldChar w:fldCharType="begin"/>
      </w:r>
      <w:r>
        <w:instrText xml:space="preserve"> REF OV-GSE173579-Box-Plot-Of-DEGs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  <w:r>
        <w:t xml:space="preserve"> 基因 GTSE1 表达水平，以及对应的 limma 差异分析显著水平。 </w:t>
      </w:r>
    </w:p>
    <w:p w14:paraId="7A50FD57">
      <w:pPr>
        <w:pStyle w:val="3"/>
      </w:pPr>
      <w:r>
        <w:drawing>
          <wp:inline distT="0" distB="0" distL="0" distR="0">
            <wp:extent cx="2640965" cy="457200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82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98C1A0">
      <w:pPr>
        <w:pStyle w:val="194"/>
      </w:pPr>
      <w:r>
        <w:rPr>
          <w:b/>
        </w:rPr>
        <w:t xml:space="preserve">Fig. </w:t>
      </w:r>
      <w:bookmarkStart w:id="35" w:name="OV-GSE173579-Box-Plot-Of-DEGs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5</w:t>
      </w:r>
      <w:r>
        <w:rPr>
          <w:b/>
        </w:rPr>
        <w:fldChar w:fldCharType="end"/>
      </w:r>
      <w:bookmarkEnd w:id="35"/>
      <w:r>
        <w:rPr>
          <w:b/>
        </w:rPr>
        <w:t xml:space="preserve"> </w:t>
      </w:r>
      <w:r>
        <w:t>OV GSE173579 Box Plot Of DEGs</w:t>
      </w:r>
    </w:p>
    <w:p w14:paraId="58016F7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Figure+Table/3.6.3_Limma_差异分析_(OV_GSE173579)/OV-GSE173579-Box-Plot-Of-DEGs.pdf)</w:t>
      </w:r>
    </w:p>
    <w:p w14:paraId="5ECE8A34">
      <w:pPr>
        <w:pStyle w:val="5"/>
      </w:pPr>
      <w:bookmarkStart w:id="36" w:name="geo-数据获取-oc_gse140996"/>
      <w:r>
        <w:t>3.6.4</w:t>
      </w:r>
      <w:r>
        <w:tab/>
        <w:t>GEO 数据获取 (OC_GSE140996)</w:t>
      </w:r>
      <w:bookmarkEnd w:id="36"/>
    </w:p>
    <w:p w14:paraId="679BD278">
      <w:pPr>
        <w:pStyle w:val="38"/>
      </w:pPr>
      <w:r>
        <w:t xml:space="preserve">以 </w:t>
      </w:r>
      <w:r>
        <w:rPr>
          <w:rStyle w:val="197"/>
        </w:rPr>
        <w:t>GEOquery</w:t>
      </w:r>
      <w:r>
        <w:t xml:space="preserve"> 获取 GSE140996 的数据信息。</w:t>
      </w:r>
    </w:p>
    <w:p w14:paraId="1AA3E44A">
      <w:pPr>
        <w:pStyle w:val="5"/>
      </w:pPr>
      <w:bookmarkStart w:id="37" w:name="limma-差异分析-oc_gse140996"/>
      <w:r>
        <w:t>3.6.5</w:t>
      </w:r>
      <w:r>
        <w:tab/>
        <w:t>Limma 差异分析 (OC_GSE140996)</w:t>
      </w:r>
      <w:bookmarkEnd w:id="37"/>
    </w:p>
    <w:p w14:paraId="72429362">
      <w:pPr>
        <w:pStyle w:val="38"/>
      </w:pPr>
      <w:r>
        <w:t>匹配 group 中包含“none”的描述，最终得到 4 例数据。样本分组：W1_none (n=2) , W1CR_none (n=2) 。以 公式 ~ 0 + group 创建设计矩阵 (design matrix) 。差异分析：W1CR_none vs W1_none。(若 A vs B，则为前者比后者，LogFC 大于 0 时，A 表达量高于 B)。</w:t>
      </w:r>
    </w:p>
    <w:p w14:paraId="51441D80">
      <w:pPr>
        <w:pStyle w:val="3"/>
      </w:pPr>
      <w:r>
        <w:t xml:space="preserve">Fig. </w:t>
      </w:r>
      <w:r>
        <w:fldChar w:fldCharType="begin"/>
      </w:r>
      <w:r>
        <w:instrText xml:space="preserve"> HYPERLINK \l "OC-GSE140996-Box-Plot-Of-DEGs" \h </w:instrText>
      </w:r>
      <w:r>
        <w:fldChar w:fldCharType="separate"/>
      </w:r>
      <w:r>
        <w:fldChar w:fldCharType="begin"/>
      </w:r>
      <w:r>
        <w:instrText xml:space="preserve"> REF OC-GSE140996-Box-Plot-Of-DEGs \h</w:instrText>
      </w:r>
      <w:r>
        <w:fldChar w:fldCharType="separate"/>
      </w:r>
      <w:r>
        <w:rPr>
          <w:b/>
        </w:rPr>
        <w:t>6</w:t>
      </w:r>
      <w:r>
        <w:fldChar w:fldCharType="end"/>
      </w:r>
      <w:r>
        <w:fldChar w:fldCharType="end"/>
      </w:r>
      <w:r>
        <w:t xml:space="preserve"> 基因 GTSE1 表达水平，以及对应的 limma 差异分析显著水平。 </w:t>
      </w:r>
    </w:p>
    <w:p w14:paraId="1E4FB529">
      <w:pPr>
        <w:pStyle w:val="3"/>
      </w:pPr>
      <w:r>
        <w:drawing>
          <wp:inline distT="0" distB="0" distL="0" distR="0">
            <wp:extent cx="3429000" cy="4572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35D902">
      <w:pPr>
        <w:pStyle w:val="194"/>
      </w:pPr>
      <w:r>
        <w:rPr>
          <w:b/>
        </w:rPr>
        <w:t xml:space="preserve">Fig. </w:t>
      </w:r>
      <w:bookmarkStart w:id="38" w:name="OC-GSE140996-Box-Plot-Of-DEGs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6</w:t>
      </w:r>
      <w:r>
        <w:rPr>
          <w:b/>
        </w:rPr>
        <w:fldChar w:fldCharType="end"/>
      </w:r>
      <w:bookmarkEnd w:id="38"/>
      <w:r>
        <w:rPr>
          <w:b/>
        </w:rPr>
        <w:t xml:space="preserve"> </w:t>
      </w:r>
      <w:r>
        <w:t>OC GSE140996 Box Plot Of DEGs</w:t>
      </w:r>
    </w:p>
    <w:p w14:paraId="372588DF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Figure+Table/3.6.5_Limma_差异分析_(OC_GSE140996)/OC-GSE140996-Box-Plot-Of-DEGs.pdf)</w:t>
      </w:r>
    </w:p>
    <w:p w14:paraId="3EA0C92E">
      <w:pPr>
        <w:pStyle w:val="5"/>
      </w:pPr>
      <w:bookmarkStart w:id="39" w:name="geo-数据获取-oc_gse143152"/>
      <w:r>
        <w:t>3.6.6</w:t>
      </w:r>
      <w:r>
        <w:tab/>
        <w:t>GEO 数据获取 (OC_GSE143152)</w:t>
      </w:r>
      <w:bookmarkEnd w:id="39"/>
    </w:p>
    <w:p w14:paraId="4DC0CCB4">
      <w:pPr>
        <w:pStyle w:val="38"/>
      </w:pPr>
      <w:r>
        <w:t xml:space="preserve">以 </w:t>
      </w:r>
      <w:r>
        <w:rPr>
          <w:rStyle w:val="197"/>
        </w:rPr>
        <w:t>GEOquery</w:t>
      </w:r>
      <w:r>
        <w:t xml:space="preserve"> 获取 GSE143152 的数据信息。</w:t>
      </w:r>
    </w:p>
    <w:p w14:paraId="4456318B">
      <w:pPr>
        <w:pStyle w:val="5"/>
      </w:pPr>
      <w:bookmarkStart w:id="40" w:name="limma-差异分析-oc_gse143152"/>
      <w:r>
        <w:t>3.6.7</w:t>
      </w:r>
      <w:r>
        <w:tab/>
        <w:t>Limma 差异分析 (OC_GSE143152)</w:t>
      </w:r>
      <w:bookmarkEnd w:id="40"/>
    </w:p>
    <w:p w14:paraId="25A60937">
      <w:pPr>
        <w:pStyle w:val="38"/>
      </w:pPr>
      <w:r>
        <w:t xml:space="preserve">以 </w:t>
      </w:r>
      <w:r>
        <w:rPr>
          <w:rStyle w:val="197"/>
        </w:rPr>
        <w:t>edgeR</w:t>
      </w:r>
      <w:r>
        <w:t xml:space="preserve"> 将GSE143152 RNA-seq 数据标准化 (详见方法章节)。以 公式 ~ 0 + group 创建设计矩阵 (design matrix) 。差异分析：prexasertib_resistant_Kuramochi vs parental_Kuramochi, prexasertib_resistant_OV vs parental_OV, prexasertib_resistant_EFO vs parental_EFO, prexasertib_resistant_OVSAHO vs parental_OVSAHO。(若 A vs B，则为前者比后者，LogFC 大于 0 时，A 表达量高于 B)。</w:t>
      </w:r>
    </w:p>
    <w:p w14:paraId="391FC907">
      <w:pPr>
        <w:pStyle w:val="3"/>
      </w:pPr>
      <w:r>
        <w:t xml:space="preserve">Fig. </w:t>
      </w:r>
      <w:r>
        <w:fldChar w:fldCharType="begin"/>
      </w:r>
      <w:r>
        <w:instrText xml:space="preserve"> HYPERLINK \l "OC-GSE143152-Box-Plot-Of-DEGs-1" \h </w:instrText>
      </w:r>
      <w:r>
        <w:fldChar w:fldCharType="separate"/>
      </w:r>
      <w:r>
        <w:fldChar w:fldCharType="begin"/>
      </w:r>
      <w:r>
        <w:instrText xml:space="preserve"> REF OC-GSE143152-Box-Plot-Of-DEGs-1 \h</w:instrText>
      </w:r>
      <w:r>
        <w:fldChar w:fldCharType="separate"/>
      </w:r>
      <w:r>
        <w:rPr>
          <w:b/>
        </w:rPr>
        <w:t>7</w:t>
      </w:r>
      <w:r>
        <w:fldChar w:fldCharType="end"/>
      </w:r>
      <w:r>
        <w:fldChar w:fldCharType="end"/>
      </w:r>
      <w:r>
        <w:t xml:space="preserve"> 基因 GTSE1 表达水平，以及对应的 limma 差异分析显著水平。 Fig. </w:t>
      </w:r>
      <w:r>
        <w:fldChar w:fldCharType="begin"/>
      </w:r>
      <w:r>
        <w:instrText xml:space="preserve"> HYPERLINK \l "OC-GSE143152-Box-Plot-Of-DEGs-2" \h </w:instrText>
      </w:r>
      <w:r>
        <w:fldChar w:fldCharType="separate"/>
      </w:r>
      <w:r>
        <w:fldChar w:fldCharType="begin"/>
      </w:r>
      <w:r>
        <w:instrText xml:space="preserve"> REF OC-GSE143152-Box-Plot-Of-DEGs-2 \h</w:instrText>
      </w:r>
      <w:r>
        <w:fldChar w:fldCharType="separate"/>
      </w:r>
      <w:r>
        <w:rPr>
          <w:b/>
        </w:rPr>
        <w:t>8</w:t>
      </w:r>
      <w:r>
        <w:fldChar w:fldCharType="end"/>
      </w:r>
      <w:r>
        <w:fldChar w:fldCharType="end"/>
      </w:r>
      <w:r>
        <w:t xml:space="preserve"> 基因 GTSE1 表达水平，以及对应的 limma 差异分析显著水平。 Fig. </w:t>
      </w:r>
      <w:r>
        <w:fldChar w:fldCharType="begin"/>
      </w:r>
      <w:r>
        <w:instrText xml:space="preserve"> HYPERLINK \l "OC-GSE143152-Box-Plot-Of-DEGs-3" \h </w:instrText>
      </w:r>
      <w:r>
        <w:fldChar w:fldCharType="separate"/>
      </w:r>
      <w:r>
        <w:fldChar w:fldCharType="begin"/>
      </w:r>
      <w:r>
        <w:instrText xml:space="preserve"> REF OC-GSE143152-Box-Plot-Of-DEGs-3 \h</w:instrText>
      </w:r>
      <w:r>
        <w:fldChar w:fldCharType="separate"/>
      </w:r>
      <w:r>
        <w:rPr>
          <w:b/>
        </w:rPr>
        <w:t>9</w:t>
      </w:r>
      <w:r>
        <w:fldChar w:fldCharType="end"/>
      </w:r>
      <w:r>
        <w:fldChar w:fldCharType="end"/>
      </w:r>
      <w:r>
        <w:t xml:space="preserve"> 基因 GTSE1 表达水平，以及对应的 limma 差异分析显著水平。 Fig. </w:t>
      </w:r>
      <w:r>
        <w:fldChar w:fldCharType="begin"/>
      </w:r>
      <w:r>
        <w:instrText xml:space="preserve"> HYPERLINK \l "OC-GSE143152-Box-Plot-Of-DEGs-4" \h </w:instrText>
      </w:r>
      <w:r>
        <w:fldChar w:fldCharType="separate"/>
      </w:r>
      <w:r>
        <w:fldChar w:fldCharType="begin"/>
      </w:r>
      <w:r>
        <w:instrText xml:space="preserve"> REF OC-GSE143152-Box-Plot-Of-DEGs-4 \h</w:instrText>
      </w:r>
      <w:r>
        <w:fldChar w:fldCharType="separate"/>
      </w:r>
      <w:r>
        <w:rPr>
          <w:b/>
        </w:rPr>
        <w:t>10</w:t>
      </w:r>
      <w:r>
        <w:fldChar w:fldCharType="end"/>
      </w:r>
      <w:r>
        <w:fldChar w:fldCharType="end"/>
      </w:r>
      <w:r>
        <w:t xml:space="preserve"> 基因 GTSE1 表达水平，以及对应的 limma 差异分析显著水平。 Tab. </w:t>
      </w:r>
      <w:r>
        <w:fldChar w:fldCharType="begin"/>
      </w:r>
      <w:r>
        <w:instrText xml:space="preserve"> HYPERLINK \l "OC-GSE143152-Statistic-of-Focused-genes-extra" \h </w:instrText>
      </w:r>
      <w:r>
        <w:fldChar w:fldCharType="separate"/>
      </w:r>
      <w:r>
        <w:fldChar w:fldCharType="begin"/>
      </w:r>
      <w:r>
        <w:instrText xml:space="preserve"> REF OC-GSE143152-Statistic-of-Focused-genes-extra \h</w:instrText>
      </w:r>
      <w:r>
        <w:fldChar w:fldCharType="separate"/>
      </w:r>
      <w:r>
        <w:rPr>
          <w:b/>
        </w:rPr>
        <w:t>2</w:t>
      </w:r>
      <w:r>
        <w:fldChar w:fldCharType="end"/>
      </w:r>
      <w:r>
        <w:fldChar w:fldCharType="end"/>
      </w:r>
      <w:r>
        <w:t xml:space="preserve"> 为聚焦分析的基因的统计附表。 </w:t>
      </w:r>
    </w:p>
    <w:p w14:paraId="07A797E1">
      <w:pPr>
        <w:pStyle w:val="3"/>
      </w:pPr>
      <w:r>
        <w:drawing>
          <wp:inline distT="0" distB="0" distL="0" distR="0">
            <wp:extent cx="2691130" cy="4572000"/>
            <wp:effectExtent l="0" t="0" r="139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77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83AC78">
      <w:pPr>
        <w:pStyle w:val="194"/>
      </w:pPr>
      <w:r>
        <w:rPr>
          <w:b/>
        </w:rPr>
        <w:t xml:space="preserve">Fig. </w:t>
      </w:r>
      <w:bookmarkStart w:id="41" w:name="OC-GSE143152-Box-Plot-Of-DEGs-1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7</w:t>
      </w:r>
      <w:r>
        <w:rPr>
          <w:b/>
        </w:rPr>
        <w:fldChar w:fldCharType="end"/>
      </w:r>
      <w:bookmarkEnd w:id="41"/>
      <w:r>
        <w:rPr>
          <w:b/>
        </w:rPr>
        <w:t xml:space="preserve"> </w:t>
      </w:r>
      <w:r>
        <w:t>OC GSE143152 Box Plot Of DEGs 1</w:t>
      </w:r>
    </w:p>
    <w:p w14:paraId="755C787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Figure+Table/3.6.7_Limma_差异分析_(OC_GSE143152)/OC-GSE143152-Box-Plot-Of-DEGs-1.pdf)</w:t>
      </w:r>
    </w:p>
    <w:p w14:paraId="432BC758">
      <w:pPr>
        <w:pStyle w:val="3"/>
      </w:pPr>
      <w:r>
        <w:drawing>
          <wp:inline distT="0" distB="0" distL="0" distR="0">
            <wp:extent cx="3124200" cy="4572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94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6B760B">
      <w:pPr>
        <w:pStyle w:val="194"/>
      </w:pPr>
      <w:r>
        <w:rPr>
          <w:b/>
        </w:rPr>
        <w:t xml:space="preserve">Fig. </w:t>
      </w:r>
      <w:bookmarkStart w:id="42" w:name="OC-GSE143152-Box-Plot-Of-DEGs-2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8</w:t>
      </w:r>
      <w:r>
        <w:rPr>
          <w:b/>
        </w:rPr>
        <w:fldChar w:fldCharType="end"/>
      </w:r>
      <w:bookmarkEnd w:id="42"/>
      <w:r>
        <w:rPr>
          <w:b/>
        </w:rPr>
        <w:t xml:space="preserve"> </w:t>
      </w:r>
      <w:r>
        <w:t>OC GSE143152 Box Plot Of DEGs 2</w:t>
      </w:r>
    </w:p>
    <w:p w14:paraId="77180E7F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Figure+Table/3.6.7_Limma_差异分析_(OC_GSE143152)/OC-GSE143152-Box-Plot-Of-DEGs-2.pdf)</w:t>
      </w:r>
    </w:p>
    <w:p w14:paraId="0B64C1C2">
      <w:pPr>
        <w:pStyle w:val="3"/>
      </w:pPr>
      <w:r>
        <w:drawing>
          <wp:inline distT="0" distB="0" distL="0" distR="0">
            <wp:extent cx="3048000" cy="4572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33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45185F">
      <w:pPr>
        <w:pStyle w:val="194"/>
      </w:pPr>
      <w:r>
        <w:rPr>
          <w:b/>
        </w:rPr>
        <w:t xml:space="preserve">Fig. </w:t>
      </w:r>
      <w:bookmarkStart w:id="43" w:name="OC-GSE143152-Box-Plot-Of-DEGs-3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9</w:t>
      </w:r>
      <w:r>
        <w:rPr>
          <w:b/>
        </w:rPr>
        <w:fldChar w:fldCharType="end"/>
      </w:r>
      <w:bookmarkEnd w:id="43"/>
      <w:r>
        <w:rPr>
          <w:b/>
        </w:rPr>
        <w:t xml:space="preserve"> </w:t>
      </w:r>
      <w:r>
        <w:t>OC GSE143152 Box Plot Of DEGs 3</w:t>
      </w:r>
    </w:p>
    <w:p w14:paraId="6A51187A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Figure+Table/3.6.7_Limma_差异分析_(OC_GSE143152)/OC-GSE143152-Box-Plot-Of-DEGs-3.pdf)</w:t>
      </w:r>
    </w:p>
    <w:p w14:paraId="7A8B20AB">
      <w:pPr>
        <w:pStyle w:val="3"/>
      </w:pPr>
      <w:r>
        <w:drawing>
          <wp:inline distT="0" distB="0" distL="0" distR="0">
            <wp:extent cx="2861310" cy="4572000"/>
            <wp:effectExtent l="0" t="0" r="152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3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68" w:name="_GoBack"/>
      <w:bookmarkEnd w:id="68"/>
    </w:p>
    <w:p w14:paraId="03E7E864">
      <w:pPr>
        <w:pStyle w:val="194"/>
      </w:pPr>
      <w:r>
        <w:rPr>
          <w:b/>
        </w:rPr>
        <w:t xml:space="preserve">Fig. </w:t>
      </w:r>
      <w:bookmarkStart w:id="44" w:name="OC-GSE143152-Box-Plot-Of-DEGs-4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10</w:t>
      </w:r>
      <w:r>
        <w:rPr>
          <w:b/>
        </w:rPr>
        <w:fldChar w:fldCharType="end"/>
      </w:r>
      <w:bookmarkEnd w:id="44"/>
      <w:r>
        <w:rPr>
          <w:b/>
        </w:rPr>
        <w:t xml:space="preserve"> </w:t>
      </w:r>
      <w:r>
        <w:t>OC GSE143152 Box Plot Of DEGs 4</w:t>
      </w:r>
    </w:p>
    <w:p w14:paraId="1DF9233E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Figure+Table/3.6.7_Limma_差异分析_(OC_GSE143152)/OC-GSE143152-Box-Plot-Of-DEGs-4.pdf)</w:t>
      </w:r>
    </w:p>
    <w:p w14:paraId="15464807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45" w:name="OC-GSE143152-Statistic-of-Focused-genes-extra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2</w:t>
      </w:r>
      <w:r>
        <w:rPr>
          <w:b/>
        </w:rPr>
        <w:fldChar w:fldCharType="end"/>
      </w:r>
      <w:bookmarkEnd w:id="45"/>
      <w:r>
        <w:rPr>
          <w:b/>
        </w:rPr>
        <w:t xml:space="preserve">  </w:t>
      </w:r>
      <w:r>
        <w:t>OC GSE143152 Statistic of Focused genes extra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1728"/>
        <w:gridCol w:w="1728"/>
        <w:gridCol w:w="1728"/>
        <w:gridCol w:w="1728"/>
      </w:tblGrid>
      <w:tr w14:paraId="4B462BF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AF023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Hgnc symbol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03F1D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LogFC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921AA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Adj.P.Val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2D05F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P.Value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B9796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Rownames</w:t>
            </w:r>
          </w:p>
        </w:tc>
      </w:tr>
      <w:tr w14:paraId="76C6D8B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A1516C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GTSE1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C588FF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0.1212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ACEE5B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0.05954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1321D6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0.02116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4D3CC0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51512</w:t>
            </w:r>
          </w:p>
        </w:tc>
      </w:tr>
    </w:tbl>
    <w:p w14:paraId="29D0BE22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Figure+Table/3.6.7_Limma_差异分析_(OC_GSE143152)/OC-GSE143152-Statistic-of-Focused-genes-extra.xlsx)</w:t>
      </w:r>
    </w:p>
    <w:p w14:paraId="0A3E352E">
      <w:pPr>
        <w:pStyle w:val="5"/>
      </w:pPr>
      <w:bookmarkStart w:id="46" w:name="geo-数据获取-oc_gse285737"/>
      <w:r>
        <w:t>3.6.8</w:t>
      </w:r>
      <w:r>
        <w:tab/>
        <w:t>GEO 数据获取 (OC_GSE285737)</w:t>
      </w:r>
      <w:bookmarkEnd w:id="46"/>
    </w:p>
    <w:p w14:paraId="5E4C5B38">
      <w:pPr>
        <w:pStyle w:val="38"/>
      </w:pPr>
      <w:r>
        <w:t xml:space="preserve">以 </w:t>
      </w:r>
      <w:r>
        <w:rPr>
          <w:rStyle w:val="197"/>
        </w:rPr>
        <w:t>GEOquery</w:t>
      </w:r>
      <w:r>
        <w:t xml:space="preserve"> 获取 GSE285737 的数据信息。</w:t>
      </w:r>
    </w:p>
    <w:p w14:paraId="5F3912B5">
      <w:pPr>
        <w:pStyle w:val="5"/>
      </w:pPr>
      <w:bookmarkStart w:id="47" w:name="limma-差异分析-oc_gse285737"/>
      <w:r>
        <w:t>3.6.9</w:t>
      </w:r>
      <w:r>
        <w:tab/>
        <w:t>Limma 差异分析 (OC_GSE285737)</w:t>
      </w:r>
      <w:bookmarkEnd w:id="47"/>
    </w:p>
    <w:p w14:paraId="535046EE">
      <w:pPr>
        <w:pStyle w:val="38"/>
      </w:pPr>
      <w:r>
        <w:t>以 公式 ~ 0 + group 创建设计矩阵 (design matrix) 。差异分析：Carboplatin_resistant_OVCAR_3 vs OVCAR_3。(若 A vs B，则为前者比后者，LogFC 大于 0 时，A 表达量高于 B)。</w:t>
      </w:r>
    </w:p>
    <w:p w14:paraId="3B2A6F3F">
      <w:pPr>
        <w:pStyle w:val="3"/>
      </w:pPr>
      <w:r>
        <w:t xml:space="preserve">Fig. </w:t>
      </w:r>
      <w:r>
        <w:fldChar w:fldCharType="begin"/>
      </w:r>
      <w:r>
        <w:instrText xml:space="preserve"> HYPERLINK \l "OC-GSE285737-Box-Plot-Of-DEGs" \h </w:instrText>
      </w:r>
      <w:r>
        <w:fldChar w:fldCharType="separate"/>
      </w:r>
      <w:r>
        <w:fldChar w:fldCharType="begin"/>
      </w:r>
      <w:r>
        <w:instrText xml:space="preserve"> REF OC-GSE285737-Box-Plot-Of-DEGs \h</w:instrText>
      </w:r>
      <w:r>
        <w:fldChar w:fldCharType="separate"/>
      </w:r>
      <w:r>
        <w:rPr>
          <w:b/>
        </w:rPr>
        <w:t>11</w:t>
      </w:r>
      <w:r>
        <w:fldChar w:fldCharType="end"/>
      </w:r>
      <w:r>
        <w:fldChar w:fldCharType="end"/>
      </w:r>
      <w:r>
        <w:t xml:space="preserve"> 基因 GTSE1 表达水平，以及对应的 limma 差异分析显著水平。 </w:t>
      </w:r>
    </w:p>
    <w:p w14:paraId="56B847F2">
      <w:pPr>
        <w:pStyle w:val="3"/>
      </w:pPr>
      <w:r>
        <w:drawing>
          <wp:inline distT="0" distB="0" distL="0" distR="0">
            <wp:extent cx="2804795" cy="4572000"/>
            <wp:effectExtent l="0" t="0" r="146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7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0072A4">
      <w:pPr>
        <w:pStyle w:val="194"/>
      </w:pPr>
      <w:r>
        <w:rPr>
          <w:b/>
        </w:rPr>
        <w:t xml:space="preserve">Fig. </w:t>
      </w:r>
      <w:bookmarkStart w:id="48" w:name="OC-GSE285737-Box-Plot-Of-DEGs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11</w:t>
      </w:r>
      <w:r>
        <w:rPr>
          <w:b/>
        </w:rPr>
        <w:fldChar w:fldCharType="end"/>
      </w:r>
      <w:bookmarkEnd w:id="48"/>
      <w:r>
        <w:rPr>
          <w:b/>
        </w:rPr>
        <w:t xml:space="preserve"> </w:t>
      </w:r>
      <w:r>
        <w:t>OC GSE285737 Box Plot Of DEGs</w:t>
      </w:r>
    </w:p>
    <w:p w14:paraId="60C25DEB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Figure+Table/3.6.9_Limma_差异分析_(OC_GSE285737)/OC-GSE285737-Box-Plot-Of-DEGs.pdf)</w:t>
      </w:r>
    </w:p>
    <w:p w14:paraId="525CC707">
      <w:pPr>
        <w:pStyle w:val="5"/>
      </w:pPr>
      <w:bookmarkStart w:id="49" w:name="geo-数据获取-hgsoc_gse141630"/>
      <w:r>
        <w:t>3.6.10</w:t>
      </w:r>
      <w:r>
        <w:tab/>
        <w:t>GEO 数据获取 (HGSOC_GSE141630)</w:t>
      </w:r>
      <w:bookmarkEnd w:id="49"/>
    </w:p>
    <w:p w14:paraId="5A95D24E">
      <w:pPr>
        <w:pStyle w:val="38"/>
      </w:pPr>
      <w:r>
        <w:t xml:space="preserve">以 </w:t>
      </w:r>
      <w:r>
        <w:rPr>
          <w:rStyle w:val="197"/>
        </w:rPr>
        <w:t>GEOquery</w:t>
      </w:r>
      <w:r>
        <w:t xml:space="preserve"> 获取 GSE141630 的数据信息。</w:t>
      </w:r>
    </w:p>
    <w:p w14:paraId="4EBAFB72">
      <w:pPr>
        <w:pStyle w:val="5"/>
      </w:pPr>
      <w:bookmarkStart w:id="50" w:name="limma-差异分析-hgsoc_gse141630"/>
      <w:r>
        <w:t>3.6.11</w:t>
      </w:r>
      <w:r>
        <w:tab/>
        <w:t>Limma 差异分析 (HGSOC_GSE141630)</w:t>
      </w:r>
      <w:bookmarkEnd w:id="50"/>
    </w:p>
    <w:p w14:paraId="3F8F6C7E">
      <w:pPr>
        <w:pStyle w:val="38"/>
      </w:pPr>
      <w:r>
        <w:t>以 公式 ~ 0 + group 创建设计矩阵 (design matrix) 。差异分析：carboplatin_resistant vs sensitive。(若 A vs B，则为前者比后者，LogFC 大于 0 时，A 表达量高于 B)。上调或下调 DEGs 统计：up (n=1608) , down (n=1331)</w:t>
      </w:r>
    </w:p>
    <w:p w14:paraId="667D0192">
      <w:pPr>
        <w:pStyle w:val="3"/>
      </w:pPr>
      <w:r>
        <w:t xml:space="preserve">Fig. </w:t>
      </w:r>
      <w:r>
        <w:fldChar w:fldCharType="begin"/>
      </w:r>
      <w:r>
        <w:instrText xml:space="preserve"> HYPERLINK \l "HGSOC-GSE141630-Box-Plot-Of-DEGs" \h </w:instrText>
      </w:r>
      <w:r>
        <w:fldChar w:fldCharType="separate"/>
      </w:r>
      <w:r>
        <w:fldChar w:fldCharType="begin"/>
      </w:r>
      <w:r>
        <w:instrText xml:space="preserve"> REF HGSOC-GSE141630-Box-Plot-Of-DEGs \h</w:instrText>
      </w:r>
      <w:r>
        <w:fldChar w:fldCharType="separate"/>
      </w:r>
      <w:r>
        <w:rPr>
          <w:b/>
        </w:rPr>
        <w:t>12</w:t>
      </w:r>
      <w:r>
        <w:fldChar w:fldCharType="end"/>
      </w:r>
      <w:r>
        <w:fldChar w:fldCharType="end"/>
      </w:r>
      <w:r>
        <w:t xml:space="preserve"> 基因 GTSE1 表达水平，以及对应的 limma 差异分析显著水平。 </w:t>
      </w:r>
    </w:p>
    <w:p w14:paraId="74352D3C">
      <w:pPr>
        <w:pStyle w:val="3"/>
      </w:pPr>
      <w:r>
        <w:drawing>
          <wp:inline distT="0" distB="0" distL="0" distR="0">
            <wp:extent cx="3347720" cy="4572000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01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A165DB">
      <w:pPr>
        <w:pStyle w:val="194"/>
      </w:pPr>
      <w:r>
        <w:rPr>
          <w:b/>
        </w:rPr>
        <w:t xml:space="preserve">Fig. </w:t>
      </w:r>
      <w:bookmarkStart w:id="51" w:name="HGSOC-GSE141630-Box-Plot-Of-DEGs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12</w:t>
      </w:r>
      <w:r>
        <w:rPr>
          <w:b/>
        </w:rPr>
        <w:fldChar w:fldCharType="end"/>
      </w:r>
      <w:bookmarkEnd w:id="51"/>
      <w:r>
        <w:rPr>
          <w:b/>
        </w:rPr>
        <w:t xml:space="preserve"> </w:t>
      </w:r>
      <w:r>
        <w:t>HGSOC GSE141630 Box Plot Of DEGs</w:t>
      </w:r>
    </w:p>
    <w:p w14:paraId="14BA341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Figure+Table/3.6.11_Limma_差异分析_(HGSOC_GSE141630)/HGSOC-GSE141630-Box-Plot-Of-DEGs.pdf)</w:t>
      </w:r>
    </w:p>
    <w:p w14:paraId="2B13B682">
      <w:pPr>
        <w:pStyle w:val="5"/>
      </w:pPr>
      <w:bookmarkStart w:id="52" w:name="汇总"/>
      <w:r>
        <w:t>3.6.12</w:t>
      </w:r>
      <w:r>
        <w:tab/>
        <w:t>汇总</w:t>
      </w:r>
      <w:bookmarkEnd w:id="52"/>
    </w:p>
    <w:p w14:paraId="1683CDED">
      <w:pPr>
        <w:pStyle w:val="38"/>
      </w:pPr>
      <w:r>
        <w:t xml:space="preserve">Fig. </w:t>
      </w:r>
      <w:r>
        <w:fldChar w:fldCharType="begin"/>
      </w:r>
      <w:r>
        <w:instrText xml:space="preserve"> HYPERLINK \l "Multiple-Datasets-GTSE1" \h </w:instrText>
      </w:r>
      <w:r>
        <w:fldChar w:fldCharType="separate"/>
      </w:r>
      <w:r>
        <w:fldChar w:fldCharType="begin"/>
      </w:r>
      <w:r>
        <w:instrText xml:space="preserve"> REF Multiple-Datasets-GTSE1 \h</w:instrText>
      </w:r>
      <w:r>
        <w:fldChar w:fldCharType="separate"/>
      </w:r>
      <w:r>
        <w:rPr>
          <w:b/>
        </w:rPr>
        <w:t>13</w:t>
      </w:r>
      <w:r>
        <w:fldChar w:fldCharType="end"/>
      </w:r>
      <w:r>
        <w:fldChar w:fldCharType="end"/>
      </w:r>
      <w:r>
        <w:t xml:space="preserve"> Multiple Datasets GTSE1 Fig. </w:t>
      </w:r>
      <w:r>
        <w:fldChar w:fldCharType="begin"/>
      </w:r>
      <w:r>
        <w:instrText xml:space="preserve"> HYPERLINK \l "GSE143152-differential-cell-lines-GTSE1" \h </w:instrText>
      </w:r>
      <w:r>
        <w:fldChar w:fldCharType="separate"/>
      </w:r>
      <w:r>
        <w:fldChar w:fldCharType="begin"/>
      </w:r>
      <w:r>
        <w:instrText xml:space="preserve"> REF GSE143152-differential-cell-lines-GTSE1 \h</w:instrText>
      </w:r>
      <w:r>
        <w:fldChar w:fldCharType="separate"/>
      </w:r>
      <w:r>
        <w:rPr>
          <w:b/>
        </w:rPr>
        <w:t>14</w:t>
      </w:r>
      <w:r>
        <w:fldChar w:fldCharType="end"/>
      </w:r>
      <w:r>
        <w:fldChar w:fldCharType="end"/>
      </w:r>
      <w:r>
        <w:t xml:space="preserve"> GSE143152 differential cell lines GTSE1 </w:t>
      </w:r>
    </w:p>
    <w:p w14:paraId="5933C06B">
      <w:pPr>
        <w:pStyle w:val="3"/>
      </w:pPr>
      <w:r>
        <w:drawing>
          <wp:inline distT="0" distB="0" distL="0" distR="0">
            <wp:extent cx="5669280" cy="2267585"/>
            <wp:effectExtent l="0" t="0" r="7620" b="184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314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A46D7E">
      <w:pPr>
        <w:pStyle w:val="194"/>
      </w:pPr>
      <w:r>
        <w:rPr>
          <w:b/>
        </w:rPr>
        <w:t xml:space="preserve">Fig. </w:t>
      </w:r>
      <w:bookmarkStart w:id="53" w:name="Multiple-Datasets-GTSE1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13</w:t>
      </w:r>
      <w:r>
        <w:rPr>
          <w:b/>
        </w:rPr>
        <w:fldChar w:fldCharType="end"/>
      </w:r>
      <w:bookmarkEnd w:id="53"/>
      <w:r>
        <w:rPr>
          <w:b/>
        </w:rPr>
        <w:t xml:space="preserve"> </w:t>
      </w:r>
      <w:r>
        <w:t>Multiple Datasets GTSE1</w:t>
      </w:r>
    </w:p>
    <w:p w14:paraId="1E0C8FD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Figure+Table/3.6.12_汇总/Multiple-Datasets-GTSE1.pdf)</w:t>
      </w:r>
    </w:p>
    <w:p w14:paraId="4C8E2068">
      <w:pPr>
        <w:pStyle w:val="3"/>
      </w:pPr>
      <w:r>
        <w:drawing>
          <wp:inline distT="0" distB="0" distL="0" distR="0">
            <wp:extent cx="5669280" cy="2267585"/>
            <wp:effectExtent l="0" t="0" r="7620" b="184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314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E8A3E9">
      <w:pPr>
        <w:pStyle w:val="194"/>
      </w:pPr>
      <w:r>
        <w:rPr>
          <w:b/>
        </w:rPr>
        <w:t xml:space="preserve">Fig. </w:t>
      </w:r>
      <w:bookmarkStart w:id="54" w:name="GSE143152-differential-cell-lines-GTSE1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14</w:t>
      </w:r>
      <w:r>
        <w:rPr>
          <w:b/>
        </w:rPr>
        <w:fldChar w:fldCharType="end"/>
      </w:r>
      <w:bookmarkEnd w:id="54"/>
      <w:r>
        <w:rPr>
          <w:b/>
        </w:rPr>
        <w:t xml:space="preserve"> </w:t>
      </w:r>
      <w:r>
        <w:t>GSE143152 differential cell lines GTSE1</w:t>
      </w:r>
    </w:p>
    <w:p w14:paraId="4C2AFC29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Figure+Table/3.6.12_汇总/GSE143152-differential-cell-lines-GTSE1.pdf)</w:t>
      </w:r>
    </w:p>
    <w:p w14:paraId="55CF9CD6">
      <w:pPr>
        <w:pStyle w:val="4"/>
      </w:pPr>
      <w:bookmarkStart w:id="55" w:name="epifactors-表观遗传调控因子数据获取-m6a"/>
      <w:r>
        <w:t>3.7</w:t>
      </w:r>
      <w:r>
        <w:tab/>
        <w:t>EpiFactors 表观遗传调控因子数据获取 (M6A)</w:t>
      </w:r>
      <w:bookmarkEnd w:id="55"/>
    </w:p>
    <w:p w14:paraId="5C53378F">
      <w:pPr>
        <w:pStyle w:val="38"/>
      </w:pPr>
      <w:r>
        <w:t xml:space="preserve">获取 </w:t>
      </w:r>
      <w:r>
        <w:rPr>
          <w:rStyle w:val="197"/>
        </w:rPr>
        <w:t>EpiFactors</w:t>
      </w:r>
      <w:r>
        <w:t xml:space="preserve"> 中的表观遗传调控蛋白。匹配 Modification 中包含“RNA methylation”的描述，最终得到 12 例数据。</w:t>
      </w:r>
    </w:p>
    <w:p w14:paraId="5B67CCE3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56" w:name="M6A-all-protein-of-epigenetic-regulators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3</w:t>
      </w:r>
      <w:r>
        <w:rPr>
          <w:b/>
        </w:rPr>
        <w:fldChar w:fldCharType="end"/>
      </w:r>
      <w:bookmarkEnd w:id="56"/>
      <w:r>
        <w:rPr>
          <w:b/>
        </w:rPr>
        <w:t xml:space="preserve">  </w:t>
      </w:r>
      <w:r>
        <w:t>M6A all protein of epigenetic regulators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1728"/>
        <w:gridCol w:w="1728"/>
        <w:gridCol w:w="1728"/>
        <w:gridCol w:w="1728"/>
      </w:tblGrid>
      <w:tr w14:paraId="6C9D67B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DF436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57021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HGNC symbol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B7475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Status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1D3BA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HGNC 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66B4D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HGNC name</w:t>
            </w:r>
          </w:p>
        </w:tc>
      </w:tr>
      <w:tr w14:paraId="2D677B6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74F94C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96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2D9CB3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CBLL1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4B4BE7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New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DC1580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21220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7AD4F4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E3 ubiquitin-prot...</w:t>
            </w:r>
          </w:p>
        </w:tc>
      </w:tr>
      <w:tr w14:paraId="1F01F87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9F59B7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387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0313A3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METTL14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B81610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New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578AE4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29330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892420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Methyltransferase...</w:t>
            </w:r>
          </w:p>
        </w:tc>
      </w:tr>
      <w:tr w14:paraId="210CFF6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422E46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388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E6D1ED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METTL16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D62505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New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E450C7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28480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F12E79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Methyltransferase...</w:t>
            </w:r>
          </w:p>
        </w:tc>
      </w:tr>
      <w:tr w14:paraId="05C05AE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982C3F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390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FA369E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METTL3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757FE0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New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2F6ABE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17560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CEF7F3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Methyltransferase...</w:t>
            </w:r>
          </w:p>
        </w:tc>
      </w:tr>
      <w:tr w14:paraId="2BF425D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3CDA07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391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605E81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METTL4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410E0A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New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850763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24730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896925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Methyltransferase...</w:t>
            </w:r>
          </w:p>
        </w:tc>
      </w:tr>
      <w:tr w14:paraId="73A6D67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A276F5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ACDC7C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8790B7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37C412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1E16CF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2310D4C8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Figure+Table/3.7.0_EpiFactors_表观遗传调控因子数据获取_(M6A)/M6A-all-protein-of-epigenetic-regulators.xlsx)</w:t>
      </w:r>
    </w:p>
    <w:p w14:paraId="6692542E">
      <w:pPr>
        <w:pStyle w:val="4"/>
      </w:pPr>
      <w:bookmarkStart w:id="57" w:name="交集-hgsoc_degs-rna_methy-sig"/>
      <w:r>
        <w:t>3.8</w:t>
      </w:r>
      <w:r>
        <w:tab/>
        <w:t>交集: HGSOC_DEGs + RNA_Methy (SIG)</w:t>
      </w:r>
      <w:bookmarkEnd w:id="57"/>
    </w:p>
    <w:p w14:paraId="13AF2002">
      <w:pPr>
        <w:pStyle w:val="38"/>
      </w:pPr>
      <w:r>
        <w:t xml:space="preserve">Fig. </w:t>
      </w:r>
      <w:r>
        <w:fldChar w:fldCharType="begin"/>
      </w:r>
      <w:r>
        <w:instrText xml:space="preserve"> HYPERLINK \l "Intersection-of-HGSOC-DEGs-with-RNA-Methy" \h </w:instrText>
      </w:r>
      <w:r>
        <w:fldChar w:fldCharType="separate"/>
      </w:r>
      <w:r>
        <w:fldChar w:fldCharType="begin"/>
      </w:r>
      <w:r>
        <w:instrText xml:space="preserve"> REF Intersection-of-HGSOC-DEGs-with-RNA-Methy \h</w:instrText>
      </w:r>
      <w:r>
        <w:fldChar w:fldCharType="separate"/>
      </w:r>
      <w:r>
        <w:rPr>
          <w:b/>
        </w:rPr>
        <w:t>15</w:t>
      </w:r>
      <w:r>
        <w:fldChar w:fldCharType="end"/>
      </w:r>
      <w:r>
        <w:fldChar w:fldCharType="end"/>
      </w:r>
      <w:r>
        <w:t xml:space="preserve"> 以下取交集： - 基因集 (hgsoc - normal, 来自于Limma 差异分析(Section: HGSOC)) - 基因集 (CBLL1, METTL14, etc., 来自于EpiFactors 表观遗传调控因子数据获取(Section: M6A))</w:t>
      </w:r>
    </w:p>
    <w:p w14:paraId="741A5BF4">
      <w:pPr>
        <w:pStyle w:val="3"/>
      </w:pPr>
      <w:r>
        <w:drawing>
          <wp:inline distT="0" distB="0" distL="0" distR="0">
            <wp:extent cx="3069590" cy="4572000"/>
            <wp:effectExtent l="0" t="0" r="165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4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FBE48B">
      <w:pPr>
        <w:pStyle w:val="194"/>
      </w:pPr>
      <w:r>
        <w:rPr>
          <w:b/>
        </w:rPr>
        <w:t xml:space="preserve">Fig. </w:t>
      </w:r>
      <w:bookmarkStart w:id="58" w:name="Intersection-of-HGSOC-DEGs-with-RNA-Methy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15</w:t>
      </w:r>
      <w:r>
        <w:rPr>
          <w:b/>
        </w:rPr>
        <w:fldChar w:fldCharType="end"/>
      </w:r>
      <w:bookmarkEnd w:id="58"/>
      <w:r>
        <w:rPr>
          <w:b/>
        </w:rPr>
        <w:t xml:space="preserve"> </w:t>
      </w:r>
      <w:r>
        <w:t>Intersection of HGSOC DEGs with RNA Methy</w:t>
      </w:r>
    </w:p>
    <w:p w14:paraId="577597BF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Figure+Table/3.8.0_交集:_HGSOC_DEGs_+_RNA_Methy_(SIG)/Intersection-of-HGSOC-DEGs-with-RNA-Methy.pdf)</w:t>
      </w:r>
    </w:p>
    <w:p w14:paraId="3D49577D">
      <w:pPr>
        <w:pStyle w:val="186"/>
        <w:numPr>
          <w:ilvl w:val="0"/>
          <w:numId w:val="1"/>
        </w:numPr>
      </w:pPr>
      <w:r>
        <w:t>All_intersection: METTL14, METTL16</w:t>
      </w:r>
    </w:p>
    <w:p w14:paraId="6F9617C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(See: Figure+Table/3.8.0_交集:_HGSOC_DEGs_+_RNA_Methy_(SIG)/Intersection-of-HGSOC-DEGs-with-RNA-Methy-content)</w:t>
      </w:r>
    </w:p>
    <w:p w14:paraId="2ECF045E">
      <w:pPr>
        <w:pStyle w:val="4"/>
      </w:pPr>
      <w:bookmarkStart w:id="59" w:name="关联分析-hgsoc"/>
      <w:r>
        <w:t>3.9</w:t>
      </w:r>
      <w:r>
        <w:tab/>
        <w:t>关联分析 (HGSOC)</w:t>
      </w:r>
      <w:bookmarkEnd w:id="59"/>
    </w:p>
    <w:p w14:paraId="6CF31157">
      <w:pPr>
        <w:pStyle w:val="38"/>
      </w:pPr>
      <w:r>
        <w:t>将基因 (METTL14, METTL16 -&gt; GTSE1) 关联分析。</w:t>
      </w:r>
    </w:p>
    <w:p w14:paraId="3D06783F">
      <w:pPr>
        <w:pStyle w:val="3"/>
      </w:pPr>
      <w:r>
        <w:drawing>
          <wp:inline distT="0" distB="0" distL="0" distR="0">
            <wp:extent cx="5669280" cy="2696210"/>
            <wp:effectExtent l="0" t="0" r="762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374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F43D72">
      <w:pPr>
        <w:pStyle w:val="194"/>
      </w:pPr>
      <w:r>
        <w:rPr>
          <w:b/>
        </w:rPr>
        <w:t xml:space="preserve">Fig. </w:t>
      </w:r>
      <w:bookmarkStart w:id="60" w:name="Linear-regression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16</w:t>
      </w:r>
      <w:r>
        <w:rPr>
          <w:b/>
        </w:rPr>
        <w:fldChar w:fldCharType="end"/>
      </w:r>
      <w:bookmarkEnd w:id="60"/>
      <w:r>
        <w:rPr>
          <w:b/>
        </w:rPr>
        <w:t xml:space="preserve"> </w:t>
      </w:r>
      <w:r>
        <w:t>Linear regression</w:t>
      </w:r>
    </w:p>
    <w:p w14:paraId="487A764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Figure+Table/3.9.0_关联分析_(HGSOC)/Linear-regression.pdf)</w:t>
      </w:r>
    </w:p>
    <w:p w14:paraId="6F41A2DA">
      <w:pPr>
        <w:pStyle w:val="2"/>
      </w:pPr>
      <w:bookmarkStart w:id="61" w:name="conclusion"/>
      <w:r>
        <w:t>4</w:t>
      </w:r>
      <w:r>
        <w:tab/>
        <w:t>总结</w:t>
      </w:r>
      <w:bookmarkEnd w:id="61"/>
    </w:p>
    <w:p w14:paraId="61504A9E">
      <w:pPr>
        <w:pStyle w:val="38"/>
      </w:pPr>
      <w:r>
        <w:t xml:space="preserve">Fig. </w:t>
      </w:r>
      <w:r>
        <w:fldChar w:fldCharType="begin"/>
      </w:r>
      <w:r>
        <w:instrText xml:space="preserve"> HYPERLINK \l "HGSOC-Box-Plot-Of-DEGs" \h </w:instrText>
      </w:r>
      <w:r>
        <w:fldChar w:fldCharType="separate"/>
      </w:r>
      <w:r>
        <w:fldChar w:fldCharType="begin"/>
      </w:r>
      <w:r>
        <w:instrText xml:space="preserve"> REF HGSOC-Box-Plot-Of-DEGs \h</w:instrText>
      </w:r>
      <w:r>
        <w:fldChar w:fldCharType="separate"/>
      </w:r>
      <w:r>
        <w:rPr>
          <w:b/>
        </w:rPr>
        <w:t>4</w:t>
      </w:r>
      <w:r>
        <w:fldChar w:fldCharType="end"/>
      </w:r>
      <w:r>
        <w:fldChar w:fldCharType="end"/>
      </w:r>
      <w:r>
        <w:t xml:space="preserve"> ， 结果表明 GTSE1 癌症高表达， 耐药数据集相对以于癌症低表达 (多数为低表达，见 Fig. </w:t>
      </w:r>
      <w:r>
        <w:fldChar w:fldCharType="begin"/>
      </w:r>
      <w:r>
        <w:instrText xml:space="preserve"> HYPERLINK \l "Multiple-Datasets-GTSE1" \h </w:instrText>
      </w:r>
      <w:r>
        <w:fldChar w:fldCharType="separate"/>
      </w:r>
      <w:r>
        <w:fldChar w:fldCharType="begin"/>
      </w:r>
      <w:r>
        <w:instrText xml:space="preserve"> REF Multiple-Datasets-GTSE1 \h</w:instrText>
      </w:r>
      <w:r>
        <w:fldChar w:fldCharType="separate"/>
      </w:r>
      <w:r>
        <w:rPr>
          <w:b/>
        </w:rPr>
        <w:t>13</w:t>
      </w:r>
      <w:r>
        <w:fldChar w:fldCharType="end"/>
      </w:r>
      <w:r>
        <w:fldChar w:fldCharType="end"/>
      </w:r>
      <w:r>
        <w:t xml:space="preserve"> ) (Fig. </w:t>
      </w:r>
      <w:r>
        <w:fldChar w:fldCharType="begin"/>
      </w:r>
      <w:r>
        <w:instrText xml:space="preserve"> HYPERLINK \l "OC-GSE143152-Box-Plot-Of-DEGs-4" \h </w:instrText>
      </w:r>
      <w:r>
        <w:fldChar w:fldCharType="separate"/>
      </w:r>
      <w:r>
        <w:fldChar w:fldCharType="begin"/>
      </w:r>
      <w:r>
        <w:instrText xml:space="preserve"> REF OC-GSE143152-Box-Plot-Of-DEGs-4 \h</w:instrText>
      </w:r>
      <w:r>
        <w:fldChar w:fldCharType="separate"/>
      </w:r>
      <w:r>
        <w:rPr>
          <w:b/>
        </w:rPr>
        <w:t>10</w:t>
      </w:r>
      <w:r>
        <w:fldChar w:fldCharType="end"/>
      </w:r>
      <w:r>
        <w:fldChar w:fldCharType="end"/>
      </w:r>
      <w:r>
        <w:t xml:space="preserve">  为耐药高表达)。</w:t>
      </w:r>
    </w:p>
    <w:p w14:paraId="5C575DFA">
      <w:pPr>
        <w:pStyle w:val="3"/>
      </w:pPr>
      <w:r>
        <w:t xml:space="preserve">随后，筛选出的差异表达基因 METTL14，与 GTSE1 显著关联，见 Fig. </w:t>
      </w:r>
      <w:r>
        <w:fldChar w:fldCharType="begin"/>
      </w:r>
      <w:r>
        <w:instrText xml:space="preserve"> HYPERLINK \l "Linear-regression" \h </w:instrText>
      </w:r>
      <w:r>
        <w:fldChar w:fldCharType="separate"/>
      </w:r>
      <w:r>
        <w:fldChar w:fldCharType="begin"/>
      </w:r>
      <w:r>
        <w:instrText xml:space="preserve"> REF Linear-regression \h</w:instrText>
      </w:r>
      <w:r>
        <w:fldChar w:fldCharType="separate"/>
      </w:r>
      <w:r>
        <w:rPr>
          <w:b/>
        </w:rPr>
        <w:t>16</w:t>
      </w:r>
      <w:r>
        <w:fldChar w:fldCharType="end"/>
      </w:r>
      <w:r>
        <w:fldChar w:fldCharType="end"/>
      </w:r>
      <w:r>
        <w:t xml:space="preserve"> 。</w:t>
      </w:r>
    </w:p>
    <w:p w14:paraId="20FA1D66">
      <w:pPr>
        <w:pStyle w:val="2"/>
      </w:pPr>
      <w:bookmarkStart w:id="62" w:name="bibliography"/>
      <w:r>
        <w:t>Reference</w:t>
      </w:r>
      <w:bookmarkEnd w:id="62"/>
    </w:p>
    <w:p w14:paraId="4EE7A2E1">
      <w:pPr>
        <w:pStyle w:val="189"/>
      </w:pPr>
      <w:bookmarkStart w:id="63" w:name="ref-TcgabiolinksAColapr2015"/>
      <w:bookmarkStart w:id="64" w:name="refs"/>
      <w:r>
        <w:t xml:space="preserve">1. Colaprico, A. </w:t>
      </w:r>
      <w:r>
        <w:rPr>
          <w:i/>
        </w:rPr>
        <w:t>et al.</w:t>
      </w:r>
      <w:r>
        <w:t xml:space="preserve"> TCGAbiolinks: An r/bioconductor package for integrative analysis of tcga data. </w:t>
      </w:r>
      <w:r>
        <w:rPr>
          <w:i/>
        </w:rPr>
        <w:t>Nucleic Acids Research</w:t>
      </w:r>
      <w:r>
        <w:t xml:space="preserve"> </w:t>
      </w:r>
      <w:r>
        <w:rPr>
          <w:b/>
        </w:rPr>
        <w:t>44</w:t>
      </w:r>
      <w:r>
        <w:t>, (2015).</w:t>
      </w:r>
    </w:p>
    <w:bookmarkEnd w:id="63"/>
    <w:p w14:paraId="261DF212">
      <w:pPr>
        <w:pStyle w:val="189"/>
      </w:pPr>
      <w:bookmarkStart w:id="65" w:name="ref-LimmaLinearMSmyth2005"/>
      <w:r>
        <w:t xml:space="preserve">2. Smyth, G. K. Limma: Linear models for microarray data. in </w:t>
      </w:r>
      <w:r>
        <w:rPr>
          <w:i/>
        </w:rPr>
        <w:t>Bioinformatics and Computational Biology Solutions Using R and Bioconductor</w:t>
      </w:r>
      <w:r>
        <w:t xml:space="preserve"> (eds. Gentleman, R., Carey, V. J., Huber, W., Irizarry, R. A. &amp; Dudoit, S.) 397–420 (Springer-Verlag, 2005). doi:</w:t>
      </w:r>
      <w:r>
        <w:fldChar w:fldCharType="begin"/>
      </w:r>
      <w:r>
        <w:instrText xml:space="preserve"> HYPERLINK "https://doi.org/10.1007/0-387-29362-0_23" \h </w:instrText>
      </w:r>
      <w:r>
        <w:fldChar w:fldCharType="separate"/>
      </w:r>
      <w:r>
        <w:rPr>
          <w:rStyle w:val="24"/>
        </w:rPr>
        <w:t>10.1007/0-387-29362-0_23</w:t>
      </w:r>
      <w:r>
        <w:rPr>
          <w:rStyle w:val="24"/>
        </w:rPr>
        <w:fldChar w:fldCharType="end"/>
      </w:r>
      <w:r>
        <w:t>.</w:t>
      </w:r>
    </w:p>
    <w:bookmarkEnd w:id="65"/>
    <w:p w14:paraId="4977C6C5">
      <w:pPr>
        <w:pStyle w:val="189"/>
      </w:pPr>
      <w:bookmarkStart w:id="66" w:name="ref-EdgerDifferenChen"/>
      <w:r>
        <w:t>3. Chen, Y., McCarthy, D., Ritchie, M., Robinson, M. &amp; Smyth, G. EdgeR: Differential analysis of sequence read count data users guide. 119.</w:t>
      </w:r>
    </w:p>
    <w:bookmarkEnd w:id="66"/>
    <w:p w14:paraId="0BAF719A">
      <w:pPr>
        <w:pStyle w:val="189"/>
      </w:pPr>
      <w:bookmarkStart w:id="67" w:name="ref-Epifactors2022Maraku2023"/>
      <w:r>
        <w:t xml:space="preserve">4. Marakulina, D. </w:t>
      </w:r>
      <w:r>
        <w:rPr>
          <w:i/>
        </w:rPr>
        <w:t>et al.</w:t>
      </w:r>
      <w:r>
        <w:t xml:space="preserve"> EpiFactors 2022: Expansion and enhancement of a curated database of human epigenetic factors and complexes. </w:t>
      </w:r>
      <w:r>
        <w:rPr>
          <w:i/>
        </w:rPr>
        <w:t>Nucleic acids research</w:t>
      </w:r>
      <w:r>
        <w:t xml:space="preserve"> </w:t>
      </w:r>
      <w:r>
        <w:rPr>
          <w:b/>
        </w:rPr>
        <w:t>51</w:t>
      </w:r>
      <w:r>
        <w:t>, D564–D570 (2023).</w:t>
      </w:r>
    </w:p>
    <w:bookmarkEnd w:id="64"/>
    <w:bookmarkEnd w:id="67"/>
    <w:sectPr>
      <w:headerReference r:id="rId6" w:type="first"/>
      <w:headerReference r:id="rId5" w:type="default"/>
      <w:footerReference r:id="rId7" w:type="default"/>
      <w:type w:val="continuous"/>
      <w:pgSz w:w="11906" w:h="16838"/>
      <w:pgMar w:top="1440" w:right="1800" w:bottom="1440" w:left="1800" w:header="907" w:footer="907" w:gutter="0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Nimbus Roman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行楷">
    <w:altName w:val="微软雅黑"/>
    <w:panose1 w:val="02010800040101010101"/>
    <w:charset w:val="00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F8FAADD">
    <w:pPr>
      <w:widowControl w:val="0"/>
      <w:snapToGrid w:val="0"/>
      <w:spacing w:before="0" w:beforeAutospacing="0" w:after="0" w:afterAutospacing="0" w:line="240" w:lineRule="auto"/>
      <w:jc w:val="left"/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</w:pPr>
    <w:r>
      <w:rPr>
        <w:rFonts w:hint="default" w:eastAsia="宋体" w:cs="Times New Roman"/>
        <w:kern w:val="2"/>
        <w:sz w:val="16"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859155" cy="147955"/>
              <wp:effectExtent l="0" t="0" r="0" b="0"/>
              <wp:wrapNone/>
              <wp:docPr id="39" name="文本框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915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4AEE89C">
                          <w:pPr>
                            <w:widowControl w:val="0"/>
                            <w:tabs>
                              <w:tab w:val="center" w:pos="4153"/>
                              <w:tab w:val="right" w:pos="8306"/>
                            </w:tabs>
                            <w:snapToGrid w:val="0"/>
                            <w:ind w:firstLine="360"/>
                            <w:jc w:val="left"/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</w:pP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第 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begin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>1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end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 页 共 7 页</w:t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3" o:spid="_x0000_s1026" o:spt="202" type="#_x0000_t202" style="position:absolute;left:0pt;margin-top:0pt;height:11.65pt;width:67.65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BhdWGZ0gAAAAQBAAAPAAAAAAAAAAEAIAAAACIAAABkcnMv&#10;ZG93bnJldi54bWxQSwECFAAUAAAACACHTuJAZOKfsNABAACZAwAADgAAAAAAAAABACAAAAAh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 w14:paraId="74AEE89C">
                    <w:pPr>
                      <w:widowControl w:val="0"/>
                      <w:tabs>
                        <w:tab w:val="center" w:pos="4153"/>
                        <w:tab w:val="right" w:pos="8306"/>
                      </w:tabs>
                      <w:snapToGrid w:val="0"/>
                      <w:ind w:firstLine="360"/>
                      <w:jc w:val="left"/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</w:pP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第 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begin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instrText xml:space="preserve"> PAGE  \* MERGEFORMAT </w:instrTex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separate"/>
                    </w:r>
                    <w:r>
                      <w:rPr>
                        <w:rFonts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>1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end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 页 共 7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杭州铂赛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 xml:space="preserve">生物科技有限公司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 xml:space="preserve">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电话：0571-82172675</w:t>
    </w:r>
  </w:p>
  <w:p w14:paraId="7C825B77">
    <w:pPr>
      <w:widowControl w:val="0"/>
      <w:spacing w:before="0" w:beforeAutospacing="0" w:after="0" w:afterAutospacing="0" w:line="240" w:lineRule="auto"/>
      <w:jc w:val="both"/>
      <w:rPr>
        <w:rFonts w:hint="default" w:ascii="微软雅黑" w:hAnsi="微软雅黑" w:eastAsia="微软雅黑" w:cs="Times New Roman"/>
        <w:kern w:val="2"/>
        <w:sz w:val="16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lang w:eastAsia="zh-CN"/>
      </w:rPr>
      <w:t xml:space="preserve">杭州市滨江区江南大道1088号 中南国际大厦1805                             </w:t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 xml:space="preserve">    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邮箱：service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@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top</w:t>
    </w:r>
  </w:p>
  <w:p w14:paraId="3C008735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邮编：310000        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网址：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www.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top</w:t>
    </w:r>
  </w:p>
  <w:p w14:paraId="15B74FE7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</w:p>
  <w:p w14:paraId="1D162D6D">
    <w:pPr>
      <w:pStyle w:val="1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6BAB64">
    <w:pPr>
      <w:pBdr>
        <w:bottom w:val="none" w:color="auto" w:sz="0" w:space="0"/>
      </w:pBdr>
      <w:jc w:val="both"/>
    </w:pP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33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图片 19" descr="汇医助研--最终使用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1335964">
    <w:pPr>
      <w:pBdr>
        <w:bottom w:val="none" w:color="auto" w:sz="0" w:space="0"/>
      </w:pBdr>
      <w:jc w:val="both"/>
    </w:pPr>
    <w:r>
      <w:rPr>
        <w:rFonts w:eastAsia="Microsoft YaHei"/>
        <w:b/>
        <w:bCs/>
        <w:sz w:val="52"/>
        <w:szCs w:val="52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-1139190</wp:posOffset>
          </wp:positionH>
          <wp:positionV relativeFrom="paragraph">
            <wp:posOffset>3437890</wp:posOffset>
          </wp:positionV>
          <wp:extent cx="7556500" cy="6677660"/>
          <wp:effectExtent l="0" t="0" r="6350" b="5715"/>
          <wp:wrapNone/>
          <wp:docPr id="35" name="图片 4" descr="图片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图片 4" descr="图片1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6500" cy="6677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37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图片 19" descr="汇医助研--最终使用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  <w:p w14:paraId="0384F5B3">
    <w:pPr>
      <w:pStyle w:val="2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454B4C"/>
    <w:multiLevelType w:val="multilevel"/>
    <w:tmpl w:val="EA454B4C"/>
    <w:lvl w:ilvl="0" w:tentative="0">
      <w:start w:val="0"/>
      <w:numFmt w:val="bullet"/>
      <w:lvlText w:val="•"/>
      <w:lvlJc w:val="left"/>
      <w:pPr>
        <w:tabs>
          <w:tab w:val="left" w:pos="0"/>
        </w:tabs>
        <w:ind w:left="480" w:hanging="480"/>
      </w:pPr>
    </w:lvl>
    <w:lvl w:ilvl="1" w:tentative="0">
      <w:start w:val="0"/>
      <w:numFmt w:val="bullet"/>
      <w:lvlText w:val="–"/>
      <w:lvlJc w:val="left"/>
      <w:pPr>
        <w:tabs>
          <w:tab w:val="left" w:pos="720"/>
        </w:tabs>
        <w:ind w:left="1200" w:hanging="480"/>
      </w:pPr>
    </w:lvl>
    <w:lvl w:ilvl="2" w:tentative="0">
      <w:start w:val="0"/>
      <w:numFmt w:val="bullet"/>
      <w:lvlText w:val="•"/>
      <w:lvlJc w:val="left"/>
      <w:pPr>
        <w:tabs>
          <w:tab w:val="left" w:pos="1440"/>
        </w:tabs>
        <w:ind w:left="1920" w:hanging="480"/>
      </w:pPr>
    </w:lvl>
    <w:lvl w:ilvl="3" w:tentative="0">
      <w:start w:val="0"/>
      <w:numFmt w:val="bullet"/>
      <w:lvlText w:val="–"/>
      <w:lvlJc w:val="left"/>
      <w:pPr>
        <w:tabs>
          <w:tab w:val="left" w:pos="2160"/>
        </w:tabs>
        <w:ind w:left="2640" w:hanging="480"/>
      </w:pPr>
    </w:lvl>
    <w:lvl w:ilvl="4" w:tentative="0">
      <w:start w:val="0"/>
      <w:numFmt w:val="bullet"/>
      <w:lvlText w:val="•"/>
      <w:lvlJc w:val="left"/>
      <w:pPr>
        <w:tabs>
          <w:tab w:val="left" w:pos="2880"/>
        </w:tabs>
        <w:ind w:left="3360" w:hanging="480"/>
      </w:pPr>
    </w:lvl>
    <w:lvl w:ilvl="5" w:tentative="0">
      <w:start w:val="0"/>
      <w:numFmt w:val="bullet"/>
      <w:lvlText w:val="–"/>
      <w:lvlJc w:val="left"/>
      <w:pPr>
        <w:tabs>
          <w:tab w:val="left" w:pos="3600"/>
        </w:tabs>
        <w:ind w:left="4080" w:hanging="480"/>
      </w:pPr>
    </w:lvl>
    <w:lvl w:ilvl="6" w:tentative="0">
      <w:start w:val="0"/>
      <w:numFmt w:val="bullet"/>
      <w:lvlText w:val="•"/>
      <w:lvlJc w:val="left"/>
      <w:pPr>
        <w:tabs>
          <w:tab w:val="left" w:pos="4320"/>
        </w:tabs>
        <w:ind w:left="4800" w:hanging="480"/>
      </w:pPr>
    </w:lvl>
    <w:lvl w:ilvl="7" w:tentative="0">
      <w:start w:val="0"/>
      <w:numFmt w:val="bullet"/>
      <w:lvlText w:val="–"/>
      <w:lvlJc w:val="left"/>
      <w:pPr>
        <w:tabs>
          <w:tab w:val="left" w:pos="5040"/>
        </w:tabs>
        <w:ind w:left="5520" w:hanging="480"/>
      </w:pPr>
    </w:lvl>
    <w:lvl w:ilvl="8" w:tentative="0">
      <w:start w:val="0"/>
      <w:numFmt w:val="bullet"/>
      <w:lvlText w:val="•"/>
      <w:lvlJc w:val="left"/>
      <w:pPr>
        <w:tabs>
          <w:tab w:val="left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7"/>
  <w:documentProtection w:enforcement="0"/>
  <w:defaultTabStop w:val="720"/>
  <w:hyphenationZone w:val="36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3BFF594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qFormat="1" w:uiPriority="9" w:semiHidden="0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qFormat="1" w:unhideWhenUsed="0" w:uiPriority="0" w:semiHidden="0" w:name="footnote reference"/>
    <w:lsdException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0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qFormat="1"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iPriority="9" w:semiHidden="0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0" w:beforeAutospacing="0" w:after="200" w:afterAutospacing="0" w:line="360" w:lineRule="auto"/>
    </w:pPr>
    <w:rPr>
      <w:rFonts w:hint="default" w:ascii="Times New Roman" w:hAnsi="Times New Roman" w:eastAsia="SimSun" w:cstheme="minorBidi"/>
      <w:sz w:val="21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tabs>
        <w:tab w:val="left" w:pos="0"/>
      </w:tabs>
      <w:spacing w:before="480" w:after="0" w:line="360" w:lineRule="auto"/>
      <w:outlineLvl w:val="0"/>
    </w:pPr>
    <w:rPr>
      <w:rFonts w:ascii="Times New Roman" w:hAnsi="Times New Roman" w:eastAsia="SimHei" w:cs="Nimbus Roman"/>
      <w:b/>
      <w:bCs/>
      <w:color w:val="000000" w:themeColor="text1"/>
      <w:sz w:val="28"/>
      <w:szCs w:val="24"/>
      <w14:textFill>
        <w14:solidFill>
          <w14:schemeClr w14:val="tx1"/>
        </w14:solidFill>
      </w14:textFill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 w:line="360" w:lineRule="auto"/>
      <w:outlineLvl w:val="1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2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3"/>
    </w:pPr>
    <w:rPr>
      <w:rFonts w:ascii="Times New Roman" w:hAnsi="Times New Roman" w:eastAsia="SimSun" w:cs="Nimbus Roman"/>
      <w:bCs/>
      <w:i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4"/>
    </w:pPr>
    <w:rPr>
      <w:rFonts w:ascii="Times New Roman" w:hAnsi="Times New Roman" w:eastAsia="SimSun" w:cs="Nimbus Roman"/>
      <w:i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5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6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7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8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default="1" w:styleId="12">
    <w:name w:val="Default Paragraph Font"/>
    <w:semiHidden/>
    <w:unhideWhenUsed/>
    <w:qFormat/>
    <w:uiPriority w:val="0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 w:line="360" w:lineRule="auto"/>
    </w:pPr>
    <w:rPr>
      <w:rFonts w:ascii="Times New Roman" w:hAnsi="Times New Roman" w:eastAsia="SimSun" w:cs="Nimbus Roman"/>
      <w:sz w:val="21"/>
    </w:rPr>
  </w:style>
  <w:style w:type="paragraph" w:styleId="14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  <w:rPr>
      <w:rFonts w:ascii="Times New Roman" w:hAnsi="Times New Roman"/>
      <w:sz w:val="21"/>
    </w:rPr>
  </w:style>
  <w:style w:type="paragraph" w:styleId="15">
    <w:name w:val="caption"/>
    <w:basedOn w:val="1"/>
    <w:next w:val="1"/>
    <w:qFormat/>
    <w:uiPriority w:val="0"/>
    <w:pPr>
      <w:spacing w:before="200" w:after="60" w:line="250" w:lineRule="auto"/>
      <w:jc w:val="center"/>
    </w:pPr>
    <w:rPr>
      <w:sz w:val="21"/>
    </w:rPr>
  </w:style>
  <w:style w:type="paragraph" w:styleId="16">
    <w:name w:val="Date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styleId="17">
    <w:name w:val="endnote reference"/>
    <w:basedOn w:val="12"/>
    <w:semiHidden/>
    <w:unhideWhenUsed/>
    <w:qFormat/>
    <w:uiPriority w:val="99"/>
    <w:rPr>
      <w:sz w:val="24"/>
      <w:vertAlign w:val="superscript"/>
    </w:rPr>
  </w:style>
  <w:style w:type="paragraph" w:styleId="18">
    <w:name w:val="endnote text"/>
    <w:basedOn w:val="1"/>
    <w:link w:val="185"/>
    <w:semiHidden/>
    <w:unhideWhenUsed/>
    <w:qFormat/>
    <w:uiPriority w:val="99"/>
    <w:pPr>
      <w:spacing w:after="0" w:line="240" w:lineRule="auto"/>
    </w:pPr>
    <w:rPr>
      <w:sz w:val="21"/>
    </w:rPr>
  </w:style>
  <w:style w:type="paragraph" w:styleId="19">
    <w:name w:val="footer"/>
    <w:basedOn w:val="1"/>
    <w:link w:val="58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  <w:rPr>
      <w:sz w:val="21"/>
    </w:rPr>
  </w:style>
  <w:style w:type="character" w:styleId="20">
    <w:name w:val="footnote reference"/>
    <w:basedOn w:val="21"/>
    <w:qFormat/>
    <w:uiPriority w:val="0"/>
    <w:rPr>
      <w:sz w:val="21"/>
      <w:vertAlign w:val="superscript"/>
    </w:rPr>
  </w:style>
  <w:style w:type="character" w:customStyle="1" w:styleId="21">
    <w:name w:val="Body Text Char"/>
    <w:link w:val="3"/>
    <w:qFormat/>
    <w:uiPriority w:val="0"/>
    <w:rPr>
      <w:rFonts w:ascii="Times New Roman" w:hAnsi="Times New Roman" w:eastAsia="SimSun" w:cs="Nimbus Roman"/>
      <w:sz w:val="21"/>
    </w:rPr>
  </w:style>
  <w:style w:type="paragraph" w:styleId="22">
    <w:name w:val="footnote text"/>
    <w:basedOn w:val="1"/>
    <w:unhideWhenUsed/>
    <w:qFormat/>
    <w:uiPriority w:val="9"/>
  </w:style>
  <w:style w:type="paragraph" w:styleId="23">
    <w:name w:val="header"/>
    <w:basedOn w:val="1"/>
    <w:link w:val="56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</w:style>
  <w:style w:type="character" w:styleId="24">
    <w:name w:val="Hyperlink"/>
    <w:basedOn w:val="21"/>
    <w:qFormat/>
    <w:uiPriority w:val="0"/>
    <w:rPr>
      <w:rFonts w:eastAsia="SimSun"/>
      <w:color w:val="4F81BD" w:themeColor="accent1"/>
      <w:sz w:val="24"/>
      <w14:textFill>
        <w14:solidFill>
          <w14:schemeClr w14:val="accent1"/>
        </w14:solidFill>
      </w14:textFill>
    </w:rPr>
  </w:style>
  <w:style w:type="paragraph" w:styleId="25">
    <w:name w:val="Subtitle"/>
    <w:basedOn w:val="26"/>
    <w:next w:val="3"/>
    <w:qFormat/>
    <w:uiPriority w:val="0"/>
    <w:pPr>
      <w:keepNext/>
      <w:keepLines/>
      <w:spacing w:before="240" w:after="240"/>
      <w:jc w:val="center"/>
    </w:pPr>
    <w:rPr>
      <w:sz w:val="24"/>
      <w:szCs w:val="30"/>
    </w:rPr>
  </w:style>
  <w:style w:type="paragraph" w:styleId="2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="Times New Roman" w:hAnsi="Times New Roman" w:eastAsia="SimSun" w:cstheme="majorBidi"/>
      <w:b/>
      <w:bCs/>
      <w:color w:val="000000" w:themeColor="text1"/>
      <w:sz w:val="24"/>
      <w:szCs w:val="36"/>
      <w14:textFill>
        <w14:solidFill>
          <w14:schemeClr w14:val="tx1"/>
        </w14:solidFill>
      </w14:textFill>
    </w:rPr>
  </w:style>
  <w:style w:type="table" w:styleId="27">
    <w:name w:val="Table Grid"/>
    <w:basedOn w:val="13"/>
    <w:qFormat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8">
    <w:name w:val="table of figures"/>
    <w:basedOn w:val="1"/>
    <w:next w:val="1"/>
    <w:unhideWhenUsed/>
    <w:qFormat/>
    <w:uiPriority w:val="99"/>
    <w:pPr>
      <w:spacing w:after="0" w:afterAutospacing="0"/>
    </w:pPr>
  </w:style>
  <w:style w:type="paragraph" w:styleId="29">
    <w:name w:val="toc 1"/>
    <w:basedOn w:val="1"/>
    <w:next w:val="1"/>
    <w:unhideWhenUsed/>
    <w:qFormat/>
    <w:uiPriority w:val="39"/>
    <w:pPr>
      <w:spacing w:after="57"/>
      <w:ind w:left="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0">
    <w:name w:val="toc 2"/>
    <w:basedOn w:val="1"/>
    <w:next w:val="1"/>
    <w:unhideWhenUsed/>
    <w:qFormat/>
    <w:uiPriority w:val="39"/>
    <w:pPr>
      <w:spacing w:after="57"/>
      <w:ind w:left="283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1">
    <w:name w:val="toc 3"/>
    <w:basedOn w:val="1"/>
    <w:next w:val="1"/>
    <w:unhideWhenUsed/>
    <w:qFormat/>
    <w:uiPriority w:val="39"/>
    <w:pPr>
      <w:spacing w:after="57"/>
      <w:ind w:left="56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2">
    <w:name w:val="toc 4"/>
    <w:basedOn w:val="1"/>
    <w:next w:val="1"/>
    <w:unhideWhenUsed/>
    <w:qFormat/>
    <w:uiPriority w:val="39"/>
    <w:pPr>
      <w:spacing w:after="57"/>
      <w:ind w:left="85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3">
    <w:name w:val="toc 5"/>
    <w:basedOn w:val="1"/>
    <w:next w:val="1"/>
    <w:unhideWhenUsed/>
    <w:qFormat/>
    <w:uiPriority w:val="39"/>
    <w:pPr>
      <w:spacing w:after="57"/>
      <w:ind w:left="113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4">
    <w:name w:val="toc 6"/>
    <w:basedOn w:val="1"/>
    <w:next w:val="1"/>
    <w:unhideWhenUsed/>
    <w:qFormat/>
    <w:uiPriority w:val="39"/>
    <w:pPr>
      <w:spacing w:after="57"/>
      <w:ind w:left="141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5">
    <w:name w:val="toc 7"/>
    <w:basedOn w:val="1"/>
    <w:next w:val="1"/>
    <w:unhideWhenUsed/>
    <w:qFormat/>
    <w:uiPriority w:val="39"/>
    <w:pPr>
      <w:spacing w:after="57"/>
      <w:ind w:left="1701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6">
    <w:name w:val="toc 8"/>
    <w:basedOn w:val="1"/>
    <w:next w:val="1"/>
    <w:unhideWhenUsed/>
    <w:qFormat/>
    <w:uiPriority w:val="39"/>
    <w:pPr>
      <w:spacing w:after="57"/>
      <w:ind w:left="198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7">
    <w:name w:val="toc 9"/>
    <w:basedOn w:val="1"/>
    <w:next w:val="1"/>
    <w:unhideWhenUsed/>
    <w:qFormat/>
    <w:uiPriority w:val="39"/>
    <w:pPr>
      <w:spacing w:after="57"/>
      <w:ind w:left="2268" w:right="0" w:firstLine="0"/>
    </w:pPr>
    <w:rPr>
      <w:rFonts w:ascii="Times New Roman" w:hAnsi="Times New Roman" w:eastAsia="SimSun" w:cs="Nimbus Roman"/>
      <w:sz w:val="24"/>
      <w:szCs w:val="24"/>
    </w:rPr>
  </w:style>
  <w:style w:type="paragraph" w:customStyle="1" w:styleId="38">
    <w:name w:val="First Paragraph"/>
    <w:basedOn w:val="3"/>
    <w:next w:val="3"/>
    <w:qFormat/>
    <w:uiPriority w:val="0"/>
    <w:pPr>
      <w:spacing w:line="360" w:lineRule="auto"/>
    </w:pPr>
  </w:style>
  <w:style w:type="character" w:customStyle="1" w:styleId="39">
    <w:name w:val="Heading 1 Char"/>
    <w:basedOn w:val="12"/>
    <w:qFormat/>
    <w:uiPriority w:val="9"/>
    <w:rPr>
      <w:rFonts w:ascii="Arial" w:hAnsi="Arial" w:eastAsia="SimSun" w:cs="Arial"/>
      <w:sz w:val="21"/>
      <w:szCs w:val="40"/>
    </w:rPr>
  </w:style>
  <w:style w:type="character" w:customStyle="1" w:styleId="40">
    <w:name w:val="Heading 2 Char"/>
    <w:basedOn w:val="12"/>
    <w:qFormat/>
    <w:uiPriority w:val="9"/>
    <w:rPr>
      <w:rFonts w:ascii="Arial" w:hAnsi="Arial" w:eastAsia="SimSun" w:cs="Arial"/>
      <w:sz w:val="21"/>
    </w:rPr>
  </w:style>
  <w:style w:type="character" w:customStyle="1" w:styleId="41">
    <w:name w:val="Heading 3 Char"/>
    <w:basedOn w:val="12"/>
    <w:qFormat/>
    <w:uiPriority w:val="9"/>
    <w:rPr>
      <w:rFonts w:ascii="Arial" w:hAnsi="Arial" w:eastAsia="SimSun" w:cs="Arial"/>
      <w:sz w:val="21"/>
      <w:szCs w:val="30"/>
    </w:rPr>
  </w:style>
  <w:style w:type="character" w:customStyle="1" w:styleId="42">
    <w:name w:val="Heading 4 Char"/>
    <w:basedOn w:val="12"/>
    <w:qFormat/>
    <w:uiPriority w:val="9"/>
    <w:rPr>
      <w:rFonts w:ascii="Arial" w:hAnsi="Arial" w:eastAsia="SimSun" w:cs="Arial"/>
      <w:b/>
      <w:bCs/>
      <w:sz w:val="21"/>
      <w:szCs w:val="26"/>
    </w:rPr>
  </w:style>
  <w:style w:type="character" w:customStyle="1" w:styleId="43">
    <w:name w:val="Heading 5 Char"/>
    <w:basedOn w:val="12"/>
    <w:qFormat/>
    <w:uiPriority w:val="9"/>
    <w:rPr>
      <w:rFonts w:ascii="Arial" w:hAnsi="Arial" w:eastAsia="SimSun" w:cs="Arial"/>
      <w:b/>
      <w:bCs/>
      <w:sz w:val="21"/>
      <w:szCs w:val="24"/>
    </w:rPr>
  </w:style>
  <w:style w:type="character" w:customStyle="1" w:styleId="44">
    <w:name w:val="Heading 6 Char"/>
    <w:basedOn w:val="12"/>
    <w:qFormat/>
    <w:uiPriority w:val="9"/>
    <w:rPr>
      <w:rFonts w:ascii="Arial" w:hAnsi="Arial" w:eastAsia="SimSun" w:cs="Arial"/>
      <w:b/>
      <w:bCs/>
      <w:sz w:val="21"/>
      <w:szCs w:val="22"/>
    </w:rPr>
  </w:style>
  <w:style w:type="character" w:customStyle="1" w:styleId="45">
    <w:name w:val="Heading 7 Char"/>
    <w:basedOn w:val="12"/>
    <w:qFormat/>
    <w:uiPriority w:val="9"/>
    <w:rPr>
      <w:rFonts w:ascii="Arial" w:hAnsi="Arial" w:eastAsia="SimSun" w:cs="Arial"/>
      <w:b/>
      <w:bCs/>
      <w:i/>
      <w:iCs/>
      <w:sz w:val="21"/>
      <w:szCs w:val="22"/>
    </w:rPr>
  </w:style>
  <w:style w:type="character" w:customStyle="1" w:styleId="46">
    <w:name w:val="Heading 8 Char"/>
    <w:basedOn w:val="12"/>
    <w:qFormat/>
    <w:uiPriority w:val="9"/>
    <w:rPr>
      <w:rFonts w:ascii="Arial" w:hAnsi="Arial" w:eastAsia="SimSun" w:cs="Arial"/>
      <w:i/>
      <w:iCs/>
      <w:sz w:val="21"/>
      <w:szCs w:val="22"/>
    </w:rPr>
  </w:style>
  <w:style w:type="character" w:customStyle="1" w:styleId="47">
    <w:name w:val="Heading 9 Char"/>
    <w:basedOn w:val="12"/>
    <w:qFormat/>
    <w:uiPriority w:val="9"/>
    <w:rPr>
      <w:rFonts w:ascii="Arial" w:hAnsi="Arial" w:eastAsia="SimSun" w:cs="Arial"/>
      <w:i/>
      <w:iCs/>
      <w:sz w:val="21"/>
      <w:szCs w:val="21"/>
    </w:rPr>
  </w:style>
  <w:style w:type="paragraph" w:styleId="48">
    <w:name w:val="List Paragraph"/>
    <w:basedOn w:val="1"/>
    <w:qFormat/>
    <w:uiPriority w:val="34"/>
    <w:pPr>
      <w:ind w:left="720"/>
      <w:contextualSpacing/>
    </w:pPr>
  </w:style>
  <w:style w:type="paragraph" w:styleId="49">
    <w:name w:val="No Spacing"/>
    <w:qFormat/>
    <w:uiPriority w:val="1"/>
    <w:pPr>
      <w:spacing w:before="0" w:beforeAutospacing="0" w:after="0" w:afterAutospacing="0" w:line="240" w:lineRule="auto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customStyle="1" w:styleId="50">
    <w:name w:val="Title Char"/>
    <w:basedOn w:val="12"/>
    <w:qFormat/>
    <w:uiPriority w:val="10"/>
    <w:rPr>
      <w:sz w:val="21"/>
      <w:szCs w:val="48"/>
    </w:rPr>
  </w:style>
  <w:style w:type="character" w:customStyle="1" w:styleId="51">
    <w:name w:val="Subtitle Char"/>
    <w:basedOn w:val="12"/>
    <w:qFormat/>
    <w:uiPriority w:val="11"/>
    <w:rPr>
      <w:sz w:val="21"/>
      <w:szCs w:val="24"/>
    </w:rPr>
  </w:style>
  <w:style w:type="paragraph" w:styleId="52">
    <w:name w:val="Quote"/>
    <w:basedOn w:val="1"/>
    <w:next w:val="1"/>
    <w:link w:val="53"/>
    <w:qFormat/>
    <w:uiPriority w:val="29"/>
    <w:pPr>
      <w:ind w:left="720" w:right="720"/>
    </w:pPr>
    <w:rPr>
      <w:i/>
      <w:sz w:val="24"/>
    </w:rPr>
  </w:style>
  <w:style w:type="character" w:customStyle="1" w:styleId="53">
    <w:name w:val="Quote Char"/>
    <w:link w:val="52"/>
    <w:qFormat/>
    <w:uiPriority w:val="29"/>
    <w:rPr>
      <w:i/>
      <w:sz w:val="21"/>
    </w:rPr>
  </w:style>
  <w:style w:type="paragraph" w:styleId="54">
    <w:name w:val="Intense Quote"/>
    <w:basedOn w:val="1"/>
    <w:next w:val="1"/>
    <w:link w:val="55"/>
    <w:qFormat/>
    <w:uiPriority w:val="30"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ind w:left="720" w:right="720"/>
      <w:contextualSpacing w:val="0"/>
    </w:pPr>
    <w:rPr>
      <w:i/>
      <w:sz w:val="24"/>
    </w:rPr>
  </w:style>
  <w:style w:type="character" w:customStyle="1" w:styleId="55">
    <w:name w:val="Intense Quote Char"/>
    <w:link w:val="54"/>
    <w:qFormat/>
    <w:uiPriority w:val="30"/>
    <w:rPr>
      <w:i/>
      <w:sz w:val="21"/>
    </w:rPr>
  </w:style>
  <w:style w:type="character" w:customStyle="1" w:styleId="56">
    <w:name w:val="Header Char"/>
    <w:basedOn w:val="12"/>
    <w:link w:val="23"/>
    <w:qFormat/>
    <w:uiPriority w:val="99"/>
  </w:style>
  <w:style w:type="character" w:customStyle="1" w:styleId="57">
    <w:name w:val="Footer Char"/>
    <w:basedOn w:val="12"/>
    <w:link w:val="19"/>
    <w:qFormat/>
    <w:uiPriority w:val="99"/>
  </w:style>
  <w:style w:type="character" w:customStyle="1" w:styleId="58">
    <w:name w:val="Caption Char"/>
    <w:link w:val="19"/>
    <w:qFormat/>
    <w:uiPriority w:val="99"/>
  </w:style>
  <w:style w:type="table" w:customStyle="1" w:styleId="59">
    <w:name w:val="Table Grid Light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0">
    <w:name w:val="Plain Table 1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shd w:val="clear" w:color="F1F1F1" w:themeColor="text1" w:themeTint="0D" w:fill="auto"/>
      </w:tcPr>
    </w:tblStylePr>
    <w:tblStylePr w:type="band1Horz">
      <w:tcPr>
        <w:shd w:val="clear" w:color="F1F1F1" w:themeColor="text1" w:themeTint="0D" w:fill="auto"/>
      </w:tcPr>
    </w:tblStylePr>
  </w:style>
  <w:style w:type="table" w:customStyle="1" w:styleId="61">
    <w:name w:val="Plain Table 2"/>
    <w:basedOn w:val="13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62">
    <w:name w:val="Plain Table 3"/>
    <w:basedOn w:val="13"/>
    <w:qFormat/>
    <w:uiPriority w:val="99"/>
    <w:pPr>
      <w:spacing w:after="0" w:line="240" w:lineRule="auto"/>
    </w:pPr>
    <w:tblStylePr w:type="firstRow">
      <w:rPr>
        <w:b/>
        <w:caps/>
        <w:color w:val="404040"/>
      </w:rPr>
      <w:tcPr>
        <w:tcBorders>
          <w:top w:val="nil"/>
          <w:left w:val="nil"/>
          <w:bottom w:val="single" w:color="404040" w:sz="4" w:space="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cPr>
        <w:tcBorders>
          <w:top w:val="nil"/>
          <w:left w:val="nil"/>
          <w:bottom w:val="nil"/>
          <w:right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3">
    <w:name w:val="Plain Table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4">
    <w:name w:val="Plain Table 5"/>
    <w:basedOn w:val="13"/>
    <w:qFormat/>
    <w:uiPriority w:val="99"/>
    <w:pPr>
      <w:spacing w:after="0" w:line="240" w:lineRule="auto"/>
    </w:pPr>
    <w:tblStylePr w:type="firstRow">
      <w:rPr>
        <w:i/>
        <w:color w:val="404040"/>
      </w:rPr>
      <w:tcPr>
        <w:tcBorders>
          <w:left w:val="nil"/>
          <w:bottom w:val="single" w:color="404040" w:sz="4" w:space="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cPr>
        <w:tcBorders>
          <w:top w:val="single" w:color="404040" w:sz="4" w:space="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right w:val="single" w:color="404040" w:sz="4" w:space="0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left w:val="single" w:color="404040" w:sz="4" w:space="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5">
    <w:name w:val="Grid Table 1 Light"/>
    <w:basedOn w:val="13"/>
    <w:qFormat/>
    <w:uiPriority w:val="99"/>
    <w:pPr>
      <w:spacing w:after="0" w:line="240" w:lineRule="auto"/>
    </w:pPr>
    <w:tblPr>
      <w:tblBorders>
        <w:top w:val="single" w:color="979797" w:themeColor="text1" w:themeTint="67" w:sz="4" w:space="0"/>
        <w:left w:val="single" w:color="979797" w:themeColor="text1" w:themeTint="67" w:sz="4" w:space="0"/>
        <w:bottom w:val="single" w:color="979797" w:themeColor="text1" w:themeTint="67" w:sz="4" w:space="0"/>
        <w:right w:val="single" w:color="979797" w:themeColor="text1" w:themeTint="67" w:sz="4" w:space="0"/>
        <w:insideH w:val="single" w:color="979797" w:themeColor="text1" w:themeTint="67" w:sz="4" w:space="0"/>
        <w:insideV w:val="single" w:color="979797" w:themeColor="text1" w:themeTint="67" w:sz="4" w:space="0"/>
      </w:tblBorders>
    </w:tblPr>
    <w:tblStylePr w:type="firstRow">
      <w:rPr>
        <w:b/>
        <w:color w:val="404040"/>
      </w:rPr>
      <w:tcPr>
        <w:tcBorders>
          <w:bottom w:val="single" w:color="696969" w:themeColor="tex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79797" w:themeColor="text1" w:themeTint="67" w:sz="4" w:space="0"/>
          <w:left w:val="single" w:color="979797" w:themeColor="text1" w:themeTint="67" w:sz="4" w:space="0"/>
          <w:bottom w:val="single" w:color="979797" w:themeColor="text1" w:themeTint="67" w:sz="4" w:space="0"/>
          <w:right w:val="single" w:color="979797" w:themeColor="text1" w:themeTint="67" w:sz="4" w:space="0"/>
        </w:tcBorders>
      </w:tcPr>
    </w:tblStylePr>
  </w:style>
  <w:style w:type="table" w:customStyle="1" w:styleId="66">
    <w:name w:val="Grid Table 1 Light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b/>
        <w:color w:val="404040"/>
      </w:rPr>
      <w:tcPr>
        <w:tcBorders>
          <w:bottom w:val="single" w:color="98B5D8" w:themeColor="accen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67">
    <w:name w:val="Grid Table 1 Light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68">
    <w:name w:val="Grid Table 1 Light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b/>
        <w:color w:val="404040"/>
      </w:rPr>
      <w:tcPr>
        <w:tcBorders>
          <w:bottom w:val="single" w:color="C4D79E" w:themeColor="accent3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69">
    <w:name w:val="Grid Table 1 Light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70">
    <w:name w:val="Grid Table 1 Light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71">
    <w:name w:val="Grid Table 1 Light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table" w:customStyle="1" w:styleId="72">
    <w:name w:val="Grid Table 2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696969" w:themeColor="text1" w:themeTint="9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696969" w:themeColor="text1" w:themeTint="9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73">
    <w:name w:val="Grid Table 2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5D8BC2" w:themeColor="accent1" w:themeTint="E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74">
    <w:name w:val="Grid Table 2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D99795" w:themeColor="accent2" w:themeTint="97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75">
    <w:name w:val="Grid Table 2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themeTint="FE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76">
    <w:name w:val="Grid Table 2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B2A1C6" w:themeColor="accent4" w:themeTint="9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77">
    <w:name w:val="Grid Table 2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78">
    <w:name w:val="Grid Table 2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79">
    <w:name w:val="Grid Table 3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0">
    <w:name w:val="Grid Table 3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81">
    <w:name w:val="Grid Table 3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2">
    <w:name w:val="Grid Table 3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83">
    <w:name w:val="Grid Table 3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84">
    <w:name w:val="Grid Table 3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85">
    <w:name w:val="Grid Table 3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86">
    <w:name w:val="Grid Table 4"/>
    <w:basedOn w:val="13"/>
    <w:qFormat/>
    <w:uiPriority w:val="59"/>
    <w:pPr>
      <w:spacing w:after="0" w:line="240" w:lineRule="auto"/>
    </w:pPr>
    <w:tblPr>
      <w:tblBorders>
        <w:top w:val="single" w:color="6E6E6E" w:themeColor="text1" w:themeTint="90" w:sz="4" w:space="0"/>
        <w:left w:val="single" w:color="6E6E6E" w:themeColor="text1" w:themeTint="90" w:sz="4" w:space="0"/>
        <w:bottom w:val="single" w:color="6E6E6E" w:themeColor="text1" w:themeTint="90" w:sz="4" w:space="0"/>
        <w:right w:val="single" w:color="6E6E6E" w:themeColor="text1" w:themeTint="90" w:sz="4" w:space="0"/>
        <w:insideH w:val="single" w:color="6E6E6E" w:themeColor="text1" w:themeTint="90" w:sz="4" w:space="0"/>
        <w:insideV w:val="single" w:color="6E6E6E" w:themeColor="tex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000000" w:themeColor="text1" w:fill="auto"/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7">
    <w:name w:val="Grid Table 4 - Accent 1"/>
    <w:basedOn w:val="13"/>
    <w:qFormat/>
    <w:uiPriority w:val="5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5D8BC2" w:themeColor="accent1" w:themeTint="EA" w:sz="4" w:space="0"/>
          <w:left w:val="single" w:color="5D8BC2" w:themeColor="accent1" w:themeTint="EA" w:sz="4" w:space="0"/>
          <w:bottom w:val="single" w:color="5D8BC2" w:themeColor="accent1" w:themeTint="EA" w:sz="4" w:space="0"/>
          <w:right w:val="single" w:color="5D8BC2" w:themeColor="accent1" w:themeTint="EA" w:sz="4" w:space="0"/>
        </w:tcBorders>
        <w:shd w:val="clear" w:color="5D8BC2" w:themeColor="accent1" w:themeTint="EA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</w:style>
  <w:style w:type="table" w:customStyle="1" w:styleId="88">
    <w:name w:val="Grid Table 4 - Accent 2"/>
    <w:basedOn w:val="13"/>
    <w:qFormat/>
    <w:uiPriority w:val="5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  <w:insideV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D99795" w:themeColor="accent2" w:themeTint="97" w:sz="4" w:space="0"/>
          <w:left w:val="single" w:color="D99795" w:themeColor="accent2" w:themeTint="97" w:sz="4" w:space="0"/>
          <w:bottom w:val="single" w:color="D99795" w:themeColor="accent2" w:themeTint="97" w:sz="4" w:space="0"/>
          <w:right w:val="single" w:color="D99795" w:themeColor="accent2" w:themeTint="97" w:sz="4" w:space="0"/>
        </w:tcBorders>
        <w:shd w:val="clear" w:color="D99795" w:themeColor="accent2" w:themeTint="97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9">
    <w:name w:val="Grid Table 4 - Accent 3"/>
    <w:basedOn w:val="13"/>
    <w:qFormat/>
    <w:uiPriority w:val="5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9BBB59" w:themeColor="accent3" w:themeTint="FE" w:sz="4" w:space="0"/>
          <w:left w:val="single" w:color="9BBB59" w:themeColor="accent3" w:themeTint="FE" w:sz="4" w:space="0"/>
          <w:bottom w:val="single" w:color="9BBB59" w:themeColor="accent3" w:themeTint="FE" w:sz="4" w:space="0"/>
          <w:right w:val="single" w:color="9BBB59" w:themeColor="accent3" w:themeTint="FE" w:sz="4" w:space="0"/>
        </w:tcBorders>
        <w:shd w:val="clear" w:color="9BBB59" w:themeColor="accent3" w:themeTint="FE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90">
    <w:name w:val="Grid Table 4 - Accent 4"/>
    <w:basedOn w:val="13"/>
    <w:qFormat/>
    <w:uiPriority w:val="5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  <w:shd w:val="clear" w:color="B2A1C6" w:themeColor="accent4" w:themeTint="9A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91">
    <w:name w:val="Grid Table 4 - Accent 5"/>
    <w:basedOn w:val="13"/>
    <w:qFormat/>
    <w:uiPriority w:val="5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  <w:shd w:val="clear" w:color="4BACC6" w:themeColor="accent5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92">
    <w:name w:val="Grid Table 4 - Accent 6"/>
    <w:basedOn w:val="13"/>
    <w:qFormat/>
    <w:uiPriority w:val="5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  <w:shd w:val="clear" w:color="F79646" w:themeColor="accent6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93">
    <w:name w:val="Grid Table 5 Dark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band1Vert">
      <w:tcPr>
        <w:shd w:val="clear" w:color="898989" w:themeColor="text1" w:themeTint="75" w:fill="auto"/>
      </w:tcPr>
    </w:tblStylePr>
    <w:tblStylePr w:type="band1Horz">
      <w:tcPr>
        <w:shd w:val="clear" w:color="898989" w:themeColor="text1" w:themeTint="75" w:fill="auto"/>
      </w:tcPr>
    </w:tblStylePr>
  </w:style>
  <w:style w:type="table" w:customStyle="1" w:styleId="94">
    <w:name w:val="Grid Table 5 Dark- Accent 1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F81BD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band1Vert">
      <w:tcPr>
        <w:shd w:val="clear" w:color="AEC5E0" w:themeColor="accent1" w:themeTint="75" w:fill="auto"/>
      </w:tcPr>
    </w:tblStylePr>
    <w:tblStylePr w:type="band1Horz">
      <w:tcPr>
        <w:shd w:val="clear" w:color="AEC5E0" w:themeColor="accent1" w:themeTint="75" w:fill="auto"/>
      </w:tcPr>
    </w:tblStylePr>
  </w:style>
  <w:style w:type="table" w:customStyle="1" w:styleId="95">
    <w:name w:val="Grid Table 5 Dark - Accent 2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C0504D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band1Vert">
      <w:tcPr>
        <w:shd w:val="clear" w:color="E2AEAD" w:themeColor="accent2" w:themeTint="75" w:fill="auto"/>
      </w:tcPr>
    </w:tblStylePr>
    <w:tblStylePr w:type="band1Horz">
      <w:tcPr>
        <w:shd w:val="clear" w:color="E2AEAD" w:themeColor="accent2" w:themeTint="75" w:fill="auto"/>
      </w:tcPr>
    </w:tblStylePr>
  </w:style>
  <w:style w:type="table" w:customStyle="1" w:styleId="96">
    <w:name w:val="Grid Table 5 Dark - Accent 3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9BBB59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band1Vert">
      <w:tcPr>
        <w:shd w:val="clear" w:color="D1DFB2" w:themeColor="accent3" w:themeTint="75" w:fill="auto"/>
      </w:tcPr>
    </w:tblStylePr>
    <w:tblStylePr w:type="band1Horz">
      <w:tcPr>
        <w:shd w:val="clear" w:color="D1DFB2" w:themeColor="accent3" w:themeTint="75" w:fill="auto"/>
      </w:tcPr>
    </w:tblStylePr>
  </w:style>
  <w:style w:type="table" w:customStyle="1" w:styleId="97">
    <w:name w:val="Grid Table 5 Dark- Accent 4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8064A2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band1Vert">
      <w:tcPr>
        <w:shd w:val="clear" w:color="C4B7D4" w:themeColor="accent4" w:themeTint="75" w:fill="auto"/>
      </w:tcPr>
    </w:tblStylePr>
    <w:tblStylePr w:type="band1Horz">
      <w:tcPr>
        <w:shd w:val="clear" w:color="C4B7D4" w:themeColor="accent4" w:themeTint="75" w:fill="auto"/>
      </w:tcPr>
    </w:tblStylePr>
  </w:style>
  <w:style w:type="table" w:customStyle="1" w:styleId="98">
    <w:name w:val="Grid Table 5 Dark - Accent 5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BACC6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band1Vert">
      <w:tcPr>
        <w:shd w:val="clear" w:color="ACD8E4" w:themeColor="accent5" w:themeTint="75" w:fill="auto"/>
      </w:tcPr>
    </w:tblStylePr>
    <w:tblStylePr w:type="band1Horz">
      <w:tcPr>
        <w:shd w:val="clear" w:color="ACD8E4" w:themeColor="accent5" w:themeTint="75" w:fill="auto"/>
      </w:tcPr>
    </w:tblStylePr>
  </w:style>
  <w:style w:type="table" w:customStyle="1" w:styleId="99">
    <w:name w:val="Grid Table 5 Dark - Accent 6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F79646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band1Vert">
      <w:tcPr>
        <w:shd w:val="clear" w:color="FBCEAA" w:themeColor="accent6" w:themeTint="75" w:fill="auto"/>
      </w:tcPr>
    </w:tblStylePr>
    <w:tblStylePr w:type="band1Horz">
      <w:tcPr>
        <w:shd w:val="clear" w:color="FBCEAA" w:themeColor="accent6" w:themeTint="75" w:fill="auto"/>
      </w:tcPr>
    </w:tblStylePr>
  </w:style>
  <w:style w:type="table" w:customStyle="1" w:styleId="100">
    <w:name w:val="Grid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left w:val="single" w:color="7E7E7E" w:themeColor="text1" w:themeTint="80" w:sz="4" w:space="0"/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CACACA" w:themeColor="text1" w:themeTint="34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1">
    <w:name w:val="Grid Table 6 Colorful - Accent 1"/>
    <w:basedOn w:val="13"/>
    <w:qFormat/>
    <w:uiPriority w:val="99"/>
    <w:pPr>
      <w:spacing w:after="0" w:line="240" w:lineRule="auto"/>
    </w:pPr>
    <w:tblPr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bottom w:val="single" w:color="A6BFDD" w:themeColor="accent1" w:themeTint="80" w:sz="12" w:space="0"/>
        </w:tcBorders>
      </w:tcPr>
    </w:tblStylePr>
    <w:tblStylePr w:type="la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2">
    <w:name w:val="Grid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03">
    <w:name w:val="Grid Table 6 Colorful - Accent 3"/>
    <w:basedOn w:val="13"/>
    <w:qFormat/>
    <w:uiPriority w:val="99"/>
    <w:pPr>
      <w:spacing w:after="0" w:line="240" w:lineRule="auto"/>
    </w:pPr>
    <w:tblPr>
      <w:tblBorders>
        <w:top w:val="single" w:color="9BBB59" w:themeColor="accent3" w:themeTint="FE" w:sz="4" w:space="0"/>
        <w:left w:val="single" w:color="9BBB59" w:themeColor="accent3" w:themeTint="FE" w:sz="4" w:space="0"/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bottom w:val="single" w:color="9BBB59" w:themeColor="accent3" w:themeTint="FE" w:sz="12" w:space="0"/>
        </w:tcBorders>
      </w:tcPr>
    </w:tblStylePr>
    <w:tblStylePr w:type="la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fir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la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04">
    <w:name w:val="Grid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05">
    <w:name w:val="Grid Table 6 Colorful - Accent 5"/>
    <w:basedOn w:val="13"/>
    <w:qFormat/>
    <w:uiPriority w:val="99"/>
    <w:pPr>
      <w:spacing w:after="0" w:line="240" w:lineRule="auto"/>
    </w:pPr>
    <w:tblPr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4BACC6" w:themeColor="accent5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6">
    <w:name w:val="Grid Table 6 Colorful - Accent 6"/>
    <w:basedOn w:val="13"/>
    <w:qFormat/>
    <w:uiPriority w:val="99"/>
    <w:pPr>
      <w:spacing w:after="0" w:line="240" w:lineRule="auto"/>
    </w:pPr>
    <w:tblPr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F79646" w:themeColor="accent6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7">
    <w:name w:val="Grid Table 7 Colorful"/>
    <w:basedOn w:val="13"/>
    <w:qFormat/>
    <w:uiPriority w:val="99"/>
    <w:pPr>
      <w:spacing w:after="0" w:line="240" w:lineRule="auto"/>
    </w:pPr>
    <w:tblPr>
      <w:tblBorders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F1F1F1" w:themeColor="text1" w:themeTint="0D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8">
    <w:name w:val="Grid Table 7 Colorful - Accent 1"/>
    <w:basedOn w:val="13"/>
    <w:qFormat/>
    <w:uiPriority w:val="99"/>
    <w:pPr>
      <w:spacing w:after="0" w:line="240" w:lineRule="auto"/>
    </w:pPr>
    <w:tblPr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A6BFDD" w:themeColor="accen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single" w:color="A6BFDD" w:themeColor="accen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A6BFDD" w:themeColor="accen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A6BFDD" w:themeColor="accen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9">
    <w:name w:val="Grid Table 7 Colorful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10">
    <w:name w:val="Grid Table 7 Colorful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single" w:color="9BBB59" w:themeColor="accent3" w:themeTint="FE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nil"/>
          <w:right w:val="single" w:color="9BBB59" w:themeColor="accent3" w:themeTint="FE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single" w:color="9BBB59" w:themeColor="accent3" w:themeTint="FE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11">
    <w:name w:val="Grid Table 7 Colorful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12">
    <w:name w:val="Grid Table 7 Colorful - Accent 5"/>
    <w:basedOn w:val="13"/>
    <w:qFormat/>
    <w:uiPriority w:val="99"/>
    <w:pPr>
      <w:spacing w:after="0" w:line="240" w:lineRule="auto"/>
    </w:pPr>
    <w:tblPr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266778" w:themeColor="accent5" w:themeShade="94"/>
        <w:sz w:val="22"/>
      </w:rPr>
      <w:tcPr>
        <w:tcBorders>
          <w:top w:val="nil"/>
          <w:left w:val="nil"/>
          <w:bottom w:val="single" w:color="99D0DE" w:themeColor="accent5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66778" w:themeColor="accent5" w:themeShade="94"/>
        <w:sz w:val="22"/>
      </w:rPr>
      <w:tcPr>
        <w:tcBorders>
          <w:top w:val="single" w:color="99D0DE" w:themeColor="accent5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nil"/>
          <w:bottom w:val="nil"/>
          <w:right w:val="single" w:color="99D0DE" w:themeColor="accent5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single" w:color="99D0DE" w:themeColor="accent5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13">
    <w:name w:val="Grid Table 7 Colorful - Accent 6"/>
    <w:basedOn w:val="13"/>
    <w:qFormat/>
    <w:uiPriority w:val="99"/>
    <w:pPr>
      <w:spacing w:after="0" w:line="240" w:lineRule="auto"/>
    </w:pPr>
    <w:tblPr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B05408" w:themeColor="accent6" w:themeShade="94"/>
        <w:sz w:val="22"/>
      </w:rPr>
      <w:tcPr>
        <w:tcBorders>
          <w:top w:val="nil"/>
          <w:left w:val="nil"/>
          <w:bottom w:val="single" w:color="FAC396" w:themeColor="accent6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05408" w:themeColor="accent6" w:themeShade="94"/>
        <w:sz w:val="22"/>
      </w:rPr>
      <w:tcPr>
        <w:tcBorders>
          <w:top w:val="single" w:color="FAC396" w:themeColor="accent6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nil"/>
          <w:bottom w:val="nil"/>
          <w:right w:val="single" w:color="FAC396" w:themeColor="accent6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single" w:color="FAC396" w:themeColor="accent6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B05408" w:themeColor="accent6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B05408" w:themeColor="accent6" w:themeShade="94"/>
        <w:sz w:val="22"/>
      </w:rPr>
    </w:tblStylePr>
  </w:style>
  <w:style w:type="table" w:customStyle="1" w:styleId="114">
    <w:name w:val="List Table 1 Light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000000" w:themeColor="tex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BEBEBE" w:themeColor="text1" w:themeTint="40" w:fill="auto"/>
      </w:tcPr>
    </w:tblStylePr>
    <w:tblStylePr w:type="band1Horz">
      <w:tcPr>
        <w:shd w:val="clear" w:color="BEBEBE" w:themeColor="text1" w:themeTint="40" w:fill="auto"/>
      </w:tcPr>
    </w:tblStylePr>
  </w:style>
  <w:style w:type="table" w:customStyle="1" w:styleId="115">
    <w:name w:val="List Table 1 Light - Accent 1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F81BD" w:themeColor="accen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2DFEE" w:themeColor="accent1" w:themeTint="40" w:fill="auto"/>
      </w:tcPr>
    </w:tblStylePr>
    <w:tblStylePr w:type="band1Horz">
      <w:tcPr>
        <w:shd w:val="clear" w:color="D2DFEE" w:themeColor="accent1" w:themeTint="40" w:fill="auto"/>
      </w:tcPr>
    </w:tblStylePr>
  </w:style>
  <w:style w:type="table" w:customStyle="1" w:styleId="116">
    <w:name w:val="List Table 1 Light - Accent 2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C0504D" w:themeColor="accent2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FD3D2" w:themeColor="accent2" w:themeTint="40" w:fill="auto"/>
      </w:tcPr>
    </w:tblStylePr>
    <w:tblStylePr w:type="band1Horz">
      <w:tcPr>
        <w:shd w:val="clear" w:color="EFD3D2" w:themeColor="accent2" w:themeTint="40" w:fill="auto"/>
      </w:tcPr>
    </w:tblStylePr>
  </w:style>
  <w:style w:type="table" w:customStyle="1" w:styleId="117">
    <w:name w:val="List Table 1 Light - Accent 3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5EDD5" w:themeColor="accent3" w:themeTint="40" w:fill="auto"/>
      </w:tcPr>
    </w:tblStylePr>
    <w:tblStylePr w:type="band1Horz">
      <w:tcPr>
        <w:shd w:val="clear" w:color="E5EDD5" w:themeColor="accent3" w:themeTint="40" w:fill="auto"/>
      </w:tcPr>
    </w:tblStylePr>
  </w:style>
  <w:style w:type="table" w:customStyle="1" w:styleId="118">
    <w:name w:val="List Table 1 Light - Accent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8064A2" w:themeColor="accent4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FD8E7" w:themeColor="accent4" w:themeTint="40" w:fill="auto"/>
      </w:tcPr>
    </w:tblStylePr>
    <w:tblStylePr w:type="band1Horz">
      <w:tcPr>
        <w:shd w:val="clear" w:color="DFD8E7" w:themeColor="accent4" w:themeTint="40" w:fill="auto"/>
      </w:tcPr>
    </w:tblStylePr>
  </w:style>
  <w:style w:type="table" w:customStyle="1" w:styleId="119">
    <w:name w:val="List Table 1 Light - Accent 5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1EAF0" w:themeColor="accent5" w:themeTint="40" w:fill="auto"/>
      </w:tcPr>
    </w:tblStylePr>
    <w:tblStylePr w:type="band1Horz">
      <w:tcPr>
        <w:shd w:val="clear" w:color="D1EAF0" w:themeColor="accent5" w:themeTint="40" w:fill="auto"/>
      </w:tcPr>
    </w:tblStylePr>
  </w:style>
  <w:style w:type="table" w:customStyle="1" w:styleId="120">
    <w:name w:val="List Table 1 Light - Accent 6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FCE4D0" w:themeColor="accent6" w:themeTint="40" w:fill="auto"/>
      </w:tcPr>
    </w:tblStylePr>
    <w:tblStylePr w:type="band1Horz">
      <w:tcPr>
        <w:shd w:val="clear" w:color="FCE4D0" w:themeColor="accent6" w:themeTint="40" w:fill="auto"/>
      </w:tcPr>
    </w:tblStylePr>
  </w:style>
  <w:style w:type="table" w:customStyle="1" w:styleId="121">
    <w:name w:val="List Table 2"/>
    <w:basedOn w:val="13"/>
    <w:qFormat/>
    <w:uiPriority w:val="99"/>
    <w:pPr>
      <w:spacing w:after="0" w:line="240" w:lineRule="auto"/>
    </w:pPr>
    <w:tblPr>
      <w:tblBorders>
        <w:top w:val="single" w:color="6E6E6E" w:themeColor="text1" w:themeTint="90" w:sz="4" w:space="0"/>
        <w:bottom w:val="single" w:color="6E6E6E" w:themeColor="text1" w:themeTint="90" w:sz="4" w:space="0"/>
        <w:insideH w:val="single" w:color="6E6E6E" w:themeColor="tex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22">
    <w:name w:val="List Table 2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23">
    <w:name w:val="List Table 2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bottom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24">
    <w:name w:val="List Table 2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25">
    <w:name w:val="List Table 2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26">
    <w:name w:val="List Table 2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27">
    <w:name w:val="List Table 2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28">
    <w:name w:val="List Table 3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129">
    <w:name w:val="List Table 3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</w:style>
  <w:style w:type="table" w:customStyle="1" w:styleId="130">
    <w:name w:val="List Table 3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D99795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795" w:themeColor="accent2" w:themeTint="97" w:sz="4" w:space="0"/>
          <w:right w:val="single" w:color="D99795" w:themeColor="accent2" w:themeTint="97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99795" w:themeColor="accent2" w:themeTint="97" w:sz="4" w:space="0"/>
          <w:bottom w:val="single" w:color="D99795" w:themeColor="accent2" w:themeTint="97" w:sz="4" w:space="0"/>
        </w:tcBorders>
      </w:tcPr>
    </w:tblStylePr>
  </w:style>
  <w:style w:type="table" w:customStyle="1" w:styleId="131">
    <w:name w:val="List Table 3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left w:val="single" w:color="C3D69C" w:themeColor="accent3" w:themeTint="98" w:sz="4" w:space="0"/>
        <w:bottom w:val="single" w:color="C3D69C" w:themeColor="accent3" w:themeTint="98" w:sz="4" w:space="0"/>
        <w:right w:val="single" w:color="C3D69C" w:themeColor="accent3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3D69C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C" w:themeColor="accent3" w:themeTint="98" w:sz="4" w:space="0"/>
          <w:right w:val="single" w:color="C3D69C" w:themeColor="accent3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3D69C" w:themeColor="accent3" w:themeTint="98" w:sz="4" w:space="0"/>
          <w:bottom w:val="single" w:color="C3D69C" w:themeColor="accent3" w:themeTint="98" w:sz="4" w:space="0"/>
        </w:tcBorders>
      </w:tcPr>
    </w:tblStylePr>
  </w:style>
  <w:style w:type="table" w:customStyle="1" w:styleId="132">
    <w:name w:val="List Table 3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</w:style>
  <w:style w:type="table" w:customStyle="1" w:styleId="133">
    <w:name w:val="List Table 3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</w:style>
  <w:style w:type="table" w:customStyle="1" w:styleId="134">
    <w:name w:val="List Table 3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</w:style>
  <w:style w:type="table" w:customStyle="1" w:styleId="135">
    <w:name w:val="List Table 4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36">
    <w:name w:val="List Table 4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37">
    <w:name w:val="List Table 4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38">
    <w:name w:val="List Table 4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39">
    <w:name w:val="List Table 4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40">
    <w:name w:val="List Table 4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41">
    <w:name w:val="List Table 4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42">
    <w:name w:val="List Table 5 Dark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32" w:space="0"/>
        <w:left w:val="single" w:color="7E7E7E" w:themeColor="text1" w:themeTint="80" w:sz="32" w:space="0"/>
        <w:bottom w:val="single" w:color="7E7E7E" w:themeColor="text1" w:themeTint="80" w:sz="32" w:space="0"/>
        <w:right w:val="single" w:color="7E7E7E" w:themeColor="text1" w:themeTint="80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7E7E7E" w:themeColor="text1" w:themeTint="80" w:sz="32" w:space="0"/>
          <w:bottom w:val="single" w:color="FFFFFF" w:themeColor="light1" w:sz="12" w:space="0"/>
        </w:tcBorders>
        <w:shd w:val="clear" w:color="7E7E7E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7E7E7E" w:themeColor="text1" w:themeTint="80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E7E7E" w:themeColor="text1" w:themeTint="80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7E7E7E" w:themeColor="text1" w:themeTint="80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</w:style>
  <w:style w:type="table" w:customStyle="1" w:styleId="143">
    <w:name w:val="List Table 5 Dark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4F81BD" w:themeColor="accent1" w:sz="32" w:space="0"/>
          <w:bottom w:val="single" w:color="FFFFFF" w:themeColor="light1" w:sz="12" w:space="0"/>
        </w:tcBorders>
        <w:shd w:val="clear" w:color="4F81BD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4F81BD" w:themeColor="accent1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</w:style>
  <w:style w:type="table" w:customStyle="1" w:styleId="144">
    <w:name w:val="List Table 5 Dark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32" w:space="0"/>
        <w:left w:val="single" w:color="D99795" w:themeColor="accent2" w:themeTint="97" w:sz="32" w:space="0"/>
        <w:bottom w:val="single" w:color="D99795" w:themeColor="accent2" w:themeTint="97" w:sz="32" w:space="0"/>
        <w:right w:val="single" w:color="D99795" w:themeColor="accent2" w:themeTint="97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D99795" w:themeColor="accent2" w:themeTint="97" w:sz="32" w:space="0"/>
          <w:bottom w:val="single" w:color="FFFFFF" w:themeColor="light1" w:sz="12" w:space="0"/>
        </w:tcBorders>
        <w:shd w:val="clear" w:color="D99795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D99795" w:themeColor="accent2" w:themeTint="97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795" w:themeColor="accent2" w:themeTint="97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D99795" w:themeColor="accent2" w:themeTint="97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</w:style>
  <w:style w:type="table" w:customStyle="1" w:styleId="145">
    <w:name w:val="List Table 5 Dark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32" w:space="0"/>
        <w:left w:val="single" w:color="C3D69C" w:themeColor="accent3" w:themeTint="98" w:sz="32" w:space="0"/>
        <w:bottom w:val="single" w:color="C3D69C" w:themeColor="accent3" w:themeTint="98" w:sz="32" w:space="0"/>
        <w:right w:val="single" w:color="C3D69C" w:themeColor="accent3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C3D69C" w:themeColor="accent3" w:themeTint="98" w:sz="32" w:space="0"/>
          <w:bottom w:val="single" w:color="FFFFFF" w:themeColor="light1" w:sz="12" w:space="0"/>
        </w:tcBorders>
        <w:shd w:val="clear" w:color="C3D69C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C3D69C" w:themeColor="accent3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C" w:themeColor="accent3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C3D69C" w:themeColor="accent3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</w:style>
  <w:style w:type="table" w:customStyle="1" w:styleId="146">
    <w:name w:val="List Table 5 Dark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B2A1C6" w:themeColor="accent4" w:themeTint="9A" w:sz="32" w:space="0"/>
          <w:bottom w:val="single" w:color="FFFFFF" w:themeColor="light1" w:sz="12" w:space="0"/>
        </w:tcBorders>
        <w:shd w:val="clear" w:color="B2A1C6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B2A1C6" w:themeColor="accent4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</w:style>
  <w:style w:type="table" w:customStyle="1" w:styleId="147">
    <w:name w:val="List Table 5 Dark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92CCDC" w:themeColor="accent5" w:themeTint="9A" w:sz="32" w:space="0"/>
          <w:bottom w:val="single" w:color="FFFFFF" w:themeColor="light1" w:sz="12" w:space="0"/>
        </w:tcBorders>
        <w:shd w:val="clear" w:color="92CCDC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92CCDC" w:themeColor="accent5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</w:style>
  <w:style w:type="table" w:customStyle="1" w:styleId="148">
    <w:name w:val="List Table 5 Dark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FAC090" w:themeColor="accent6" w:themeTint="98" w:sz="32" w:space="0"/>
          <w:bottom w:val="single" w:color="FFFFFF" w:themeColor="light1" w:sz="12" w:space="0"/>
        </w:tcBorders>
        <w:shd w:val="clear" w:color="FAC090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AC090" w:themeColor="accent6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</w:style>
  <w:style w:type="table" w:customStyle="1" w:styleId="149">
    <w:name w:val="List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la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</w:tblStylePr>
  </w:style>
  <w:style w:type="table" w:customStyle="1" w:styleId="150">
    <w:name w:val="List Table 6 Colorful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bottom w:val="single" w:color="4F81BD" w:themeColor="accent1" w:sz="4" w:space="0"/>
      </w:tblBorders>
    </w:tblPr>
    <w:tblStylePr w:type="firstRow">
      <w:rPr>
        <w:b/>
        <w:color w:val="2A4B71" w:themeColor="accent1" w:themeShade="94"/>
      </w:rPr>
      <w:tcPr>
        <w:tcBorders>
          <w:bottom w:val="single" w:color="4F81BD" w:themeColor="accent1" w:sz="4" w:space="0"/>
        </w:tcBorders>
      </w:tcPr>
    </w:tblStylePr>
    <w:tblStylePr w:type="lastRow">
      <w:rPr>
        <w:b/>
        <w:color w:val="2A4B71" w:themeColor="accent1" w:themeShade="94"/>
      </w:rPr>
      <w:tcPr>
        <w:tcBorders>
          <w:top w:val="single" w:color="4F81BD" w:themeColor="accent1" w:sz="4" w:space="0"/>
        </w:tcBorders>
      </w:tcPr>
    </w:tblStylePr>
    <w:tblStylePr w:type="firstCol">
      <w:rPr>
        <w:b/>
        <w:color w:val="2A4B71" w:themeColor="accent1" w:themeShade="94"/>
      </w:rPr>
    </w:tblStylePr>
    <w:tblStylePr w:type="lastCol">
      <w:rPr>
        <w:b/>
        <w:color w:val="2A4B71" w:themeColor="accent1" w:themeShade="94"/>
      </w:r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1">
    <w:name w:val="List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bottom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4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2">
    <w:name w:val="List Table 6 Colorful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bottom w:val="single" w:color="C3D69C" w:themeColor="accent3" w:themeTint="98" w:sz="4" w:space="0"/>
      </w:tblBorders>
    </w:tblPr>
    <w:tblStylePr w:type="fir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bottom w:val="single" w:color="C3D69C" w:themeColor="accent3" w:themeTint="98" w:sz="4" w:space="0"/>
        </w:tcBorders>
      </w:tcPr>
    </w:tblStylePr>
    <w:tblStylePr w:type="la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</w:tcBorders>
      </w:tcPr>
    </w:tblStylePr>
    <w:tblStylePr w:type="fir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53">
    <w:name w:val="List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4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54">
    <w:name w:val="List Table 6 Colorful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fir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bottom w:val="single" w:color="92CCDC" w:themeColor="accent5" w:themeTint="9A" w:sz="4" w:space="0"/>
        </w:tcBorders>
      </w:tcPr>
    </w:tblStylePr>
    <w:tblStylePr w:type="la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</w:tcBorders>
      </w:tcPr>
    </w:tblStylePr>
    <w:tblStylePr w:type="fir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55">
    <w:name w:val="List Table 6 Colorful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fir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bottom w:val="single" w:color="FAC090" w:themeColor="accent6" w:themeTint="98" w:sz="4" w:space="0"/>
        </w:tcBorders>
      </w:tcPr>
    </w:tblStylePr>
    <w:tblStylePr w:type="la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</w:tcBorders>
      </w:tcPr>
    </w:tblStylePr>
    <w:tblStylePr w:type="fir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56">
    <w:name w:val="List Table 7 Colorful"/>
    <w:basedOn w:val="13"/>
    <w:qFormat/>
    <w:uiPriority w:val="99"/>
    <w:pPr>
      <w:spacing w:after="0" w:line="240" w:lineRule="auto"/>
    </w:pPr>
    <w:tblPr>
      <w:tblBorders>
        <w:right w:val="single" w:color="7E7E7E" w:themeColor="text1" w:themeTint="80" w:sz="4" w:space="0"/>
      </w:tblBorders>
    </w:tblPr>
    <w:tblStylePr w:type="fir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57">
    <w:name w:val="List Table 7 Colorful - Accent 1"/>
    <w:basedOn w:val="13"/>
    <w:qFormat/>
    <w:uiPriority w:val="99"/>
    <w:pPr>
      <w:spacing w:after="0" w:line="240" w:lineRule="auto"/>
    </w:pPr>
    <w:tblPr>
      <w:tblBorders>
        <w:right w:val="single" w:color="4F81BD" w:themeColor="accent1" w:sz="4" w:space="0"/>
      </w:tblBorders>
    </w:tblPr>
    <w:tblStylePr w:type="firstRow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single" w:color="4F81BD" w:themeColor="accent1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A4B71" w:themeColor="accent1" w:themeShade="94"/>
        <w:sz w:val="22"/>
      </w:rPr>
      <w:tcPr>
        <w:tcBorders>
          <w:top w:val="single" w:color="4F81BD" w:themeColor="accent1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nil"/>
          <w:right w:val="single" w:color="4F81BD" w:themeColor="accent1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single" w:color="4F81BD" w:themeColor="accent1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8">
    <w:name w:val="List Table 7 Colorful - Accent 2"/>
    <w:basedOn w:val="13"/>
    <w:qFormat/>
    <w:uiPriority w:val="99"/>
    <w:pPr>
      <w:spacing w:after="0" w:line="240" w:lineRule="auto"/>
    </w:pPr>
    <w:tblPr>
      <w:tblBorders>
        <w:right w:val="single" w:color="D99795" w:themeColor="accent2" w:themeTint="97" w:sz="4" w:space="0"/>
      </w:tblBorders>
    </w:tblPr>
    <w:tblStylePr w:type="fir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9">
    <w:name w:val="List Table 7 Colorful - Accent 3"/>
    <w:basedOn w:val="13"/>
    <w:qFormat/>
    <w:uiPriority w:val="99"/>
    <w:pPr>
      <w:spacing w:after="0" w:line="240" w:lineRule="auto"/>
    </w:pPr>
    <w:tblPr>
      <w:tblBorders>
        <w:right w:val="single" w:color="C3D69C" w:themeColor="accent3" w:themeTint="98" w:sz="4" w:space="0"/>
      </w:tblBorders>
    </w:tblPr>
    <w:tblStylePr w:type="fir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C3D69C" w:themeColor="accent3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C3D69C" w:themeColor="accent3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C3D69C" w:themeColor="accent3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60">
    <w:name w:val="List Table 7 Colorful - Accent 4"/>
    <w:basedOn w:val="13"/>
    <w:qFormat/>
    <w:uiPriority w:val="99"/>
    <w:pPr>
      <w:spacing w:after="0" w:line="240" w:lineRule="auto"/>
    </w:pPr>
    <w:tblPr>
      <w:tblBorders>
        <w:right w:val="single" w:color="B2A1C6" w:themeColor="accent4" w:themeTint="9A" w:sz="4" w:space="0"/>
      </w:tblBorders>
    </w:tblPr>
    <w:tblStylePr w:type="fir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61">
    <w:name w:val="List Table 7 Colorful - Accent 5"/>
    <w:basedOn w:val="13"/>
    <w:qFormat/>
    <w:uiPriority w:val="99"/>
    <w:pPr>
      <w:spacing w:after="0" w:line="240" w:lineRule="auto"/>
    </w:pPr>
    <w:tblPr>
      <w:tblBorders>
        <w:right w:val="single" w:color="92CCDC" w:themeColor="accent5" w:themeTint="9A" w:sz="4" w:space="0"/>
      </w:tblBorders>
    </w:tblPr>
    <w:tblStylePr w:type="fir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92CCDC" w:themeColor="accent5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92CCDC" w:themeColor="accent5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92CCDC" w:themeColor="accent5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62">
    <w:name w:val="List Table 7 Colorful - Accent 6"/>
    <w:basedOn w:val="13"/>
    <w:qFormat/>
    <w:uiPriority w:val="99"/>
    <w:pPr>
      <w:spacing w:after="0" w:line="240" w:lineRule="auto"/>
    </w:pPr>
    <w:tblPr>
      <w:tblBorders>
        <w:right w:val="single" w:color="FAC090" w:themeColor="accent6" w:themeTint="98" w:sz="4" w:space="0"/>
      </w:tblBorders>
    </w:tblPr>
    <w:tblStylePr w:type="fir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FAC090" w:themeColor="accent6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FAC090" w:themeColor="accent6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FAC090" w:themeColor="accent6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63">
    <w:name w:val="Lined - Accent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64">
    <w:name w:val="Lined - Accent 1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65">
    <w:name w:val="Lined - Accent 2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66">
    <w:name w:val="Lined - Accent 3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67">
    <w:name w:val="Lined - Accent 4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68">
    <w:name w:val="Lined - Accent 5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69">
    <w:name w:val="Lined - Accent 6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0">
    <w:name w:val="Bordered &amp; Lined - Accent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85858" w:themeColor="text1" w:themeTint="A6" w:sz="4" w:space="0"/>
        <w:left w:val="single" w:color="585858" w:themeColor="text1" w:themeTint="A6" w:sz="4" w:space="0"/>
        <w:bottom w:val="single" w:color="585858" w:themeColor="text1" w:themeTint="A6" w:sz="4" w:space="0"/>
        <w:right w:val="single" w:color="585858" w:themeColor="text1" w:themeTint="A6" w:sz="4" w:space="0"/>
        <w:insideH w:val="single" w:color="585858" w:themeColor="text1" w:themeTint="A6" w:sz="4" w:space="0"/>
        <w:insideV w:val="single" w:color="585858" w:themeColor="text1" w:themeTint="A6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71">
    <w:name w:val="Bordered &amp; Lined - Accent 1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A4B71" w:themeColor="accent1" w:themeShade="95" w:sz="4" w:space="0"/>
        <w:left w:val="single" w:color="2A4B71" w:themeColor="accent1" w:themeShade="95" w:sz="4" w:space="0"/>
        <w:bottom w:val="single" w:color="2A4B71" w:themeColor="accent1" w:themeShade="95" w:sz="4" w:space="0"/>
        <w:right w:val="single" w:color="2A4B71" w:themeColor="accent1" w:themeShade="95" w:sz="4" w:space="0"/>
        <w:insideH w:val="single" w:color="2A4B71" w:themeColor="accent1" w:themeShade="95" w:sz="4" w:space="0"/>
        <w:insideV w:val="single" w:color="2A4B71" w:themeColor="accent1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72">
    <w:name w:val="Bordered &amp; Lined - Accent 2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742B29" w:themeColor="accent2" w:themeShade="95" w:sz="4" w:space="0"/>
        <w:left w:val="single" w:color="742B29" w:themeColor="accent2" w:themeShade="95" w:sz="4" w:space="0"/>
        <w:bottom w:val="single" w:color="742B29" w:themeColor="accent2" w:themeShade="95" w:sz="4" w:space="0"/>
        <w:right w:val="single" w:color="742B29" w:themeColor="accent2" w:themeShade="95" w:sz="4" w:space="0"/>
        <w:insideH w:val="single" w:color="742B29" w:themeColor="accent2" w:themeShade="95" w:sz="4" w:space="0"/>
        <w:insideV w:val="single" w:color="742B29" w:themeColor="accent2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73">
    <w:name w:val="Bordered &amp; Lined - Accent 3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C722E" w:themeColor="accent3" w:themeShade="95" w:sz="4" w:space="0"/>
        <w:left w:val="single" w:color="5C722E" w:themeColor="accent3" w:themeShade="95" w:sz="4" w:space="0"/>
        <w:bottom w:val="single" w:color="5C722E" w:themeColor="accent3" w:themeShade="95" w:sz="4" w:space="0"/>
        <w:right w:val="single" w:color="5C722E" w:themeColor="accent3" w:themeShade="95" w:sz="4" w:space="0"/>
        <w:insideH w:val="single" w:color="5C722E" w:themeColor="accent3" w:themeShade="95" w:sz="4" w:space="0"/>
        <w:insideV w:val="single" w:color="5C722E" w:themeColor="accent3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74">
    <w:name w:val="Bordered &amp; Lined - Accent 4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75">
    <w:name w:val="Bordered &amp; Lined - Accent 5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76">
    <w:name w:val="Bordered &amp; Lined - Accent 6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7">
    <w:name w:val="Bordered"/>
    <w:basedOn w:val="13"/>
    <w:qFormat/>
    <w:uiPriority w:val="99"/>
    <w:pPr>
      <w:spacing w:after="0" w:line="240" w:lineRule="auto"/>
    </w:pPr>
    <w:tblPr>
      <w:tblBorders>
        <w:top w:val="single" w:color="D8D8D8" w:themeColor="text1" w:themeTint="26" w:sz="4" w:space="0"/>
        <w:left w:val="single" w:color="D8D8D8" w:themeColor="text1" w:themeTint="26" w:sz="4" w:space="0"/>
        <w:bottom w:val="single" w:color="D8D8D8" w:themeColor="text1" w:themeTint="26" w:sz="4" w:space="0"/>
        <w:right w:val="single" w:color="D8D8D8" w:themeColor="text1" w:themeTint="26" w:sz="4" w:space="0"/>
        <w:insideH w:val="single" w:color="D8D8D8" w:themeColor="text1" w:themeTint="26" w:sz="4" w:space="0"/>
        <w:insideV w:val="single" w:color="D8D8D8" w:themeColor="text1" w:themeTint="26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E7E7E" w:themeColor="text1" w:themeTint="80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E7E7E" w:themeColor="text1" w:themeTint="80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8D8D8" w:themeColor="text1" w:themeTint="26" w:sz="4" w:space="0"/>
          <w:left w:val="single" w:color="D8D8D8" w:themeColor="text1" w:themeTint="26" w:sz="4" w:space="0"/>
          <w:bottom w:val="single" w:color="D8D8D8" w:themeColor="text1" w:themeTint="26" w:sz="4" w:space="0"/>
          <w:right w:val="single" w:color="D8D8D8" w:themeColor="text1" w:themeTint="26" w:sz="4" w:space="0"/>
        </w:tcBorders>
      </w:tcPr>
    </w:tblStylePr>
  </w:style>
  <w:style w:type="table" w:customStyle="1" w:styleId="178">
    <w:name w:val="Bordered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179">
    <w:name w:val="Bordered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795" w:themeColor="accent2" w:themeTint="97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795" w:themeColor="accent2" w:themeTint="97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180">
    <w:name w:val="Bordered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C3D69C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C" w:themeColor="accent3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C" w:themeColor="accent3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181">
    <w:name w:val="Bordered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182">
    <w:name w:val="Bordered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183">
    <w:name w:val="Bordered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character" w:customStyle="1" w:styleId="184">
    <w:name w:val="Footnote Text Char"/>
    <w:qFormat/>
    <w:uiPriority w:val="99"/>
    <w:rPr>
      <w:sz w:val="21"/>
    </w:rPr>
  </w:style>
  <w:style w:type="character" w:customStyle="1" w:styleId="185">
    <w:name w:val="Endnote Text Char"/>
    <w:link w:val="18"/>
    <w:qFormat/>
    <w:uiPriority w:val="99"/>
    <w:rPr>
      <w:sz w:val="21"/>
    </w:rPr>
  </w:style>
  <w:style w:type="paragraph" w:customStyle="1" w:styleId="186">
    <w:name w:val="Compact"/>
    <w:basedOn w:val="3"/>
    <w:qFormat/>
    <w:uiPriority w:val="0"/>
    <w:pPr>
      <w:spacing w:before="36" w:after="36"/>
    </w:pPr>
    <w:rPr>
      <w:sz w:val="21"/>
    </w:rPr>
  </w:style>
  <w:style w:type="paragraph" w:customStyle="1" w:styleId="187">
    <w:name w:val="Author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188">
    <w:name w:val="Abstract"/>
    <w:basedOn w:val="1"/>
    <w:next w:val="3"/>
    <w:qFormat/>
    <w:uiPriority w:val="0"/>
    <w:pPr>
      <w:keepNext/>
      <w:keepLines/>
      <w:spacing w:before="300" w:after="300"/>
    </w:pPr>
    <w:rPr>
      <w:sz w:val="24"/>
      <w:szCs w:val="20"/>
    </w:rPr>
  </w:style>
  <w:style w:type="paragraph" w:customStyle="1" w:styleId="189">
    <w:name w:val="Bibliography"/>
    <w:basedOn w:val="1"/>
    <w:qFormat/>
    <w:uiPriority w:val="0"/>
  </w:style>
  <w:style w:type="table" w:customStyle="1" w:styleId="190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000000" w:sz="4" w:space="0"/>
        </w:tcBorders>
        <w:vAlign w:val="bottom"/>
      </w:tcPr>
    </w:tblStylePr>
  </w:style>
  <w:style w:type="paragraph" w:customStyle="1" w:styleId="191">
    <w:name w:val="Definition Term"/>
    <w:basedOn w:val="1"/>
    <w:next w:val="192"/>
    <w:qFormat/>
    <w:uiPriority w:val="0"/>
    <w:pPr>
      <w:keepNext/>
      <w:keepLines/>
      <w:spacing w:after="0"/>
    </w:pPr>
    <w:rPr>
      <w:b/>
      <w:sz w:val="24"/>
    </w:rPr>
  </w:style>
  <w:style w:type="paragraph" w:customStyle="1" w:styleId="192">
    <w:name w:val="Definition"/>
    <w:basedOn w:val="1"/>
    <w:qFormat/>
    <w:uiPriority w:val="0"/>
    <w:rPr>
      <w:sz w:val="21"/>
    </w:rPr>
  </w:style>
  <w:style w:type="paragraph" w:customStyle="1" w:styleId="193">
    <w:name w:val="Table Caption"/>
    <w:basedOn w:val="15"/>
    <w:qFormat/>
    <w:uiPriority w:val="0"/>
    <w:pPr>
      <w:keepNext/>
    </w:pPr>
    <w:rPr>
      <w:sz w:val="21"/>
    </w:rPr>
  </w:style>
  <w:style w:type="paragraph" w:customStyle="1" w:styleId="194">
    <w:name w:val="Image Caption"/>
    <w:basedOn w:val="15"/>
    <w:qFormat/>
    <w:uiPriority w:val="0"/>
  </w:style>
  <w:style w:type="paragraph" w:customStyle="1" w:styleId="195">
    <w:name w:val="Figure"/>
    <w:basedOn w:val="1"/>
    <w:qFormat/>
    <w:uiPriority w:val="0"/>
  </w:style>
  <w:style w:type="paragraph" w:customStyle="1" w:styleId="196">
    <w:name w:val="Captioned Figure"/>
    <w:basedOn w:val="195"/>
    <w:qFormat/>
    <w:uiPriority w:val="0"/>
    <w:pPr>
      <w:keepNext/>
    </w:pPr>
    <w:rPr>
      <w:sz w:val="21"/>
    </w:rPr>
  </w:style>
  <w:style w:type="character" w:customStyle="1" w:styleId="197">
    <w:name w:val="Verbatim Char"/>
    <w:basedOn w:val="21"/>
    <w:qFormat/>
    <w:uiPriority w:val="0"/>
    <w:rPr>
      <w:rFonts w:ascii="Times New Roman" w:hAnsi="Times New Roman" w:eastAsia="SimSun"/>
      <w:sz w:val="21"/>
    </w:rPr>
  </w:style>
  <w:style w:type="character" w:customStyle="1" w:styleId="198">
    <w:name w:val="Section Number"/>
    <w:basedOn w:val="21"/>
    <w:qFormat/>
    <w:uiPriority w:val="0"/>
  </w:style>
  <w:style w:type="paragraph" w:customStyle="1" w:styleId="199">
    <w:name w:val="TOC Heading"/>
    <w:basedOn w:val="2"/>
    <w:next w:val="3"/>
    <w:unhideWhenUsed/>
    <w:qFormat/>
    <w:uiPriority w:val="39"/>
    <w:pPr>
      <w:spacing w:before="240" w:line="259" w:lineRule="auto"/>
      <w:jc w:val="center"/>
      <w:outlineLvl w:val="9"/>
    </w:pPr>
    <w:rPr>
      <w:rFonts w:asciiTheme="majorHAnsi" w:hAnsiTheme="majorHAnsi" w:eastAsiaTheme="majorEastAsia" w:cstheme="majorBidi"/>
      <w:b w:val="0"/>
      <w:bCs w:val="0"/>
      <w:color w:val="000000"/>
      <w:sz w:val="24"/>
    </w:rPr>
  </w:style>
  <w:style w:type="paragraph" w:customStyle="1" w:styleId="200">
    <w:name w:val="Source Code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01">
    <w:name w:val="KeywordTok"/>
    <w:qFormat/>
    <w:uiPriority w:val="0"/>
    <w:rPr>
      <w:b/>
      <w:color w:val="204A87"/>
      <w:sz w:val="21"/>
      <w:shd w:val="clear" w:fill="EDEDED"/>
    </w:rPr>
  </w:style>
  <w:style w:type="character" w:customStyle="1" w:styleId="202">
    <w:name w:val="DataTypeTok"/>
    <w:qFormat/>
    <w:uiPriority w:val="0"/>
    <w:rPr>
      <w:color w:val="204A87"/>
      <w:sz w:val="21"/>
      <w:shd w:val="clear" w:fill="EDEDED"/>
    </w:rPr>
  </w:style>
  <w:style w:type="character" w:customStyle="1" w:styleId="203">
    <w:name w:val="DecValTok"/>
    <w:qFormat/>
    <w:uiPriority w:val="0"/>
    <w:rPr>
      <w:color w:val="0000CF"/>
      <w:sz w:val="21"/>
      <w:shd w:val="clear" w:fill="EDEDED"/>
    </w:rPr>
  </w:style>
  <w:style w:type="character" w:customStyle="1" w:styleId="204">
    <w:name w:val="BaseNTok"/>
    <w:qFormat/>
    <w:uiPriority w:val="0"/>
    <w:rPr>
      <w:color w:val="0000CF"/>
      <w:sz w:val="21"/>
      <w:shd w:val="clear" w:fill="EDEDED"/>
    </w:rPr>
  </w:style>
  <w:style w:type="character" w:customStyle="1" w:styleId="205">
    <w:name w:val="FloatTok"/>
    <w:qFormat/>
    <w:uiPriority w:val="0"/>
    <w:rPr>
      <w:color w:val="0000CF"/>
      <w:sz w:val="21"/>
      <w:shd w:val="clear" w:fill="EDEDED"/>
    </w:rPr>
  </w:style>
  <w:style w:type="character" w:customStyle="1" w:styleId="206">
    <w:name w:val="ConstantTok"/>
    <w:qFormat/>
    <w:uiPriority w:val="0"/>
    <w:rPr>
      <w:color w:val="000000"/>
      <w:sz w:val="21"/>
      <w:shd w:val="clear" w:fill="EDEDED"/>
    </w:rPr>
  </w:style>
  <w:style w:type="character" w:customStyle="1" w:styleId="207">
    <w:name w:val="CharTok"/>
    <w:qFormat/>
    <w:uiPriority w:val="0"/>
    <w:rPr>
      <w:color w:val="4E9A06"/>
      <w:sz w:val="21"/>
      <w:shd w:val="clear" w:fill="EDEDED"/>
    </w:rPr>
  </w:style>
  <w:style w:type="character" w:customStyle="1" w:styleId="208">
    <w:name w:val="SpecialCharTok"/>
    <w:qFormat/>
    <w:uiPriority w:val="0"/>
    <w:rPr>
      <w:color w:val="000000"/>
      <w:sz w:val="21"/>
      <w:shd w:val="clear" w:fill="EDEDED"/>
    </w:rPr>
  </w:style>
  <w:style w:type="character" w:customStyle="1" w:styleId="209">
    <w:name w:val="StringTok"/>
    <w:qFormat/>
    <w:uiPriority w:val="0"/>
    <w:rPr>
      <w:color w:val="4E9A06"/>
      <w:sz w:val="21"/>
      <w:shd w:val="clear" w:fill="EDEDED"/>
    </w:rPr>
  </w:style>
  <w:style w:type="character" w:customStyle="1" w:styleId="210">
    <w:name w:val="VerbatimStringTok"/>
    <w:qFormat/>
    <w:uiPriority w:val="0"/>
    <w:rPr>
      <w:color w:val="4E9A06"/>
      <w:sz w:val="21"/>
      <w:shd w:val="clear" w:fill="EDEDED"/>
    </w:rPr>
  </w:style>
  <w:style w:type="character" w:customStyle="1" w:styleId="211">
    <w:name w:val="SpecialStringTok"/>
    <w:qFormat/>
    <w:uiPriority w:val="0"/>
    <w:rPr>
      <w:color w:val="4E9A06"/>
      <w:sz w:val="21"/>
      <w:shd w:val="clear" w:fill="EDEDED"/>
    </w:rPr>
  </w:style>
  <w:style w:type="character" w:customStyle="1" w:styleId="212">
    <w:name w:val="ImportTok"/>
    <w:qFormat/>
    <w:uiPriority w:val="0"/>
    <w:rPr>
      <w:sz w:val="21"/>
      <w:shd w:val="clear" w:fill="EDEDED"/>
    </w:rPr>
  </w:style>
  <w:style w:type="character" w:customStyle="1" w:styleId="213">
    <w:name w:val="CommentTok"/>
    <w:qFormat/>
    <w:uiPriority w:val="0"/>
    <w:rPr>
      <w:i/>
      <w:color w:val="8F5902"/>
      <w:sz w:val="21"/>
      <w:shd w:val="clear" w:fill="EDEDED"/>
    </w:rPr>
  </w:style>
  <w:style w:type="character" w:customStyle="1" w:styleId="214">
    <w:name w:val="Documen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5">
    <w:name w:val="Anno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6">
    <w:name w:val="CommentVar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7">
    <w:name w:val="OtherTok"/>
    <w:qFormat/>
    <w:uiPriority w:val="0"/>
    <w:rPr>
      <w:color w:val="8F5902"/>
      <w:sz w:val="21"/>
      <w:shd w:val="clear" w:fill="EDEDED"/>
    </w:rPr>
  </w:style>
  <w:style w:type="character" w:customStyle="1" w:styleId="218">
    <w:name w:val="FunctionTok"/>
    <w:qFormat/>
    <w:uiPriority w:val="0"/>
    <w:rPr>
      <w:color w:val="000000"/>
      <w:sz w:val="21"/>
      <w:shd w:val="clear" w:fill="EDEDED"/>
    </w:rPr>
  </w:style>
  <w:style w:type="character" w:customStyle="1" w:styleId="219">
    <w:name w:val="VariableTok"/>
    <w:qFormat/>
    <w:uiPriority w:val="0"/>
    <w:rPr>
      <w:color w:val="000000"/>
      <w:sz w:val="21"/>
      <w:shd w:val="clear" w:fill="EDEDED"/>
    </w:rPr>
  </w:style>
  <w:style w:type="character" w:customStyle="1" w:styleId="220">
    <w:name w:val="ControlFlowTok"/>
    <w:qFormat/>
    <w:uiPriority w:val="0"/>
    <w:rPr>
      <w:b/>
      <w:color w:val="204A87"/>
      <w:sz w:val="21"/>
      <w:shd w:val="clear" w:fill="EDEDED"/>
    </w:rPr>
  </w:style>
  <w:style w:type="character" w:customStyle="1" w:styleId="221">
    <w:name w:val="OperatorTok"/>
    <w:qFormat/>
    <w:uiPriority w:val="0"/>
    <w:rPr>
      <w:b/>
      <w:color w:val="CE5C00"/>
      <w:sz w:val="21"/>
      <w:shd w:val="clear" w:fill="EDEDED"/>
    </w:rPr>
  </w:style>
  <w:style w:type="character" w:customStyle="1" w:styleId="222">
    <w:name w:val="BuiltInTok"/>
    <w:qFormat/>
    <w:uiPriority w:val="0"/>
    <w:rPr>
      <w:sz w:val="21"/>
      <w:shd w:val="clear" w:fill="EDEDED"/>
    </w:rPr>
  </w:style>
  <w:style w:type="character" w:customStyle="1" w:styleId="223">
    <w:name w:val="ExtensionTok"/>
    <w:qFormat/>
    <w:uiPriority w:val="0"/>
    <w:rPr>
      <w:sz w:val="21"/>
      <w:shd w:val="clear" w:fill="EDEDED"/>
    </w:rPr>
  </w:style>
  <w:style w:type="character" w:customStyle="1" w:styleId="224">
    <w:name w:val="PreprocessorTok"/>
    <w:qFormat/>
    <w:uiPriority w:val="0"/>
    <w:rPr>
      <w:i/>
      <w:color w:val="8F5902"/>
      <w:sz w:val="21"/>
      <w:shd w:val="clear" w:fill="EDEDED"/>
    </w:rPr>
  </w:style>
  <w:style w:type="character" w:customStyle="1" w:styleId="225">
    <w:name w:val="AttributeTok"/>
    <w:qFormat/>
    <w:uiPriority w:val="0"/>
    <w:rPr>
      <w:color w:val="C4A000"/>
      <w:sz w:val="21"/>
      <w:shd w:val="clear" w:fill="EDEDED"/>
    </w:rPr>
  </w:style>
  <w:style w:type="character" w:customStyle="1" w:styleId="226">
    <w:name w:val="RegionMarkerTok"/>
    <w:qFormat/>
    <w:uiPriority w:val="0"/>
    <w:rPr>
      <w:sz w:val="21"/>
      <w:shd w:val="clear" w:fill="EDEDED"/>
    </w:rPr>
  </w:style>
  <w:style w:type="character" w:customStyle="1" w:styleId="227">
    <w:name w:val="Inform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8">
    <w:name w:val="Warning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9">
    <w:name w:val="AlertTok"/>
    <w:qFormat/>
    <w:uiPriority w:val="0"/>
    <w:rPr>
      <w:color w:val="EF2929"/>
      <w:sz w:val="21"/>
      <w:shd w:val="clear" w:fill="EDEDED"/>
    </w:rPr>
  </w:style>
  <w:style w:type="character" w:customStyle="1" w:styleId="230">
    <w:name w:val="ErrorTok"/>
    <w:qFormat/>
    <w:uiPriority w:val="0"/>
    <w:rPr>
      <w:b/>
      <w:color w:val="A40000"/>
      <w:sz w:val="21"/>
      <w:shd w:val="clear" w:fill="EDEDED"/>
    </w:rPr>
  </w:style>
  <w:style w:type="character" w:customStyle="1" w:styleId="231">
    <w:name w:val="NormalTok"/>
    <w:qFormat/>
    <w:uiPriority w:val="0"/>
    <w:rPr>
      <w:sz w:val="21"/>
      <w:shd w:val="clear" w:fill="EDEDED"/>
    </w:rPr>
  </w:style>
  <w:style w:type="paragraph" w:customStyle="1" w:styleId="232">
    <w:name w:val="Source Code1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33">
    <w:name w:val="KeywordTok1"/>
    <w:qFormat/>
    <w:uiPriority w:val="0"/>
    <w:rPr>
      <w:b/>
      <w:color w:val="204A87"/>
      <w:sz w:val="21"/>
      <w:shd w:val="clear" w:fill="EDEDED"/>
    </w:rPr>
  </w:style>
  <w:style w:type="character" w:customStyle="1" w:styleId="234">
    <w:name w:val="DataTypeTok1"/>
    <w:qFormat/>
    <w:uiPriority w:val="0"/>
    <w:rPr>
      <w:color w:val="204A87"/>
      <w:sz w:val="21"/>
      <w:shd w:val="clear" w:fill="EDEDED"/>
    </w:rPr>
  </w:style>
  <w:style w:type="character" w:customStyle="1" w:styleId="235">
    <w:name w:val="DecValTok1"/>
    <w:qFormat/>
    <w:uiPriority w:val="0"/>
    <w:rPr>
      <w:color w:val="0000CF"/>
      <w:sz w:val="21"/>
      <w:shd w:val="clear" w:fill="EDEDED"/>
    </w:rPr>
  </w:style>
  <w:style w:type="character" w:customStyle="1" w:styleId="236">
    <w:name w:val="BaseNTok1"/>
    <w:qFormat/>
    <w:uiPriority w:val="0"/>
    <w:rPr>
      <w:color w:val="0000CF"/>
      <w:sz w:val="21"/>
      <w:shd w:val="clear" w:fill="EDEDED"/>
    </w:rPr>
  </w:style>
  <w:style w:type="character" w:customStyle="1" w:styleId="237">
    <w:name w:val="FloatTok1"/>
    <w:qFormat/>
    <w:uiPriority w:val="0"/>
    <w:rPr>
      <w:color w:val="0000CF"/>
      <w:sz w:val="21"/>
      <w:shd w:val="clear" w:fill="EDEDED"/>
    </w:rPr>
  </w:style>
  <w:style w:type="character" w:customStyle="1" w:styleId="238">
    <w:name w:val="ConstantTok1"/>
    <w:qFormat/>
    <w:uiPriority w:val="0"/>
    <w:rPr>
      <w:color w:val="000000"/>
      <w:sz w:val="21"/>
      <w:shd w:val="clear" w:fill="EDEDED"/>
    </w:rPr>
  </w:style>
  <w:style w:type="character" w:customStyle="1" w:styleId="239">
    <w:name w:val="CharTok1"/>
    <w:qFormat/>
    <w:uiPriority w:val="0"/>
    <w:rPr>
      <w:color w:val="4E9A06"/>
      <w:sz w:val="21"/>
      <w:shd w:val="clear" w:fill="EDEDED"/>
    </w:rPr>
  </w:style>
  <w:style w:type="character" w:customStyle="1" w:styleId="240">
    <w:name w:val="SpecialCharTok1"/>
    <w:qFormat/>
    <w:uiPriority w:val="0"/>
    <w:rPr>
      <w:color w:val="000000"/>
      <w:sz w:val="21"/>
      <w:shd w:val="clear" w:fill="EDEDED"/>
    </w:rPr>
  </w:style>
  <w:style w:type="character" w:customStyle="1" w:styleId="241">
    <w:name w:val="StringTok1"/>
    <w:qFormat/>
    <w:uiPriority w:val="0"/>
    <w:rPr>
      <w:color w:val="4E9A06"/>
      <w:sz w:val="21"/>
      <w:shd w:val="clear" w:fill="EDEDED"/>
    </w:rPr>
  </w:style>
  <w:style w:type="character" w:customStyle="1" w:styleId="242">
    <w:name w:val="VerbatimStringTok1"/>
    <w:qFormat/>
    <w:uiPriority w:val="0"/>
    <w:rPr>
      <w:color w:val="4E9A06"/>
      <w:sz w:val="21"/>
      <w:shd w:val="clear" w:fill="EDEDED"/>
    </w:rPr>
  </w:style>
  <w:style w:type="character" w:customStyle="1" w:styleId="243">
    <w:name w:val="SpecialStringTok1"/>
    <w:qFormat/>
    <w:uiPriority w:val="0"/>
    <w:rPr>
      <w:color w:val="4E9A06"/>
      <w:sz w:val="21"/>
      <w:shd w:val="clear" w:fill="EDEDED"/>
    </w:rPr>
  </w:style>
  <w:style w:type="character" w:customStyle="1" w:styleId="244">
    <w:name w:val="ImportTok1"/>
    <w:qFormat/>
    <w:uiPriority w:val="0"/>
    <w:rPr>
      <w:sz w:val="21"/>
      <w:shd w:val="clear" w:fill="EDEDED"/>
    </w:rPr>
  </w:style>
  <w:style w:type="character" w:customStyle="1" w:styleId="245">
    <w:name w:val="CommentTok1"/>
    <w:qFormat/>
    <w:uiPriority w:val="0"/>
    <w:rPr>
      <w:i/>
      <w:color w:val="8F5902"/>
      <w:sz w:val="21"/>
      <w:shd w:val="clear" w:fill="EDEDED"/>
    </w:rPr>
  </w:style>
  <w:style w:type="character" w:customStyle="1" w:styleId="246">
    <w:name w:val="Documen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7">
    <w:name w:val="Anno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8">
    <w:name w:val="CommentVar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9">
    <w:name w:val="OtherTok1"/>
    <w:qFormat/>
    <w:uiPriority w:val="0"/>
    <w:rPr>
      <w:color w:val="8F5902"/>
      <w:sz w:val="21"/>
      <w:shd w:val="clear" w:fill="EDEDED"/>
    </w:rPr>
  </w:style>
  <w:style w:type="character" w:customStyle="1" w:styleId="250">
    <w:name w:val="FunctionTok1"/>
    <w:qFormat/>
    <w:uiPriority w:val="0"/>
    <w:rPr>
      <w:color w:val="000000"/>
      <w:sz w:val="21"/>
      <w:shd w:val="clear" w:fill="EDEDED"/>
    </w:rPr>
  </w:style>
  <w:style w:type="character" w:customStyle="1" w:styleId="251">
    <w:name w:val="VariableTok1"/>
    <w:qFormat/>
    <w:uiPriority w:val="0"/>
    <w:rPr>
      <w:color w:val="000000"/>
      <w:sz w:val="21"/>
      <w:shd w:val="clear" w:fill="EDEDED"/>
    </w:rPr>
  </w:style>
  <w:style w:type="character" w:customStyle="1" w:styleId="252">
    <w:name w:val="ControlFlowTok1"/>
    <w:qFormat/>
    <w:uiPriority w:val="0"/>
    <w:rPr>
      <w:b/>
      <w:color w:val="204A87"/>
      <w:sz w:val="21"/>
      <w:shd w:val="clear" w:fill="EDEDED"/>
    </w:rPr>
  </w:style>
  <w:style w:type="character" w:customStyle="1" w:styleId="253">
    <w:name w:val="OperatorTok1"/>
    <w:qFormat/>
    <w:uiPriority w:val="0"/>
    <w:rPr>
      <w:b/>
      <w:color w:val="CE5C00"/>
      <w:sz w:val="21"/>
      <w:shd w:val="clear" w:fill="EDEDED"/>
    </w:rPr>
  </w:style>
  <w:style w:type="character" w:customStyle="1" w:styleId="254">
    <w:name w:val="BuiltInTok1"/>
    <w:qFormat/>
    <w:uiPriority w:val="0"/>
    <w:rPr>
      <w:sz w:val="21"/>
      <w:shd w:val="clear" w:fill="EDEDED"/>
    </w:rPr>
  </w:style>
  <w:style w:type="character" w:customStyle="1" w:styleId="255">
    <w:name w:val="ExtensionTok1"/>
    <w:qFormat/>
    <w:uiPriority w:val="0"/>
    <w:rPr>
      <w:sz w:val="21"/>
      <w:shd w:val="clear" w:fill="EDEDED"/>
    </w:rPr>
  </w:style>
  <w:style w:type="character" w:customStyle="1" w:styleId="256">
    <w:name w:val="PreprocessorTok1"/>
    <w:qFormat/>
    <w:uiPriority w:val="0"/>
    <w:rPr>
      <w:i/>
      <w:color w:val="8F5902"/>
      <w:sz w:val="21"/>
      <w:shd w:val="clear" w:fill="EDEDED"/>
    </w:rPr>
  </w:style>
  <w:style w:type="character" w:customStyle="1" w:styleId="257">
    <w:name w:val="AttributeTok1"/>
    <w:qFormat/>
    <w:uiPriority w:val="0"/>
    <w:rPr>
      <w:color w:val="C4A000"/>
      <w:sz w:val="21"/>
      <w:shd w:val="clear" w:fill="EDEDED"/>
    </w:rPr>
  </w:style>
  <w:style w:type="character" w:customStyle="1" w:styleId="258">
    <w:name w:val="RegionMarkerTok1"/>
    <w:qFormat/>
    <w:uiPriority w:val="0"/>
    <w:rPr>
      <w:sz w:val="21"/>
      <w:shd w:val="clear" w:fill="EDEDED"/>
    </w:rPr>
  </w:style>
  <w:style w:type="character" w:customStyle="1" w:styleId="259">
    <w:name w:val="Inform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0">
    <w:name w:val="Warning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1">
    <w:name w:val="AlertTok1"/>
    <w:qFormat/>
    <w:uiPriority w:val="0"/>
    <w:rPr>
      <w:color w:val="EF2929"/>
      <w:sz w:val="21"/>
      <w:shd w:val="clear" w:fill="EDEDED"/>
    </w:rPr>
  </w:style>
  <w:style w:type="character" w:customStyle="1" w:styleId="262">
    <w:name w:val="ErrorTok1"/>
    <w:qFormat/>
    <w:uiPriority w:val="0"/>
    <w:rPr>
      <w:b/>
      <w:color w:val="A40000"/>
      <w:sz w:val="21"/>
      <w:shd w:val="clear" w:fill="EDEDED"/>
    </w:rPr>
  </w:style>
  <w:style w:type="character" w:customStyle="1" w:styleId="263">
    <w:name w:val="NormalTok1"/>
    <w:qFormat/>
    <w:uiPriority w:val="0"/>
    <w:rPr>
      <w:sz w:val="21"/>
      <w:shd w:val="clear" w:fill="EDEDED"/>
    </w:rPr>
  </w:style>
  <w:style w:type="paragraph" w:customStyle="1" w:styleId="264">
    <w:name w:val="Source Code2"/>
    <w:qFormat/>
    <w:uiPriority w:val="0"/>
    <w:pPr>
      <w:shd w:val="clear" w:fill="F8F8F8"/>
      <w:wordWrap w:val="0"/>
    </w:pPr>
    <w:rPr>
      <w:rFonts w:asciiTheme="minorHAnsi" w:hAnsiTheme="minorHAnsi" w:eastAsiaTheme="minorHAnsi" w:cstheme="minorBidi"/>
    </w:rPr>
  </w:style>
  <w:style w:type="character" w:customStyle="1" w:styleId="265">
    <w:name w:val="KeywordTok2"/>
    <w:qFormat/>
    <w:uiPriority w:val="0"/>
    <w:rPr>
      <w:b/>
      <w:color w:val="204A87"/>
      <w:shd w:val="clear" w:fill="F8F8F8"/>
    </w:rPr>
  </w:style>
  <w:style w:type="character" w:customStyle="1" w:styleId="266">
    <w:name w:val="DataTypeTok2"/>
    <w:qFormat/>
    <w:uiPriority w:val="0"/>
    <w:rPr>
      <w:color w:val="204A87"/>
      <w:shd w:val="clear" w:fill="F8F8F8"/>
    </w:rPr>
  </w:style>
  <w:style w:type="character" w:customStyle="1" w:styleId="267">
    <w:name w:val="DecValTok2"/>
    <w:qFormat/>
    <w:uiPriority w:val="0"/>
    <w:rPr>
      <w:color w:val="0000CF"/>
      <w:shd w:val="clear" w:fill="F8F8F8"/>
    </w:rPr>
  </w:style>
  <w:style w:type="character" w:customStyle="1" w:styleId="268">
    <w:name w:val="BaseNTok2"/>
    <w:qFormat/>
    <w:uiPriority w:val="0"/>
    <w:rPr>
      <w:color w:val="0000CF"/>
      <w:shd w:val="clear" w:fill="F8F8F8"/>
    </w:rPr>
  </w:style>
  <w:style w:type="character" w:customStyle="1" w:styleId="269">
    <w:name w:val="FloatTok2"/>
    <w:qFormat/>
    <w:uiPriority w:val="0"/>
    <w:rPr>
      <w:color w:val="0000CF"/>
      <w:shd w:val="clear" w:fill="F8F8F8"/>
    </w:rPr>
  </w:style>
  <w:style w:type="character" w:customStyle="1" w:styleId="270">
    <w:name w:val="ConstantTok2"/>
    <w:qFormat/>
    <w:uiPriority w:val="0"/>
    <w:rPr>
      <w:color w:val="000000"/>
      <w:shd w:val="clear" w:fill="F8F8F8"/>
    </w:rPr>
  </w:style>
  <w:style w:type="character" w:customStyle="1" w:styleId="271">
    <w:name w:val="CharTok2"/>
    <w:qFormat/>
    <w:uiPriority w:val="0"/>
    <w:rPr>
      <w:color w:val="4E9A06"/>
      <w:shd w:val="clear" w:fill="F8F8F8"/>
    </w:rPr>
  </w:style>
  <w:style w:type="character" w:customStyle="1" w:styleId="272">
    <w:name w:val="SpecialCharTok2"/>
    <w:qFormat/>
    <w:uiPriority w:val="0"/>
    <w:rPr>
      <w:color w:val="000000"/>
      <w:shd w:val="clear" w:fill="F8F8F8"/>
    </w:rPr>
  </w:style>
  <w:style w:type="character" w:customStyle="1" w:styleId="273">
    <w:name w:val="StringTok2"/>
    <w:qFormat/>
    <w:uiPriority w:val="0"/>
    <w:rPr>
      <w:color w:val="4E9A06"/>
      <w:shd w:val="clear" w:fill="F8F8F8"/>
    </w:rPr>
  </w:style>
  <w:style w:type="character" w:customStyle="1" w:styleId="274">
    <w:name w:val="VerbatimStringTok2"/>
    <w:qFormat/>
    <w:uiPriority w:val="0"/>
    <w:rPr>
      <w:color w:val="4E9A06"/>
      <w:shd w:val="clear" w:fill="F8F8F8"/>
    </w:rPr>
  </w:style>
  <w:style w:type="character" w:customStyle="1" w:styleId="275">
    <w:name w:val="SpecialStringTok2"/>
    <w:qFormat/>
    <w:uiPriority w:val="0"/>
    <w:rPr>
      <w:color w:val="4E9A06"/>
      <w:shd w:val="clear" w:fill="F8F8F8"/>
    </w:rPr>
  </w:style>
  <w:style w:type="character" w:customStyle="1" w:styleId="276">
    <w:name w:val="ImportTok2"/>
    <w:qFormat/>
    <w:uiPriority w:val="0"/>
    <w:rPr>
      <w:shd w:val="clear" w:fill="F8F8F8"/>
    </w:rPr>
  </w:style>
  <w:style w:type="character" w:customStyle="1" w:styleId="277">
    <w:name w:val="CommentTok2"/>
    <w:qFormat/>
    <w:uiPriority w:val="0"/>
    <w:rPr>
      <w:i/>
      <w:color w:val="8F5902"/>
      <w:shd w:val="clear" w:fill="F8F8F8"/>
    </w:rPr>
  </w:style>
  <w:style w:type="character" w:customStyle="1" w:styleId="278">
    <w:name w:val="DocumentationTok2"/>
    <w:qFormat/>
    <w:uiPriority w:val="0"/>
    <w:rPr>
      <w:b/>
      <w:i/>
      <w:color w:val="8F5902"/>
      <w:shd w:val="clear" w:fill="F8F8F8"/>
    </w:rPr>
  </w:style>
  <w:style w:type="character" w:customStyle="1" w:styleId="279">
    <w:name w:val="AnnotationTok2"/>
    <w:qFormat/>
    <w:uiPriority w:val="0"/>
    <w:rPr>
      <w:b/>
      <w:i/>
      <w:color w:val="8F5902"/>
      <w:shd w:val="clear" w:fill="F8F8F8"/>
    </w:rPr>
  </w:style>
  <w:style w:type="character" w:customStyle="1" w:styleId="280">
    <w:name w:val="CommentVarTok2"/>
    <w:qFormat/>
    <w:uiPriority w:val="0"/>
    <w:rPr>
      <w:b/>
      <w:i/>
      <w:color w:val="8F5902"/>
      <w:shd w:val="clear" w:fill="F8F8F8"/>
    </w:rPr>
  </w:style>
  <w:style w:type="character" w:customStyle="1" w:styleId="281">
    <w:name w:val="OtherTok2"/>
    <w:qFormat/>
    <w:uiPriority w:val="0"/>
    <w:rPr>
      <w:color w:val="8F5902"/>
      <w:shd w:val="clear" w:fill="F8F8F8"/>
    </w:rPr>
  </w:style>
  <w:style w:type="character" w:customStyle="1" w:styleId="282">
    <w:name w:val="FunctionTok2"/>
    <w:qFormat/>
    <w:uiPriority w:val="0"/>
    <w:rPr>
      <w:color w:val="000000"/>
      <w:shd w:val="clear" w:fill="F8F8F8"/>
    </w:rPr>
  </w:style>
  <w:style w:type="character" w:customStyle="1" w:styleId="283">
    <w:name w:val="VariableTok2"/>
    <w:qFormat/>
    <w:uiPriority w:val="0"/>
    <w:rPr>
      <w:color w:val="000000"/>
      <w:shd w:val="clear" w:fill="F8F8F8"/>
    </w:rPr>
  </w:style>
  <w:style w:type="character" w:customStyle="1" w:styleId="284">
    <w:name w:val="ControlFlowTok2"/>
    <w:qFormat/>
    <w:uiPriority w:val="0"/>
    <w:rPr>
      <w:b/>
      <w:color w:val="204A87"/>
      <w:shd w:val="clear" w:fill="F8F8F8"/>
    </w:rPr>
  </w:style>
  <w:style w:type="character" w:customStyle="1" w:styleId="285">
    <w:name w:val="OperatorTok2"/>
    <w:qFormat/>
    <w:uiPriority w:val="0"/>
    <w:rPr>
      <w:b/>
      <w:color w:val="CE5C00"/>
      <w:shd w:val="clear" w:fill="F8F8F8"/>
    </w:rPr>
  </w:style>
  <w:style w:type="character" w:customStyle="1" w:styleId="286">
    <w:name w:val="BuiltInTok2"/>
    <w:qFormat/>
    <w:uiPriority w:val="0"/>
    <w:rPr>
      <w:shd w:val="clear" w:fill="F8F8F8"/>
    </w:rPr>
  </w:style>
  <w:style w:type="character" w:customStyle="1" w:styleId="287">
    <w:name w:val="ExtensionTok2"/>
    <w:qFormat/>
    <w:uiPriority w:val="0"/>
    <w:rPr>
      <w:shd w:val="clear" w:fill="F8F8F8"/>
    </w:rPr>
  </w:style>
  <w:style w:type="character" w:customStyle="1" w:styleId="288">
    <w:name w:val="PreprocessorTok2"/>
    <w:qFormat/>
    <w:uiPriority w:val="0"/>
    <w:rPr>
      <w:i/>
      <w:color w:val="8F5902"/>
      <w:shd w:val="clear" w:fill="F8F8F8"/>
    </w:rPr>
  </w:style>
  <w:style w:type="character" w:customStyle="1" w:styleId="289">
    <w:name w:val="AttributeTok2"/>
    <w:qFormat/>
    <w:uiPriority w:val="0"/>
    <w:rPr>
      <w:color w:val="C4A000"/>
      <w:shd w:val="clear" w:fill="F8F8F8"/>
    </w:rPr>
  </w:style>
  <w:style w:type="character" w:customStyle="1" w:styleId="290">
    <w:name w:val="RegionMarkerTok2"/>
    <w:qFormat/>
    <w:uiPriority w:val="0"/>
    <w:rPr>
      <w:shd w:val="clear" w:fill="F8F8F8"/>
    </w:rPr>
  </w:style>
  <w:style w:type="character" w:customStyle="1" w:styleId="291">
    <w:name w:val="InformationTok2"/>
    <w:qFormat/>
    <w:uiPriority w:val="0"/>
    <w:rPr>
      <w:b/>
      <w:i/>
      <w:color w:val="8F5902"/>
      <w:shd w:val="clear" w:fill="F8F8F8"/>
    </w:rPr>
  </w:style>
  <w:style w:type="character" w:customStyle="1" w:styleId="292">
    <w:name w:val="WarningTok2"/>
    <w:qFormat/>
    <w:uiPriority w:val="0"/>
    <w:rPr>
      <w:b/>
      <w:i/>
      <w:color w:val="8F5902"/>
      <w:shd w:val="clear" w:fill="F8F8F8"/>
    </w:rPr>
  </w:style>
  <w:style w:type="character" w:customStyle="1" w:styleId="293">
    <w:name w:val="AlertTok2"/>
    <w:qFormat/>
    <w:uiPriority w:val="0"/>
    <w:rPr>
      <w:color w:val="EF2929"/>
      <w:shd w:val="clear" w:fill="F8F8F8"/>
    </w:rPr>
  </w:style>
  <w:style w:type="character" w:customStyle="1" w:styleId="294">
    <w:name w:val="ErrorTok2"/>
    <w:qFormat/>
    <w:uiPriority w:val="0"/>
    <w:rPr>
      <w:b/>
      <w:color w:val="A40000"/>
      <w:shd w:val="clear" w:fill="F8F8F8"/>
    </w:rPr>
  </w:style>
  <w:style w:type="character" w:customStyle="1" w:styleId="295">
    <w:name w:val="NormalTok2"/>
    <w:qFormat/>
    <w:uiPriority w:val="0"/>
    <w:rPr>
      <w:shd w:val="clear" w:fill="F8F8F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TotalTime>1</TotalTime>
  <ScaleCrop>false</ScaleCrop>
  <LinksUpToDate>false</LinksUpToDate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2025-03-06T16:17:00Z</dcterms:created>
  <dc:creator>echo</dc:creator>
  <cp:lastModifiedBy>echo</cp:lastModifiedBy>
  <dcterms:modified xsi:type="dcterms:W3CDTF">2025-03-06T16:18:48Z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/home/echo/utils.tool/inst/extdata/library.bib</vt:lpwstr>
  </property>
  <property fmtid="{D5CDD505-2E9C-101B-9397-08002B2CF9AE}" pid="3" name="csl">
    <vt:lpwstr>/home/echo/utils.tool/inst/extdata/nature.csl</vt:lpwstr>
  </property>
  <property fmtid="{D5CDD505-2E9C-101B-9397-08002B2CF9AE}" pid="4" name="output">
    <vt:lpwstr/>
  </property>
  <property fmtid="{D5CDD505-2E9C-101B-9397-08002B2CF9AE}" pid="5" name="reference-section-title">
    <vt:lpwstr>Reference</vt:lpwstr>
  </property>
  <property fmtid="{D5CDD505-2E9C-101B-9397-08002B2CF9AE}" pid="6" name="KSOProductBuildVer">
    <vt:lpwstr>1033-12.1.0.17900</vt:lpwstr>
  </property>
  <property fmtid="{D5CDD505-2E9C-101B-9397-08002B2CF9AE}" pid="7" name="ICV">
    <vt:lpwstr>521633D33C268C50685AC967D71945E6_42</vt:lpwstr>
  </property>
</Properties>
</file>