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98C8F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4CC5C19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3F01494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625C066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5E37C59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rFonts w:ascii="Microsoft YaHei" w:hAnsi="Microsoft YaHei" w:eastAsia="Microsoft YaHei" w:cs="Microsoft YaHei"/>
          <w:b/>
          <w:i w:val="0"/>
          <w:color w:val="000000"/>
          <w:sz w:val="52"/>
          <w:szCs w:val="52"/>
          <w:u w:val="none"/>
        </w:rPr>
        <w:t>生信分析报告</w:t>
      </w:r>
    </w:p>
    <w:p w14:paraId="19E166B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3073B44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7BFAA53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27425EA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项目标题：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高级别浆液性卵巢癌              ;</w:t>
      </w:r>
    </w:p>
    <w:p w14:paraId="68E0D27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单    号：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BSXN240936                  ;</w:t>
      </w:r>
    </w:p>
    <w:p w14:paraId="2C67F8C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分析人员：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黄礼闯                    ;</w:t>
      </w:r>
    </w:p>
    <w:p w14:paraId="3A85CBB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分析类型：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生信协助                   ;</w:t>
      </w:r>
    </w:p>
    <w:p w14:paraId="15BCE61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委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 李扬                     ;</w:t>
      </w:r>
    </w:p>
    <w:p w14:paraId="1E2DA83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受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杭州铂赛生物科技有限公司           .</w:t>
      </w:r>
    </w:p>
    <w:p w14:paraId="5740CC28">
      <w:r>
        <w:br w:type="page"/>
      </w:r>
    </w:p>
    <w:p w14:paraId="394EB57E">
      <w:pPr>
        <w:pStyle w:val="2"/>
      </w:pPr>
      <w:bookmarkStart w:id="0" w:name="abstract"/>
      <w:r>
        <w:t>1</w:t>
      </w:r>
      <w:r>
        <w:tab/>
        <w:t>分析流程</w:t>
      </w:r>
      <w:bookmarkEnd w:id="0"/>
    </w:p>
    <w:p w14:paraId="03D73F96">
      <w:pPr>
        <w:pStyle w:val="186"/>
        <w:numPr>
          <w:ilvl w:val="0"/>
          <w:numId w:val="1"/>
        </w:numPr>
      </w:pPr>
      <w:r>
        <w:t>GTSE1 在 HGSOC 中高表达促进肿瘤增值与迁移。 GTSE1 与化疗耐药有关。在卵巢癌 (HGSOC) 中的表达，在化疗耐药卵巢癌数据集中的表达。</w:t>
      </w:r>
    </w:p>
    <w:p w14:paraId="3D652F21">
      <w:pPr>
        <w:pStyle w:val="186"/>
        <w:numPr>
          <w:ilvl w:val="0"/>
          <w:numId w:val="1"/>
        </w:numPr>
      </w:pPr>
      <w:r>
        <w:t>GTSE1 的 mRNA 序列上的 m6A 甲基化，GTSE1可能主要被ALKBH5、IGF2BP1、METTL14、METTL3、YTHDF1、YTHDF2。 GTSE1与甲基化相关酶的表达进行相关性分析</w:t>
      </w:r>
    </w:p>
    <w:p w14:paraId="6329B61C">
      <w:pPr>
        <w:pStyle w:val="38"/>
      </w:pPr>
      <w:r>
        <w:drawing>
          <wp:inline distT="0" distB="0" distL="0" distR="0">
            <wp:extent cx="5669280" cy="5102225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708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878791">
      <w:pPr>
        <w:pStyle w:val="194"/>
      </w:pPr>
      <w:r>
        <w:rPr>
          <w:b/>
        </w:rPr>
        <w:t xml:space="preserve">Fig. </w:t>
      </w:r>
      <w:bookmarkStart w:id="1" w:name="Route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1"/>
      <w:r>
        <w:rPr>
          <w:b/>
        </w:rPr>
        <w:t xml:space="preserve"> </w:t>
      </w:r>
      <w:r>
        <w:t>Route</w:t>
      </w:r>
    </w:p>
    <w:p w14:paraId="4A68875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Figure+Table/1.0_分析流程_{#abstract}/Route.pdf)</w:t>
      </w:r>
    </w:p>
    <w:p w14:paraId="402AA1D6">
      <w:pPr>
        <w:pStyle w:val="2"/>
      </w:pPr>
      <w:bookmarkStart w:id="2" w:name="introduction"/>
      <w:r>
        <w:t>2</w:t>
      </w:r>
      <w:r>
        <w:tab/>
        <w:t>材料和方法</w:t>
      </w:r>
      <w:bookmarkEnd w:id="2"/>
    </w:p>
    <w:p w14:paraId="685C6D11">
      <w:pPr>
        <w:pStyle w:val="4"/>
      </w:pPr>
      <w:bookmarkStart w:id="3" w:name="数据分析平台"/>
      <w:r>
        <w:t>2.1</w:t>
      </w:r>
      <w:r>
        <w:tab/>
        <w:t>数据分析平台</w:t>
      </w:r>
      <w:bookmarkEnd w:id="3"/>
    </w:p>
    <w:p w14:paraId="44D04CFC">
      <w:pPr>
        <w:pStyle w:val="38"/>
      </w:pPr>
      <w:r>
        <w:t>在 Linux pop-os x86_64 (6.9.3-76060903-generic) 上，使用 R version 4.4.2 (2024-10-31) (</w:t>
      </w:r>
      <w:r>
        <w:fldChar w:fldCharType="begin"/>
      </w:r>
      <w:r>
        <w:instrText xml:space="preserve"> HYPERLINK "https://www.r-project.org/" \h </w:instrText>
      </w:r>
      <w:r>
        <w:fldChar w:fldCharType="separate"/>
      </w:r>
      <w:r>
        <w:rPr>
          <w:rStyle w:val="24"/>
        </w:rPr>
        <w:t>https://www.r-project.org/</w:t>
      </w:r>
      <w:r>
        <w:rPr>
          <w:rStyle w:val="24"/>
        </w:rPr>
        <w:fldChar w:fldCharType="end"/>
      </w:r>
      <w:r>
        <w:t>) 对数据统计分析与整合分析。</w:t>
      </w:r>
    </w:p>
    <w:p w14:paraId="08B47962">
      <w:pPr>
        <w:pStyle w:val="4"/>
      </w:pPr>
      <w:bookmarkStart w:id="4" w:name="gse-数据搜索-dataset-hgsoc"/>
      <w:r>
        <w:t>2.2</w:t>
      </w:r>
      <w:r>
        <w:tab/>
        <w:t>GSE 数据搜索 (Dataset: HGSOC)</w:t>
      </w:r>
      <w:bookmarkEnd w:id="4"/>
    </w:p>
    <w:p w14:paraId="254306A1">
      <w:pPr>
        <w:pStyle w:val="38"/>
      </w:pPr>
      <w:r>
        <w:t xml:space="preserve">使用 Entrez Direct (EDirect) </w:t>
      </w:r>
      <w:r>
        <w:fldChar w:fldCharType="begin"/>
      </w:r>
      <w:r>
        <w:instrText xml:space="preserve"> HYPERLINK "https://www.ncbi.nlm.nih.gov/books/NBK3837/" \h </w:instrText>
      </w:r>
      <w:r>
        <w:fldChar w:fldCharType="separate"/>
      </w:r>
      <w:r>
        <w:rPr>
          <w:rStyle w:val="24"/>
        </w:rPr>
        <w:t>https://www.ncbi.nlm.nih.gov/books/NBK3837/</w:t>
      </w:r>
      <w:r>
        <w:rPr>
          <w:rStyle w:val="24"/>
        </w:rPr>
        <w:fldChar w:fldCharType="end"/>
      </w:r>
      <w:r>
        <w:t xml:space="preserve"> 搜索 GEO 数据库 (</w:t>
      </w:r>
      <w:r>
        <w:rPr>
          <w:rStyle w:val="197"/>
        </w:rPr>
        <w:t>esearch -db gds</w:t>
      </w:r>
      <w:r>
        <w:t>)，查询信息为: ((high-grade serous ovarian cancer[Description] AND (normal[Description]) AND ((6:1000[Number of Samples]) AND (GSE[Entry Type]) AND (Homo Sapiens[Organism]))。 以正则匹配，滤除包含 ‘single cell’ 或 ‘scRNA’ 的数据例。仅查询临床样本信息，因此滤除匹配到 ‘cells’, ‘cell type’ 或 ‘cell line’ 的实验数据例。 此外，去除了以特定 Marker 细胞类型为研究对象的数据例 (CD4、CD8 T 细胞等)。仅获取类型包含 ‘Expression profiling by high throughput sequencing’ 或 ‘Expression profiling by array’ 的数据例。</w:t>
      </w:r>
    </w:p>
    <w:p w14:paraId="0E2C47FF">
      <w:pPr>
        <w:pStyle w:val="4"/>
      </w:pPr>
      <w:bookmarkStart w:id="5" w:name="geo-数据获取-dataset-hgsoc"/>
      <w:r>
        <w:t>2.3</w:t>
      </w:r>
      <w:r>
        <w:tab/>
        <w:t>GEO 数据获取 (Dataset: HGSOC)</w:t>
      </w:r>
      <w:bookmarkEnd w:id="5"/>
    </w:p>
    <w:p w14:paraId="34BE564F">
      <w:pPr>
        <w:pStyle w:val="38"/>
      </w:pPr>
      <w:r>
        <w:t xml:space="preserve">以 R 包 </w:t>
      </w:r>
      <w:r>
        <w:rPr>
          <w:rStyle w:val="197"/>
        </w:rPr>
        <w:t>GEOquery</w:t>
      </w:r>
      <w:r>
        <w:t xml:space="preserve"> (2.74.0) 获取 GSE146553 数据集。</w:t>
      </w:r>
    </w:p>
    <w:p w14:paraId="0A731C96">
      <w:pPr>
        <w:pStyle w:val="4"/>
      </w:pPr>
      <w:bookmarkStart w:id="6" w:name="limma-差异分析-dataset-hgsoc"/>
      <w:r>
        <w:t>2.4</w:t>
      </w:r>
      <w:r>
        <w:tab/>
        <w:t>Limma 差异分析 (Dataset: HGSOC)</w:t>
      </w:r>
      <w:bookmarkEnd w:id="6"/>
    </w:p>
    <w:p w14:paraId="35DF6F7C">
      <w:pPr>
        <w:pStyle w:val="38"/>
      </w:pPr>
      <w:r>
        <w:t xml:space="preserve">使用 </w:t>
      </w:r>
      <w:r>
        <w:rPr>
          <w:rStyle w:val="197"/>
        </w:rPr>
        <w:t>log2</w:t>
      </w:r>
      <w:r>
        <w:t xml:space="preserve"> 和 </w:t>
      </w:r>
      <w:r>
        <w:rPr>
          <w:rStyle w:val="197"/>
        </w:rPr>
        <w:t>limma::normalizeBetweenArrays</w:t>
      </w:r>
      <w:r>
        <w:t xml:space="preserve"> 对数据标准化。 以 </w:t>
      </w:r>
      <w:r>
        <w:rPr>
          <w:rStyle w:val="197"/>
        </w:rPr>
        <w:t>limma</w:t>
      </w:r>
      <w:r>
        <w:t xml:space="preserve"> (3.62.1) (2005)</w:t>
      </w:r>
      <w:r>
        <w:rPr>
          <w:vertAlign w:val="superscript"/>
        </w:rPr>
        <w:t>1</w:t>
      </w:r>
      <w:r>
        <w:t xml:space="preserve"> 差异分析。创建设计矩阵，对比矩阵，差异分析：hgsoc vs normal。使用 </w:t>
      </w:r>
      <w:r>
        <w:rPr>
          <w:rStyle w:val="197"/>
        </w:rPr>
        <w:t>limma::lmFit</w:t>
      </w:r>
      <w:r>
        <w:t xml:space="preserve">, </w:t>
      </w:r>
      <w:r>
        <w:rPr>
          <w:rStyle w:val="197"/>
        </w:rPr>
        <w:t>limma::contrasts.fit</w:t>
      </w:r>
      <w:r>
        <w:t xml:space="preserve">, </w:t>
      </w:r>
      <w:r>
        <w:rPr>
          <w:rStyle w:val="197"/>
        </w:rPr>
        <w:t>limma::eBayes</w:t>
      </w:r>
      <w:r>
        <w:t xml:space="preserve"> 拟合线形模型。以 </w:t>
      </w:r>
      <w:r>
        <w:rPr>
          <w:rStyle w:val="197"/>
        </w:rPr>
        <w:t>limma::topTable</w:t>
      </w:r>
      <w:r>
        <w:t xml:space="preserve"> 提取所有结果，并过滤得到 P.Value 小于 0.05，|Log2(FC)| 大于 0.5 的统计结果。</w:t>
      </w:r>
    </w:p>
    <w:p w14:paraId="57E844FE">
      <w:pPr>
        <w:pStyle w:val="4"/>
      </w:pPr>
      <w:bookmarkStart w:id="7" w:name="gse-数据搜索"/>
      <w:r>
        <w:t>2.5</w:t>
      </w:r>
      <w:r>
        <w:tab/>
        <w:t>GSE 数据搜索</w:t>
      </w:r>
      <w:bookmarkEnd w:id="7"/>
    </w:p>
    <w:p w14:paraId="62D19A61">
      <w:pPr>
        <w:pStyle w:val="38"/>
      </w:pPr>
      <w:r>
        <w:t xml:space="preserve">使用 Entrez Direct (EDirect) </w:t>
      </w:r>
      <w:r>
        <w:fldChar w:fldCharType="begin"/>
      </w:r>
      <w:r>
        <w:instrText xml:space="preserve"> HYPERLINK "https://www.ncbi.nlm.nih.gov/books/NBK3837/" \h </w:instrText>
      </w:r>
      <w:r>
        <w:fldChar w:fldCharType="separate"/>
      </w:r>
      <w:r>
        <w:rPr>
          <w:rStyle w:val="24"/>
        </w:rPr>
        <w:t>https://www.ncbi.nlm.nih.gov/books/NBK3837/</w:t>
      </w:r>
      <w:r>
        <w:rPr>
          <w:rStyle w:val="24"/>
        </w:rPr>
        <w:fldChar w:fldCharType="end"/>
      </w:r>
      <w:r>
        <w:t xml:space="preserve"> 搜索 GEO 数据库 (</w:t>
      </w:r>
      <w:r>
        <w:rPr>
          <w:rStyle w:val="197"/>
        </w:rPr>
        <w:t>esearch -db gds</w:t>
      </w:r>
      <w:r>
        <w:t>)，查询信息为: ((high-grade serous ovarian cancer[Description] AND (Drug resistance[Description]) AND ((6:1000[Number of Samples]) AND (GSE[Entry Type]) AND (Homo Sapiens[Organism]))。</w:t>
      </w:r>
    </w:p>
    <w:p w14:paraId="686CB32B">
      <w:pPr>
        <w:pStyle w:val="4"/>
      </w:pPr>
      <w:bookmarkStart w:id="8" w:name="geo-数据获取-dataset-hgsoc_res"/>
      <w:r>
        <w:t>2.6</w:t>
      </w:r>
      <w:r>
        <w:tab/>
        <w:t>GEO 数据获取 (Dataset: HGSOC_RES)</w:t>
      </w:r>
      <w:bookmarkEnd w:id="8"/>
    </w:p>
    <w:p w14:paraId="5B6995F0">
      <w:pPr>
        <w:pStyle w:val="38"/>
      </w:pPr>
      <w:r>
        <w:t xml:space="preserve">以 R 包 </w:t>
      </w:r>
      <w:r>
        <w:rPr>
          <w:rStyle w:val="197"/>
        </w:rPr>
        <w:t>GEOquery</w:t>
      </w:r>
      <w:r>
        <w:t xml:space="preserve"> (2.74.0) 获取 GSE141630 数据集。</w:t>
      </w:r>
    </w:p>
    <w:p w14:paraId="7A804451">
      <w:pPr>
        <w:pStyle w:val="4"/>
      </w:pPr>
      <w:bookmarkStart w:id="9" w:name="limma-差异分析-dataset-hgsoc_res"/>
      <w:r>
        <w:t>2.7</w:t>
      </w:r>
      <w:r>
        <w:tab/>
        <w:t>Limma 差异分析 (Dataset: HGSOC_RES)</w:t>
      </w:r>
      <w:bookmarkEnd w:id="9"/>
    </w:p>
    <w:p w14:paraId="14BE20DF">
      <w:pPr>
        <w:pStyle w:val="38"/>
      </w:pPr>
      <w:r>
        <w:t xml:space="preserve">以 </w:t>
      </w:r>
      <w:r>
        <w:rPr>
          <w:rStyle w:val="197"/>
        </w:rPr>
        <w:t>limma</w:t>
      </w:r>
      <w:r>
        <w:t xml:space="preserve"> (3.62.1) (2005)</w:t>
      </w:r>
      <w:r>
        <w:rPr>
          <w:vertAlign w:val="superscript"/>
        </w:rPr>
        <w:t>1</w:t>
      </w:r>
      <w:r>
        <w:t xml:space="preserve"> 差异分析。分析方法参考 </w:t>
      </w:r>
      <w:r>
        <w:fldChar w:fldCharType="begin"/>
      </w:r>
      <w:r>
        <w:instrText xml:space="preserve"> HYPERLINK "https://bioconductor.org/packages/release/workflows/vignettes/RNAseq123/inst/doc/limmaWorkflow.html" \h </w:instrText>
      </w:r>
      <w:r>
        <w:fldChar w:fldCharType="separate"/>
      </w:r>
      <w:r>
        <w:rPr>
          <w:rStyle w:val="24"/>
        </w:rPr>
        <w:t>https://bioconductor.org/packages/release/workflows/vignettes/RNAseq123/inst/doc/limmaWorkflow.html</w:t>
      </w:r>
      <w:r>
        <w:rPr>
          <w:rStyle w:val="24"/>
        </w:rPr>
        <w:fldChar w:fldCharType="end"/>
      </w:r>
      <w:r>
        <w:t xml:space="preserve">。创建设计矩阵，对比矩阵，差异分析：carboplatin_resistant vs sensitive。使用 </w:t>
      </w:r>
      <w:r>
        <w:rPr>
          <w:rStyle w:val="197"/>
        </w:rPr>
        <w:t>limma::lmFit</w:t>
      </w:r>
      <w:r>
        <w:t xml:space="preserve">, </w:t>
      </w:r>
      <w:r>
        <w:rPr>
          <w:rStyle w:val="197"/>
        </w:rPr>
        <w:t>limma::contrasts.fit</w:t>
      </w:r>
      <w:r>
        <w:t xml:space="preserve">, </w:t>
      </w:r>
      <w:r>
        <w:rPr>
          <w:rStyle w:val="197"/>
        </w:rPr>
        <w:t>limma::eBayes</w:t>
      </w:r>
      <w:r>
        <w:t xml:space="preserve"> 拟合线形模型。以 </w:t>
      </w:r>
      <w:r>
        <w:rPr>
          <w:rStyle w:val="197"/>
        </w:rPr>
        <w:t>limma::topTable</w:t>
      </w:r>
      <w:r>
        <w:t xml:space="preserve"> 提取所有结果，并过滤得到 P.Value 小于 0.05，|Log2(FC)| 大于 0.5 的统计结果。</w:t>
      </w:r>
    </w:p>
    <w:p w14:paraId="59CFCA27">
      <w:pPr>
        <w:pStyle w:val="4"/>
      </w:pPr>
      <w:bookmarkStart w:id="10" w:name="epifactors-表观遗传调控因子数据获取-dataset-m6a"/>
      <w:r>
        <w:t>2.8</w:t>
      </w:r>
      <w:r>
        <w:tab/>
        <w:t>EpiFactors 表观遗传调控因子数据获取 (Dataset: M6A)</w:t>
      </w:r>
      <w:bookmarkEnd w:id="10"/>
    </w:p>
    <w:p w14:paraId="16B261F4">
      <w:pPr>
        <w:pStyle w:val="38"/>
      </w:pPr>
      <w:r>
        <w:t xml:space="preserve">从数据库 </w:t>
      </w:r>
      <w:r>
        <w:rPr>
          <w:rStyle w:val="197"/>
        </w:rPr>
        <w:t>EpiFactors</w:t>
      </w:r>
      <w:r>
        <w:t xml:space="preserve"> (2023, </w:t>
      </w:r>
      <w:r>
        <w:rPr>
          <w:b/>
        </w:rPr>
        <w:t>IF:16.6</w:t>
      </w:r>
      <w:r>
        <w:t>, Q1, Nucleic acids research)</w:t>
      </w:r>
      <w:r>
        <w:rPr>
          <w:vertAlign w:val="superscript"/>
        </w:rPr>
        <w:t>2</w:t>
      </w:r>
      <w:r>
        <w:t xml:space="preserve"> 获取表观遗传调控蛋白的数据。</w:t>
      </w:r>
    </w:p>
    <w:p w14:paraId="00D4A26D">
      <w:pPr>
        <w:pStyle w:val="2"/>
      </w:pPr>
      <w:bookmarkStart w:id="11" w:name="workflow"/>
      <w:r>
        <w:t>3</w:t>
      </w:r>
      <w:r>
        <w:tab/>
        <w:t>分析结果</w:t>
      </w:r>
      <w:bookmarkEnd w:id="11"/>
    </w:p>
    <w:p w14:paraId="30AACEBF">
      <w:pPr>
        <w:pStyle w:val="4"/>
      </w:pPr>
      <w:bookmarkStart w:id="12" w:name="gse-数据搜索-hgsoc"/>
      <w:r>
        <w:t>3.1</w:t>
      </w:r>
      <w:r>
        <w:tab/>
        <w:t>GSE 数据搜索 (HGSOC)</w:t>
      </w:r>
      <w:bookmarkEnd w:id="12"/>
    </w:p>
    <w:p w14:paraId="356C920E">
      <w:pPr>
        <w:pStyle w:val="38"/>
      </w:pPr>
      <w:r>
        <w:t>以 Entrez Direct (EDirect) 搜索 GEO 数据库 (检索条件见方法章节) 。</w:t>
      </w:r>
    </w:p>
    <w:p w14:paraId="1D9BEE12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13" w:name="High-grade-serous-ovarian-cancer-EDirect-query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13"/>
      <w:r>
        <w:rPr>
          <w:b/>
        </w:rPr>
        <w:t xml:space="preserve">  </w:t>
      </w:r>
      <w:r>
        <w:t>High grade serous ovarian cancer EDirect query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 w14:paraId="7A4FAE17"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68F44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GSE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4AE2C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Title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40DF3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Summary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89E36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Taxon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6F8E9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GdsType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16B39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 samples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C3325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PubMedIds</w:t>
            </w:r>
          </w:p>
        </w:tc>
      </w:tr>
      <w:tr w14:paraId="304B253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B8A58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GSE209964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91275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 count...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5E77B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Transcript...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047F9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Homo sapiens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7507F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Expression...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8F6BF4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128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A60286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PRJNA863245</w:t>
            </w:r>
          </w:p>
        </w:tc>
      </w:tr>
      <w:tr w14:paraId="3C22844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2F34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GSE181955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51903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 expre...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CDD98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We report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C85E9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Homo sapiens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29CD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Expression...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5880F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6B8AF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PRJNA754050</w:t>
            </w:r>
          </w:p>
        </w:tc>
      </w:tr>
      <w:tr w14:paraId="76F880D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F1911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GSE146556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4DAE2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Global DNA...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67414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This Super...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339FF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Homo sapiens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E7967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Methylatio...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9334F2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139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DA9B6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PRJNA610846</w:t>
            </w:r>
          </w:p>
        </w:tc>
      </w:tr>
      <w:tr w14:paraId="359487A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43AA4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GSE146553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6C428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Global DNA...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8DDF83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Comparison...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FA6AC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Homo sapiens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EDFB1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Expression...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DC45FC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81A16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PRJNA610853</w:t>
            </w:r>
          </w:p>
        </w:tc>
      </w:tr>
      <w:tr w14:paraId="76B90819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8751B3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GSE135886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96EF7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LncRNA and...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79D82F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Ovarian ca...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5D748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Homo sapiens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1385A3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Expression...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A1976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C5F2C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PRJNA560410</w:t>
            </w:r>
          </w:p>
        </w:tc>
      </w:tr>
      <w:tr w14:paraId="51995A1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7DB33B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7D9D8B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0C6833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5B5D86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E6743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BE1C4F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7B9273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3AFC305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Figure+Table/3.1_GSE_数据搜索_(HGSOC)/High-grade-serous-ovarian-cancer-EDirect-query.xlsx)</w:t>
      </w:r>
    </w:p>
    <w:p w14:paraId="5B4509AC">
      <w:pPr>
        <w:pStyle w:val="4"/>
      </w:pPr>
      <w:bookmarkStart w:id="14" w:name="geo-数据获取-hgsoc"/>
      <w:r>
        <w:t>3.2</w:t>
      </w:r>
      <w:r>
        <w:tab/>
        <w:t>GEO 数据获取 (HGSOC)</w:t>
      </w:r>
      <w:bookmarkEnd w:id="14"/>
    </w:p>
    <w:p w14:paraId="07A5ACF7">
      <w:pPr>
        <w:pStyle w:val="4"/>
      </w:pPr>
      <w:bookmarkStart w:id="15" w:name="limma-差异分析-hgsoc"/>
      <w:r>
        <w:t>3.3</w:t>
      </w:r>
      <w:r>
        <w:tab/>
        <w:t>Limma 差异分析 (HGSOC)</w:t>
      </w:r>
      <w:bookmarkEnd w:id="15"/>
    </w:p>
    <w:p w14:paraId="150136A3">
      <w:pPr>
        <w:pStyle w:val="38"/>
      </w:pPr>
      <w:r>
        <w:t>筛选 group 为 “normal”, “hgsoc”，最终得到 43 例数据。样本分组：hgsoc (n=40) , normal (n=3) , Others (n=0) 。以 公式 ~ 0 + group 创建设计矩阵 (design matrix) 。差异分析：hgsoc vs normal。(若 A vs B，则为前者比后者，LogFC 大于 0 时，A 表达量高于 B)。上调或下调 DEGs 统计：up (n=1992) , down (n=2347)</w:t>
      </w:r>
    </w:p>
    <w:p w14:paraId="3C8C5BE5">
      <w:pPr>
        <w:pStyle w:val="3"/>
      </w:pPr>
      <w:r>
        <w:t xml:space="preserve">Fig. </w:t>
      </w:r>
      <w:r>
        <w:fldChar w:fldCharType="begin"/>
      </w:r>
      <w:r>
        <w:instrText xml:space="preserve"> HYPERLINK \l "HGSOC-Box-Plot-Of-DEGs" \h </w:instrText>
      </w:r>
      <w:r>
        <w:fldChar w:fldCharType="separate"/>
      </w:r>
      <w:r>
        <w:fldChar w:fldCharType="begin"/>
      </w:r>
      <w:r>
        <w:instrText xml:space="preserve"> REF HGSOC-Box-Plot-Of-DEGs \h</w:instrText>
      </w:r>
      <w:r>
        <w:fldChar w:fldCharType="separate"/>
      </w:r>
      <w:r>
        <w:rPr>
          <w:b/>
        </w:rPr>
        <w:t>3</w:t>
      </w:r>
      <w:r>
        <w:fldChar w:fldCharType="end"/>
      </w:r>
      <w:r>
        <w:fldChar w:fldCharType="end"/>
      </w:r>
      <w:r>
        <w:t xml:space="preserve"> 基因 GTSE1 表达水平，以及对应的 limma 差异分析显著水平。</w:t>
      </w:r>
    </w:p>
    <w:p w14:paraId="3CC8FE06">
      <w:pPr>
        <w:pStyle w:val="3"/>
      </w:pPr>
      <w:r>
        <w:drawing>
          <wp:inline distT="0" distB="0" distL="0" distR="0">
            <wp:extent cx="5669280" cy="4535170"/>
            <wp:effectExtent l="0" t="0" r="762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DD57E1">
      <w:pPr>
        <w:pStyle w:val="194"/>
      </w:pPr>
      <w:r>
        <w:rPr>
          <w:b/>
        </w:rPr>
        <w:t xml:space="preserve">Fig. </w:t>
      </w:r>
      <w:bookmarkStart w:id="16" w:name="HGSOC-hgsoc-vs-normal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16"/>
      <w:r>
        <w:rPr>
          <w:b/>
        </w:rPr>
        <w:t xml:space="preserve"> </w:t>
      </w:r>
      <w:r>
        <w:t>HGSOC hgsoc vs normal</w:t>
      </w:r>
    </w:p>
    <w:p w14:paraId="28E17FC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Figure+Table/3.3_Limma_差异分析_(HGSOC)/HGSOC-hgsoc-vs-normal.pdf)</w:t>
      </w:r>
    </w:p>
    <w:p w14:paraId="56CC576E">
      <w:pPr>
        <w:pStyle w:val="186"/>
        <w:numPr>
          <w:ilvl w:val="0"/>
          <w:numId w:val="1"/>
        </w:numPr>
      </w:pPr>
      <w:r>
        <w:t>P.Value cut-off: 0.05</w:t>
      </w:r>
    </w:p>
    <w:p w14:paraId="0BD2DABF">
      <w:pPr>
        <w:pStyle w:val="186"/>
        <w:numPr>
          <w:ilvl w:val="0"/>
          <w:numId w:val="1"/>
        </w:numPr>
      </w:pPr>
      <w:r>
        <w:t>Log2(FC) cut-off: 0.5</w:t>
      </w:r>
    </w:p>
    <w:p w14:paraId="6FF475D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(See: Figure+Table/3.3_Limma_差异分析_(HGSOC)/HGSOC-hgsoc-vs-normal-content)</w:t>
      </w:r>
    </w:p>
    <w:p w14:paraId="3396A55F">
      <w:pPr>
        <w:pStyle w:val="38"/>
      </w:pPr>
      <w:r>
        <w:drawing>
          <wp:inline distT="0" distB="0" distL="0" distR="0">
            <wp:extent cx="5669280" cy="75590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104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5FE921">
      <w:pPr>
        <w:pStyle w:val="194"/>
      </w:pPr>
      <w:r>
        <w:rPr>
          <w:b/>
        </w:rPr>
        <w:t xml:space="preserve">Fig. </w:t>
      </w:r>
      <w:bookmarkStart w:id="17" w:name="HGSOC-Box-Plot-Of-DEG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17"/>
      <w:r>
        <w:rPr>
          <w:b/>
        </w:rPr>
        <w:t xml:space="preserve"> </w:t>
      </w:r>
      <w:r>
        <w:t>HGSOC Box Plot Of DEGs</w:t>
      </w:r>
    </w:p>
    <w:p w14:paraId="59229E7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Figure+Table/3.3_Limma_差异分析_(HGSOC)/HGSOC-Box-Plot-Of-DEGs.pdf)</w:t>
      </w:r>
    </w:p>
    <w:p w14:paraId="2766E993">
      <w:pPr>
        <w:pStyle w:val="4"/>
      </w:pPr>
      <w:bookmarkStart w:id="18" w:name="gse-数据搜索-hgsoc_res"/>
      <w:r>
        <w:t>3.4</w:t>
      </w:r>
      <w:r>
        <w:tab/>
        <w:t>GSE 数据搜索 (HGSOC_RES)</w:t>
      </w:r>
      <w:bookmarkEnd w:id="18"/>
    </w:p>
    <w:p w14:paraId="18A92A9E">
      <w:pPr>
        <w:pStyle w:val="4"/>
      </w:pPr>
      <w:bookmarkStart w:id="19" w:name="geo-数据获取-hgsoc_res"/>
      <w:r>
        <w:t>3.5</w:t>
      </w:r>
      <w:r>
        <w:tab/>
        <w:t>GEO 数据获取 (HGSOC_RES)</w:t>
      </w:r>
      <w:bookmarkEnd w:id="19"/>
    </w:p>
    <w:p w14:paraId="56D2B118">
      <w:pPr>
        <w:pStyle w:val="38"/>
      </w:pPr>
      <w:r>
        <w:t xml:space="preserve">以 </w:t>
      </w:r>
      <w:r>
        <w:rPr>
          <w:rStyle w:val="197"/>
        </w:rPr>
        <w:t>GEOquery</w:t>
      </w:r>
      <w:r>
        <w:t xml:space="preserve"> 获取 GSE141630 的数据信息。</w:t>
      </w:r>
    </w:p>
    <w:p w14:paraId="24717B5C">
      <w:pPr>
        <w:pStyle w:val="4"/>
      </w:pPr>
      <w:bookmarkStart w:id="20" w:name="limma-差异分析-hgsoc_res"/>
      <w:r>
        <w:t>3.6</w:t>
      </w:r>
      <w:r>
        <w:tab/>
        <w:t>Limma 差异分析 (HGSOC_RES)</w:t>
      </w:r>
      <w:bookmarkEnd w:id="20"/>
    </w:p>
    <w:p w14:paraId="376F9D5C">
      <w:pPr>
        <w:pStyle w:val="38"/>
      </w:pPr>
      <w:r>
        <w:t>样本分组：carboplatin_resistant (n=9) , cisplatin_resistant (n=3) , sensitive (n=3) 。以 公式 ~ 0 + group 创建设计矩阵 (design matrix) 。差异分析：carboplatin_resistant vs sensitive。(若 A vs B，则为前者比后者，LogFC 大于 0 时，A 表达量高于 B)。上调或下调 DEGs 统计：up (n=1608) , down (n=1331) (注：cisplatin_resistant 未显著，所以未分析)</w:t>
      </w:r>
    </w:p>
    <w:p w14:paraId="7CEBC566">
      <w:pPr>
        <w:pStyle w:val="3"/>
      </w:pPr>
      <w:r>
        <w:t xml:space="preserve">Fig. </w:t>
      </w:r>
      <w:r>
        <w:fldChar w:fldCharType="begin"/>
      </w:r>
      <w:r>
        <w:instrText xml:space="preserve"> HYPERLINK \l "HGSOC-RES-Box-Plot-Of-DEGs" \h </w:instrText>
      </w:r>
      <w:r>
        <w:fldChar w:fldCharType="separate"/>
      </w:r>
      <w:r>
        <w:fldChar w:fldCharType="begin"/>
      </w:r>
      <w:r>
        <w:instrText xml:space="preserve"> REF HGSOC-RES-Box-Plot-Of-DEGs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基因 GTSE1 表达水平，以及对应的 limma 差异分析显著水平。</w:t>
      </w:r>
    </w:p>
    <w:p w14:paraId="77B6853F">
      <w:pPr>
        <w:pStyle w:val="3"/>
      </w:pPr>
      <w:r>
        <w:drawing>
          <wp:inline distT="0" distB="0" distL="0" distR="0">
            <wp:extent cx="5669280" cy="4535170"/>
            <wp:effectExtent l="0" t="0" r="762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4F4211">
      <w:pPr>
        <w:pStyle w:val="194"/>
      </w:pPr>
      <w:r>
        <w:rPr>
          <w:b/>
        </w:rPr>
        <w:t xml:space="preserve">Fig. </w:t>
      </w:r>
      <w:bookmarkStart w:id="21" w:name="HGSOC-RES-carboplatin-resistant-vs-sensitive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4</w:t>
      </w:r>
      <w:r>
        <w:rPr>
          <w:b/>
        </w:rPr>
        <w:fldChar w:fldCharType="end"/>
      </w:r>
      <w:bookmarkEnd w:id="21"/>
      <w:r>
        <w:rPr>
          <w:b/>
        </w:rPr>
        <w:t xml:space="preserve"> </w:t>
      </w:r>
      <w:r>
        <w:t>HGSOC RES carboplatin resistant vs sensitive</w:t>
      </w:r>
    </w:p>
    <w:p w14:paraId="7F7EE19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Figure+Table/3.6_Limma_差异分析_(HGSOC_RES)/HGSOC-RES-carboplatin-resistant-vs-sensitive.pdf)</w:t>
      </w:r>
    </w:p>
    <w:p w14:paraId="1668825F">
      <w:pPr>
        <w:pStyle w:val="186"/>
        <w:numPr>
          <w:ilvl w:val="0"/>
          <w:numId w:val="1"/>
        </w:numPr>
      </w:pPr>
      <w:r>
        <w:t>P.Value cut-off: 0.05</w:t>
      </w:r>
      <w:bookmarkStart w:id="34" w:name="_GoBack"/>
      <w:bookmarkEnd w:id="34"/>
    </w:p>
    <w:p w14:paraId="1B722DA4">
      <w:pPr>
        <w:pStyle w:val="186"/>
        <w:numPr>
          <w:ilvl w:val="0"/>
          <w:numId w:val="1"/>
        </w:numPr>
      </w:pPr>
      <w:r>
        <w:t>Log2(FC) cut-off: 0.5</w:t>
      </w:r>
    </w:p>
    <w:p w14:paraId="62B5ACB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(See: Figure+Table/3.6_Limma_差异分析_(HGSOC_RES)/HGSOC-RES-carboplatin-resistant-vs-sensitive-content)</w:t>
      </w:r>
    </w:p>
    <w:p w14:paraId="7F7E996C">
      <w:pPr>
        <w:pStyle w:val="38"/>
      </w:pPr>
      <w:r>
        <w:drawing>
          <wp:inline distT="0" distB="0" distL="0" distR="0">
            <wp:extent cx="5669280" cy="7741285"/>
            <wp:effectExtent l="0" t="0" r="762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107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43063D">
      <w:pPr>
        <w:pStyle w:val="194"/>
      </w:pPr>
      <w:r>
        <w:rPr>
          <w:b/>
        </w:rPr>
        <w:t xml:space="preserve">Fig. </w:t>
      </w:r>
      <w:bookmarkStart w:id="22" w:name="HGSOC-RES-Box-Plot-Of-DEG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5</w:t>
      </w:r>
      <w:r>
        <w:rPr>
          <w:b/>
        </w:rPr>
        <w:fldChar w:fldCharType="end"/>
      </w:r>
      <w:bookmarkEnd w:id="22"/>
      <w:r>
        <w:rPr>
          <w:b/>
        </w:rPr>
        <w:t xml:space="preserve"> </w:t>
      </w:r>
      <w:r>
        <w:t>HGSOC RES Box Plot Of DEGs</w:t>
      </w:r>
    </w:p>
    <w:p w14:paraId="01E2898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Figure+Table/3.6_Limma_差异分析_(HGSOC_RES)/HGSOC-RES-Box-Plot-Of-DEGs.pdf)</w:t>
      </w:r>
    </w:p>
    <w:p w14:paraId="71672FAF">
      <w:pPr>
        <w:pStyle w:val="4"/>
      </w:pPr>
      <w:bookmarkStart w:id="23" w:name="epifactors-表观遗传调控因子数据获取-m6a"/>
      <w:r>
        <w:t>3.7</w:t>
      </w:r>
      <w:r>
        <w:tab/>
        <w:t>EpiFactors 表观遗传调控因子数据获取 (M6A)</w:t>
      </w:r>
      <w:bookmarkEnd w:id="23"/>
    </w:p>
    <w:p w14:paraId="4E752FE9">
      <w:pPr>
        <w:pStyle w:val="38"/>
      </w:pPr>
      <w:r>
        <w:t xml:space="preserve">获取 </w:t>
      </w:r>
      <w:r>
        <w:rPr>
          <w:rStyle w:val="197"/>
        </w:rPr>
        <w:t>EpiFactors</w:t>
      </w:r>
      <w:r>
        <w:t xml:space="preserve"> 中的表观遗传调控蛋白。匹配 Modification 中包含“RNA methylation”的描述，最终得到 12 例数据。</w:t>
      </w:r>
    </w:p>
    <w:p w14:paraId="5F3B2AAE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4" w:name="M6A-all-protein-of-epigenetic-regulators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24"/>
      <w:r>
        <w:rPr>
          <w:b/>
        </w:rPr>
        <w:t xml:space="preserve">  </w:t>
      </w:r>
      <w:r>
        <w:t>M6A all protein of epigenetic regulators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79C3556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0DA26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4A136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s...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E7195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Status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722EC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F84C6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name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30E83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506F5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UniPro......7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512BE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UniPro......8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B46D5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Domain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919E7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MGI sy...</w:t>
            </w:r>
          </w:p>
        </w:tc>
      </w:tr>
      <w:tr w14:paraId="50D3756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090E38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0A2AC4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CBLL1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4B688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New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974F44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21220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F05859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E3 ubi...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39EC8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79872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35D7A9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Q75N03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02B04B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HAKAI 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45D94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PF18408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57E964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Cbll1</w:t>
            </w:r>
          </w:p>
        </w:tc>
      </w:tr>
      <w:tr w14:paraId="30EB362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3F58DC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387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CD30D9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METTL14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14A03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New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72C07B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29330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9A76E7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Methyl...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B2F609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57721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023A2B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Q9HCE5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C17573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MET14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198374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PF05063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7D40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Mettl14</w:t>
            </w:r>
          </w:p>
        </w:tc>
      </w:tr>
      <w:tr w14:paraId="6BF527D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AA3D70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388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6AB33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METTL16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B4F21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New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F402BD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28480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8FAA3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Methyl...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9A53BD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79066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E0BCF3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Q86W50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A1DD9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MET16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BB5317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PF05971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0F2F0B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Mettl16</w:t>
            </w:r>
          </w:p>
        </w:tc>
      </w:tr>
      <w:tr w14:paraId="1658DA8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D1A41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390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5A9E6A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METTL3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AC9A61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New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E94A4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17560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5996F3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Methyl...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0BFC17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56339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C88F26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Q86U44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414EA1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MTA70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7F4E86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PF05063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927B37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Mettl3</w:t>
            </w:r>
          </w:p>
        </w:tc>
      </w:tr>
      <w:tr w14:paraId="521A814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836299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391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B9D59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METTL4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5012B0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New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FEDD5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24730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38CA3F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Methyl...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15DEF6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64863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1334D6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Q8N3J2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B2CE3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METL4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32831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PF05063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2C196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Mettl4</w:t>
            </w:r>
          </w:p>
        </w:tc>
      </w:tr>
      <w:tr w14:paraId="2A5F5C8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D1ECF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901EA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783B08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42D9C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249BD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A63D4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319C0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35EBE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E418A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4B999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5EFCDC6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Figure+Table/3.7_EpiFactors_表观遗传调控因子数据获取_(M6A)/M6A-all-protein-of-epigenetic-regulators.xlsx)</w:t>
      </w:r>
    </w:p>
    <w:p w14:paraId="06FA2273">
      <w:pPr>
        <w:pStyle w:val="4"/>
      </w:pPr>
      <w:bookmarkStart w:id="25" w:name="交集-hgsoc_degs-rna_methy-sig"/>
      <w:r>
        <w:t>3.8</w:t>
      </w:r>
      <w:r>
        <w:tab/>
        <w:t>交集: HGSOC_DEGs + RNA_Methy (SIG)</w:t>
      </w:r>
      <w:bookmarkEnd w:id="25"/>
    </w:p>
    <w:p w14:paraId="544BAF7E">
      <w:pPr>
        <w:pStyle w:val="38"/>
      </w:pPr>
      <w:r>
        <w:t xml:space="preserve">Fig. </w:t>
      </w:r>
      <w:r>
        <w:fldChar w:fldCharType="begin"/>
      </w:r>
      <w:r>
        <w:instrText xml:space="preserve"> HYPERLINK \l "Intersection-of-HGSOC-DEGs-with-RNA-Methy" \h </w:instrText>
      </w:r>
      <w:r>
        <w:fldChar w:fldCharType="separate"/>
      </w:r>
      <w:r>
        <w:fldChar w:fldCharType="begin"/>
      </w:r>
      <w:r>
        <w:instrText xml:space="preserve"> REF Intersection-of-HGSOC-DEGs-with-RNA-Methy \h</w:instrText>
      </w:r>
      <w:r>
        <w:fldChar w:fldCharType="separate"/>
      </w:r>
      <w:r>
        <w:rPr>
          <w:b/>
        </w:rPr>
        <w:t>6</w:t>
      </w:r>
      <w:r>
        <w:fldChar w:fldCharType="end"/>
      </w:r>
      <w:r>
        <w:fldChar w:fldCharType="end"/>
      </w:r>
      <w:r>
        <w:t xml:space="preserve"> 以下取交集： - 基因集 (hgsoc - normal, 来自于Limma 差异分析(Section: HGSOC)) - 基因集 (CBLL1, METTL14, etc., 来自于EpiFactors 表观遗传调控因子数据获取(Section: M6A))</w:t>
      </w:r>
    </w:p>
    <w:p w14:paraId="72643F68">
      <w:pPr>
        <w:pStyle w:val="3"/>
      </w:pPr>
      <w:r>
        <w:drawing>
          <wp:inline distT="0" distB="0" distL="0" distR="0">
            <wp:extent cx="5669280" cy="340106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47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010824">
      <w:pPr>
        <w:pStyle w:val="194"/>
      </w:pPr>
      <w:r>
        <w:rPr>
          <w:b/>
        </w:rPr>
        <w:t xml:space="preserve">Fig. </w:t>
      </w:r>
      <w:bookmarkStart w:id="26" w:name="Intersection-of-HGSOC-DEGs-with-RNA-Methy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6</w:t>
      </w:r>
      <w:r>
        <w:rPr>
          <w:b/>
        </w:rPr>
        <w:fldChar w:fldCharType="end"/>
      </w:r>
      <w:bookmarkEnd w:id="26"/>
      <w:r>
        <w:rPr>
          <w:b/>
        </w:rPr>
        <w:t xml:space="preserve"> </w:t>
      </w:r>
      <w:r>
        <w:t>Intersection of HGSOC DEGs with RNA Methy</w:t>
      </w:r>
    </w:p>
    <w:p w14:paraId="5581B88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Figure+Table/3.8_交集:_HGSOC_DEGs_+_RNA_Methy_(SIG)/Intersection-of-HGSOC-DEGs-with-RNA-Methy.pdf)</w:t>
      </w:r>
    </w:p>
    <w:p w14:paraId="1A15072E">
      <w:pPr>
        <w:pStyle w:val="186"/>
        <w:numPr>
          <w:ilvl w:val="0"/>
          <w:numId w:val="1"/>
        </w:numPr>
      </w:pPr>
      <w:r>
        <w:t>All_intersection: METTL14, METTL16</w:t>
      </w:r>
    </w:p>
    <w:p w14:paraId="3DFE39A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(See: Figure+Table/3.8_交集:_HGSOC_DEGs_+_RNA_Methy_(SIG)/Intersection-of-HGSOC-DEGs-with-RNA-Methy-content)</w:t>
      </w:r>
    </w:p>
    <w:p w14:paraId="544C3432">
      <w:pPr>
        <w:pStyle w:val="4"/>
      </w:pPr>
      <w:bookmarkStart w:id="27" w:name="关联分析-hgsoc"/>
      <w:r>
        <w:t>3.9</w:t>
      </w:r>
      <w:r>
        <w:tab/>
        <w:t>关联分析 (HGSOC)</w:t>
      </w:r>
      <w:bookmarkEnd w:id="27"/>
    </w:p>
    <w:p w14:paraId="5B22759E">
      <w:pPr>
        <w:pStyle w:val="38"/>
      </w:pPr>
      <w:r>
        <w:t>将基因 (METTL14, METTL16 -&gt; GTSE1) 关联分析。</w:t>
      </w:r>
    </w:p>
    <w:p w14:paraId="480C1F89">
      <w:pPr>
        <w:pStyle w:val="3"/>
      </w:pPr>
      <w:r>
        <w:drawing>
          <wp:inline distT="0" distB="0" distL="0" distR="0">
            <wp:extent cx="5669280" cy="28346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39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42BBE1">
      <w:pPr>
        <w:pStyle w:val="194"/>
      </w:pPr>
      <w:r>
        <w:rPr>
          <w:b/>
        </w:rPr>
        <w:t xml:space="preserve">Fig. </w:t>
      </w:r>
      <w:bookmarkStart w:id="28" w:name="Linear-regression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7</w:t>
      </w:r>
      <w:r>
        <w:rPr>
          <w:b/>
        </w:rPr>
        <w:fldChar w:fldCharType="end"/>
      </w:r>
      <w:bookmarkEnd w:id="28"/>
      <w:r>
        <w:rPr>
          <w:b/>
        </w:rPr>
        <w:t xml:space="preserve"> </w:t>
      </w:r>
      <w:r>
        <w:t>Linear regression</w:t>
      </w:r>
    </w:p>
    <w:p w14:paraId="0770DAB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Figure+Table/3.9_关联分析_(HGSOC)/Linear-regression.pdf)</w:t>
      </w:r>
    </w:p>
    <w:p w14:paraId="7C761044">
      <w:pPr>
        <w:pStyle w:val="2"/>
      </w:pPr>
      <w:bookmarkStart w:id="29" w:name="conclusion"/>
      <w:r>
        <w:t>4</w:t>
      </w:r>
      <w:r>
        <w:tab/>
        <w:t>总结</w:t>
      </w:r>
      <w:bookmarkEnd w:id="29"/>
    </w:p>
    <w:p w14:paraId="60440871">
      <w:pPr>
        <w:pStyle w:val="38"/>
      </w:pPr>
      <w:r>
        <w:t xml:space="preserve">Fig. </w:t>
      </w:r>
      <w:r>
        <w:fldChar w:fldCharType="begin"/>
      </w:r>
      <w:r>
        <w:instrText xml:space="preserve"> HYPERLINK \l "HGSOC-RES-Box-Plot-Of-DEGs" \h </w:instrText>
      </w:r>
      <w:r>
        <w:fldChar w:fldCharType="separate"/>
      </w:r>
      <w:r>
        <w:fldChar w:fldCharType="begin"/>
      </w:r>
      <w:r>
        <w:instrText xml:space="preserve"> REF HGSOC-RES-Box-Plot-Of-DEGs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 与 Fig. </w:t>
      </w:r>
      <w:r>
        <w:fldChar w:fldCharType="begin"/>
      </w:r>
      <w:r>
        <w:instrText xml:space="preserve"> HYPERLINK \l "HGSOC-Box-Plot-Of-DEGs" \h </w:instrText>
      </w:r>
      <w:r>
        <w:fldChar w:fldCharType="separate"/>
      </w:r>
      <w:r>
        <w:fldChar w:fldCharType="begin"/>
      </w:r>
      <w:r>
        <w:instrText xml:space="preserve"> REF HGSOC-Box-Plot-Of-DEGs \h</w:instrText>
      </w:r>
      <w:r>
        <w:fldChar w:fldCharType="separate"/>
      </w:r>
      <w:r>
        <w:rPr>
          <w:b/>
        </w:rPr>
        <w:t>3</w:t>
      </w:r>
      <w:r>
        <w:fldChar w:fldCharType="end"/>
      </w:r>
      <w:r>
        <w:fldChar w:fldCharType="end"/>
      </w:r>
      <w:r>
        <w:t xml:space="preserve"> ， 结果表明 GTSE1 在癌症或耐药数据集中均差异表达，且癌症高表达，耐药数据集相对以于癌症低表达， 表明耐药组已无法通过调控该基因发挥抗癌作用(耐药)。</w:t>
      </w:r>
    </w:p>
    <w:p w14:paraId="3DD8C5FD">
      <w:pPr>
        <w:pStyle w:val="3"/>
      </w:pPr>
      <w:r>
        <w:t xml:space="preserve">随后，筛选出的差异表达基因 METTL14，与 GTSE1 显著关联，见 Fig. </w:t>
      </w:r>
      <w:r>
        <w:fldChar w:fldCharType="begin"/>
      </w:r>
      <w:r>
        <w:instrText xml:space="preserve"> HYPERLINK \l "Linear-regression" \h </w:instrText>
      </w:r>
      <w:r>
        <w:fldChar w:fldCharType="separate"/>
      </w:r>
      <w:r>
        <w:fldChar w:fldCharType="begin"/>
      </w:r>
      <w:r>
        <w:instrText xml:space="preserve"> REF Linear-regression \h</w:instrText>
      </w:r>
      <w:r>
        <w:fldChar w:fldCharType="separate"/>
      </w:r>
      <w:r>
        <w:rPr>
          <w:b/>
        </w:rPr>
        <w:t>7</w:t>
      </w:r>
      <w:r>
        <w:fldChar w:fldCharType="end"/>
      </w:r>
      <w:r>
        <w:fldChar w:fldCharType="end"/>
      </w:r>
      <w:r>
        <w:t xml:space="preserve"> 。</w:t>
      </w:r>
    </w:p>
    <w:p w14:paraId="0ECD1F46">
      <w:pPr>
        <w:pStyle w:val="2"/>
      </w:pPr>
      <w:bookmarkStart w:id="30" w:name="bibliography"/>
      <w:r>
        <w:t>Reference</w:t>
      </w:r>
      <w:bookmarkEnd w:id="30"/>
    </w:p>
    <w:p w14:paraId="156B998D">
      <w:pPr>
        <w:pStyle w:val="189"/>
      </w:pPr>
      <w:bookmarkStart w:id="31" w:name="ref-LimmaLinearMSmyth2005"/>
      <w:bookmarkStart w:id="32" w:name="refs"/>
      <w:r>
        <w:t xml:space="preserve">1. Smyth, G. K. Limma: Linear models for microarray data. in </w:t>
      </w:r>
      <w:r>
        <w:rPr>
          <w:i/>
        </w:rPr>
        <w:t>Bioinformatics and Computational Biology Solutions Using R and Bioconductor</w:t>
      </w:r>
      <w:r>
        <w:t xml:space="preserve"> (eds. Gentleman, R., Carey, V. J., Huber, W., Irizarry, R. A. &amp; Dudoit, S.) 397–420 (Springer-Verlag, 2005). doi:</w:t>
      </w:r>
      <w:r>
        <w:fldChar w:fldCharType="begin"/>
      </w:r>
      <w:r>
        <w:instrText xml:space="preserve"> HYPERLINK "https://doi.org/10.1007/0-387-29362-0_23" \h </w:instrText>
      </w:r>
      <w:r>
        <w:fldChar w:fldCharType="separate"/>
      </w:r>
      <w:r>
        <w:rPr>
          <w:rStyle w:val="24"/>
        </w:rPr>
        <w:t>10.1007/0-387-29362-0_23</w:t>
      </w:r>
      <w:r>
        <w:rPr>
          <w:rStyle w:val="24"/>
        </w:rPr>
        <w:fldChar w:fldCharType="end"/>
      </w:r>
      <w:r>
        <w:t>.</w:t>
      </w:r>
    </w:p>
    <w:bookmarkEnd w:id="31"/>
    <w:p w14:paraId="5EA47A12">
      <w:pPr>
        <w:pStyle w:val="189"/>
      </w:pPr>
      <w:bookmarkStart w:id="33" w:name="ref-Epifactors2022Maraku2023"/>
      <w:r>
        <w:t xml:space="preserve">2. Marakulina, D. </w:t>
      </w:r>
      <w:r>
        <w:rPr>
          <w:i/>
        </w:rPr>
        <w:t>et al.</w:t>
      </w:r>
      <w:r>
        <w:t xml:space="preserve"> EpiFactors 2022: Expansion and enhancement of a curated database of human epigenetic factors and complexes. </w:t>
      </w:r>
      <w:r>
        <w:rPr>
          <w:i/>
        </w:rPr>
        <w:t>Nucleic acids research</w:t>
      </w:r>
      <w:r>
        <w:t xml:space="preserve"> </w:t>
      </w:r>
      <w:r>
        <w:rPr>
          <w:b/>
        </w:rPr>
        <w:t>51</w:t>
      </w:r>
      <w:r>
        <w:t>, D564–D570 (2023).</w:t>
      </w:r>
    </w:p>
    <w:bookmarkEnd w:id="32"/>
    <w:bookmarkEnd w:id="33"/>
    <w:sectPr>
      <w:headerReference r:id="rId6" w:type="first"/>
      <w:headerReference r:id="rId5" w:type="default"/>
      <w:footerReference r:id="rId7" w:type="default"/>
      <w:type w:val="continuous"/>
      <w:pgSz w:w="11906" w:h="16838"/>
      <w:pgMar w:top="1440" w:right="1800" w:bottom="1440" w:left="1800" w:header="907" w:footer="907" w:gutter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Nimbus Roman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8FAADD">
    <w:pPr>
      <w:widowControl w:val="0"/>
      <w:snapToGrid w:val="0"/>
      <w:spacing w:before="0" w:beforeAutospacing="0" w:after="0" w:afterAutospacing="0" w:line="240" w:lineRule="auto"/>
      <w:jc w:val="left"/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</w:pPr>
    <w:r>
      <w:rPr>
        <w:rFonts w:hint="default" w:eastAsia="宋体" w:cs="Times New Roman"/>
        <w:kern w:val="2"/>
        <w:sz w:val="16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9155" cy="147955"/>
              <wp:effectExtent l="0" t="0" r="0" b="0"/>
              <wp:wrapNone/>
              <wp:docPr id="21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915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AEE89C">
                          <w:pPr>
                            <w:widowControl w:val="0"/>
                            <w:tabs>
                              <w:tab w:val="center" w:pos="4153"/>
                              <w:tab w:val="right" w:pos="8306"/>
                            </w:tabs>
                            <w:snapToGrid w:val="0"/>
                            <w:ind w:firstLine="360"/>
                            <w:jc w:val="left"/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第 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begin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>1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end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 页 共 7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" o:spid="_x0000_s1026" o:spt="202" type="#_x0000_t202" style="position:absolute;left:0pt;margin-top:0pt;height:11.65pt;width:67.6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hdWGZ0gAAAAQBAAAPAAAAAAAAAAEAIAAAACIAAABkcnMv&#10;ZG93bnJldi54bWxQSwECFAAUAAAACACHTuJAJBLhqtABAACZAwAADgAAAAAAAAABACAAAAAh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74AEE89C">
                    <w:pPr>
                      <w:widowControl w:val="0"/>
                      <w:tabs>
                        <w:tab w:val="center" w:pos="4153"/>
                        <w:tab w:val="right" w:pos="8306"/>
                      </w:tabs>
                      <w:snapToGrid w:val="0"/>
                      <w:ind w:firstLine="360"/>
                      <w:jc w:val="left"/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</w:pP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第 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begin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instrText xml:space="preserve"> PAGE  \* MERGEFORMAT </w:instrTex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separate"/>
                    </w:r>
                    <w:r>
                      <w:rPr>
                        <w:rFonts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>1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end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 页 共 7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杭州铂赛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 xml:space="preserve">生物科技有限公司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 xml:space="preserve">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电话：0571-82172675</w:t>
    </w:r>
  </w:p>
  <w:p w14:paraId="7C825B77">
    <w:pPr>
      <w:widowControl w:val="0"/>
      <w:spacing w:before="0" w:beforeAutospacing="0" w:after="0" w:afterAutospacing="0" w:line="240" w:lineRule="auto"/>
      <w:jc w:val="both"/>
      <w:rPr>
        <w:rFonts w:hint="default" w:ascii="微软雅黑" w:hAnsi="微软雅黑" w:eastAsia="微软雅黑" w:cs="Times New Roman"/>
        <w:kern w:val="2"/>
        <w:sz w:val="16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lang w:eastAsia="zh-CN"/>
      </w:rPr>
      <w:t xml:space="preserve">杭州市滨江区江南大道1088号 中南国际大厦1805                             </w:t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 xml:space="preserve">    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邮箱：service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@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top</w:t>
    </w:r>
  </w:p>
  <w:p w14:paraId="3C008735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邮编：310000        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网址：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www.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top</w:t>
    </w:r>
  </w:p>
  <w:p w14:paraId="15B74FE7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</w:p>
  <w:p w14:paraId="1D162D6D">
    <w:pPr>
      <w:pStyle w:val="1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6BAB64">
    <w:pPr>
      <w:pBdr>
        <w:bottom w:val="none" w:color="auto" w:sz="0" w:space="0"/>
      </w:pBdr>
      <w:jc w:val="both"/>
    </w:pP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15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19" descr="汇医助研--最终使用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335964">
    <w:pPr>
      <w:pBdr>
        <w:bottom w:val="none" w:color="auto" w:sz="0" w:space="0"/>
      </w:pBdr>
      <w:jc w:val="both"/>
    </w:pPr>
    <w:r>
      <w:rPr>
        <w:rFonts w:eastAsia="Microsoft YaHei"/>
        <w:b/>
        <w:bCs/>
        <w:sz w:val="52"/>
        <w:szCs w:val="52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-1139190</wp:posOffset>
          </wp:positionH>
          <wp:positionV relativeFrom="paragraph">
            <wp:posOffset>3437890</wp:posOffset>
          </wp:positionV>
          <wp:extent cx="7556500" cy="6677660"/>
          <wp:effectExtent l="0" t="0" r="6350" b="5715"/>
          <wp:wrapNone/>
          <wp:docPr id="17" name="图片 4" descr="图片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4" descr="图片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500" cy="667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19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图片 19" descr="汇医助研--最终使用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  <w:p w14:paraId="0384F5B3">
    <w:pPr>
      <w:pStyle w:val="2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54B4C"/>
    <w:multiLevelType w:val="multilevel"/>
    <w:tmpl w:val="EA454B4C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documentProtection w:enforcement="0"/>
  <w:defaultTabStop w:val="720"/>
  <w:hyphenationZone w:val="36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62FF8DF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beforeAutospacing="0" w:after="200" w:afterAutospacing="0" w:line="360" w:lineRule="auto"/>
    </w:pPr>
    <w:rPr>
      <w:rFonts w:hint="default" w:ascii="Times New Roman" w:hAnsi="Times New Roman" w:eastAsia="SimSun" w:cstheme="minorBidi"/>
      <w:sz w:val="21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tabs>
        <w:tab w:val="left" w:pos="0"/>
      </w:tabs>
      <w:spacing w:before="480" w:after="0" w:line="360" w:lineRule="auto"/>
      <w:outlineLvl w:val="0"/>
    </w:pPr>
    <w:rPr>
      <w:rFonts w:ascii="Times New Roman" w:hAnsi="Times New Roman" w:eastAsia="SimHei" w:cs="Nimbus Roman"/>
      <w:b/>
      <w:bCs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 w:line="360" w:lineRule="auto"/>
      <w:outlineLvl w:val="1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2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3"/>
    </w:pPr>
    <w:rPr>
      <w:rFonts w:ascii="Times New Roman" w:hAnsi="Times New Roman" w:eastAsia="SimSun" w:cs="Nimbus Roman"/>
      <w:bCs/>
      <w:i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4"/>
    </w:pPr>
    <w:rPr>
      <w:rFonts w:ascii="Times New Roman" w:hAnsi="Times New Roman" w:eastAsia="SimSun" w:cs="Nimbus Roman"/>
      <w:i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5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6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7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8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 w:line="360" w:lineRule="auto"/>
    </w:pPr>
    <w:rPr>
      <w:rFonts w:ascii="Times New Roman" w:hAnsi="Times New Roman" w:eastAsia="SimSun" w:cs="Nimbus Roman"/>
      <w:sz w:val="21"/>
    </w:r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  <w:rPr>
      <w:rFonts w:ascii="Times New Roman" w:hAnsi="Times New Roman"/>
      <w:sz w:val="21"/>
    </w:rPr>
  </w:style>
  <w:style w:type="paragraph" w:styleId="15">
    <w:name w:val="caption"/>
    <w:basedOn w:val="1"/>
    <w:next w:val="1"/>
    <w:qFormat/>
    <w:uiPriority w:val="0"/>
    <w:pPr>
      <w:spacing w:before="200" w:after="60" w:line="250" w:lineRule="auto"/>
      <w:jc w:val="center"/>
    </w:pPr>
    <w:rPr>
      <w:sz w:val="21"/>
    </w:rPr>
  </w:style>
  <w:style w:type="paragraph" w:styleId="16">
    <w:name w:val="Date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endnote reference"/>
    <w:basedOn w:val="12"/>
    <w:semiHidden/>
    <w:unhideWhenUsed/>
    <w:qFormat/>
    <w:uiPriority w:val="99"/>
    <w:rPr>
      <w:sz w:val="24"/>
      <w:vertAlign w:val="superscript"/>
    </w:rPr>
  </w:style>
  <w:style w:type="paragraph" w:styleId="18">
    <w:name w:val="endnote text"/>
    <w:basedOn w:val="1"/>
    <w:link w:val="185"/>
    <w:semiHidden/>
    <w:unhideWhenUsed/>
    <w:qFormat/>
    <w:uiPriority w:val="99"/>
    <w:pPr>
      <w:spacing w:after="0" w:line="240" w:lineRule="auto"/>
    </w:pPr>
    <w:rPr>
      <w:sz w:val="21"/>
    </w:rPr>
  </w:style>
  <w:style w:type="paragraph" w:styleId="19">
    <w:name w:val="footer"/>
    <w:basedOn w:val="1"/>
    <w:link w:val="58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  <w:rPr>
      <w:sz w:val="21"/>
    </w:rPr>
  </w:style>
  <w:style w:type="character" w:styleId="20">
    <w:name w:val="footnote reference"/>
    <w:basedOn w:val="21"/>
    <w:qFormat/>
    <w:uiPriority w:val="0"/>
    <w:rPr>
      <w:sz w:val="21"/>
      <w:vertAlign w:val="superscript"/>
    </w:rPr>
  </w:style>
  <w:style w:type="character" w:customStyle="1" w:styleId="21">
    <w:name w:val="Body Text Char"/>
    <w:link w:val="3"/>
    <w:qFormat/>
    <w:uiPriority w:val="0"/>
    <w:rPr>
      <w:rFonts w:ascii="Times New Roman" w:hAnsi="Times New Roman" w:eastAsia="SimSun" w:cs="Nimbus Roman"/>
      <w:sz w:val="21"/>
    </w:rPr>
  </w:style>
  <w:style w:type="paragraph" w:styleId="22">
    <w:name w:val="footnote text"/>
    <w:basedOn w:val="1"/>
    <w:unhideWhenUsed/>
    <w:qFormat/>
    <w:uiPriority w:val="9"/>
  </w:style>
  <w:style w:type="paragraph" w:styleId="23">
    <w:name w:val="header"/>
    <w:basedOn w:val="1"/>
    <w:link w:val="56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</w:style>
  <w:style w:type="character" w:styleId="24">
    <w:name w:val="Hyperlink"/>
    <w:basedOn w:val="21"/>
    <w:qFormat/>
    <w:uiPriority w:val="0"/>
    <w:rPr>
      <w:rFonts w:eastAsia="SimSun"/>
      <w:color w:val="4F81BD" w:themeColor="accent1"/>
      <w:sz w:val="24"/>
      <w14:textFill>
        <w14:solidFill>
          <w14:schemeClr w14:val="accent1"/>
        </w14:solidFill>
      </w14:textFill>
    </w:rPr>
  </w:style>
  <w:style w:type="paragraph" w:styleId="25">
    <w:name w:val="Subtitle"/>
    <w:basedOn w:val="26"/>
    <w:next w:val="3"/>
    <w:qFormat/>
    <w:uiPriority w:val="0"/>
    <w:pPr>
      <w:keepNext/>
      <w:keepLines/>
      <w:spacing w:before="240" w:after="240"/>
      <w:jc w:val="center"/>
    </w:pPr>
    <w:rPr>
      <w:sz w:val="24"/>
      <w:szCs w:val="30"/>
    </w:rPr>
  </w:style>
  <w:style w:type="paragraph" w:styleId="2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="Times New Roman" w:hAnsi="Times New Roman" w:eastAsia="SimSun" w:cstheme="majorBidi"/>
      <w:b/>
      <w:bCs/>
      <w:color w:val="000000" w:themeColor="text1"/>
      <w:sz w:val="24"/>
      <w:szCs w:val="36"/>
      <w14:textFill>
        <w14:solidFill>
          <w14:schemeClr w14:val="tx1"/>
        </w14:solidFill>
      </w14:textFill>
    </w:rPr>
  </w:style>
  <w:style w:type="table" w:styleId="27">
    <w:name w:val="Table Grid"/>
    <w:basedOn w:val="13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8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29">
    <w:name w:val="toc 1"/>
    <w:basedOn w:val="1"/>
    <w:next w:val="1"/>
    <w:unhideWhenUsed/>
    <w:qFormat/>
    <w:uiPriority w:val="39"/>
    <w:pPr>
      <w:spacing w:after="57"/>
      <w:ind w:left="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0">
    <w:name w:val="toc 2"/>
    <w:basedOn w:val="1"/>
    <w:next w:val="1"/>
    <w:unhideWhenUsed/>
    <w:qFormat/>
    <w:uiPriority w:val="39"/>
    <w:pPr>
      <w:spacing w:after="57"/>
      <w:ind w:left="283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1">
    <w:name w:val="toc 3"/>
    <w:basedOn w:val="1"/>
    <w:next w:val="1"/>
    <w:unhideWhenUsed/>
    <w:qFormat/>
    <w:uiPriority w:val="39"/>
    <w:pPr>
      <w:spacing w:after="57"/>
      <w:ind w:left="56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2">
    <w:name w:val="toc 4"/>
    <w:basedOn w:val="1"/>
    <w:next w:val="1"/>
    <w:unhideWhenUsed/>
    <w:qFormat/>
    <w:uiPriority w:val="39"/>
    <w:pPr>
      <w:spacing w:after="57"/>
      <w:ind w:left="85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3">
    <w:name w:val="toc 5"/>
    <w:basedOn w:val="1"/>
    <w:next w:val="1"/>
    <w:unhideWhenUsed/>
    <w:qFormat/>
    <w:uiPriority w:val="39"/>
    <w:pPr>
      <w:spacing w:after="57"/>
      <w:ind w:left="113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4">
    <w:name w:val="toc 6"/>
    <w:basedOn w:val="1"/>
    <w:next w:val="1"/>
    <w:unhideWhenUsed/>
    <w:qFormat/>
    <w:uiPriority w:val="39"/>
    <w:pPr>
      <w:spacing w:after="57"/>
      <w:ind w:left="141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5">
    <w:name w:val="toc 7"/>
    <w:basedOn w:val="1"/>
    <w:next w:val="1"/>
    <w:unhideWhenUsed/>
    <w:qFormat/>
    <w:uiPriority w:val="39"/>
    <w:pPr>
      <w:spacing w:after="57"/>
      <w:ind w:left="1701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6">
    <w:name w:val="toc 8"/>
    <w:basedOn w:val="1"/>
    <w:next w:val="1"/>
    <w:unhideWhenUsed/>
    <w:qFormat/>
    <w:uiPriority w:val="39"/>
    <w:pPr>
      <w:spacing w:after="57"/>
      <w:ind w:left="198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7">
    <w:name w:val="toc 9"/>
    <w:basedOn w:val="1"/>
    <w:next w:val="1"/>
    <w:unhideWhenUsed/>
    <w:qFormat/>
    <w:uiPriority w:val="39"/>
    <w:pPr>
      <w:spacing w:after="57"/>
      <w:ind w:left="2268" w:right="0" w:firstLine="0"/>
    </w:pPr>
    <w:rPr>
      <w:rFonts w:ascii="Times New Roman" w:hAnsi="Times New Roman" w:eastAsia="SimSun" w:cs="Nimbus Roman"/>
      <w:sz w:val="24"/>
      <w:szCs w:val="24"/>
    </w:rPr>
  </w:style>
  <w:style w:type="paragraph" w:customStyle="1" w:styleId="38">
    <w:name w:val="First Paragraph"/>
    <w:basedOn w:val="3"/>
    <w:next w:val="3"/>
    <w:qFormat/>
    <w:uiPriority w:val="0"/>
    <w:pPr>
      <w:spacing w:line="360" w:lineRule="auto"/>
    </w:pPr>
  </w:style>
  <w:style w:type="character" w:customStyle="1" w:styleId="39">
    <w:name w:val="Heading 1 Char"/>
    <w:basedOn w:val="12"/>
    <w:qFormat/>
    <w:uiPriority w:val="9"/>
    <w:rPr>
      <w:rFonts w:ascii="Arial" w:hAnsi="Arial" w:eastAsia="SimSun" w:cs="Arial"/>
      <w:sz w:val="21"/>
      <w:szCs w:val="40"/>
    </w:rPr>
  </w:style>
  <w:style w:type="character" w:customStyle="1" w:styleId="40">
    <w:name w:val="Heading 2 Char"/>
    <w:basedOn w:val="12"/>
    <w:qFormat/>
    <w:uiPriority w:val="9"/>
    <w:rPr>
      <w:rFonts w:ascii="Arial" w:hAnsi="Arial" w:eastAsia="SimSun" w:cs="Arial"/>
      <w:sz w:val="21"/>
    </w:rPr>
  </w:style>
  <w:style w:type="character" w:customStyle="1" w:styleId="41">
    <w:name w:val="Heading 3 Char"/>
    <w:basedOn w:val="12"/>
    <w:qFormat/>
    <w:uiPriority w:val="9"/>
    <w:rPr>
      <w:rFonts w:ascii="Arial" w:hAnsi="Arial" w:eastAsia="SimSun" w:cs="Arial"/>
      <w:sz w:val="21"/>
      <w:szCs w:val="30"/>
    </w:rPr>
  </w:style>
  <w:style w:type="character" w:customStyle="1" w:styleId="42">
    <w:name w:val="Heading 4 Char"/>
    <w:basedOn w:val="12"/>
    <w:qFormat/>
    <w:uiPriority w:val="9"/>
    <w:rPr>
      <w:rFonts w:ascii="Arial" w:hAnsi="Arial" w:eastAsia="SimSun" w:cs="Arial"/>
      <w:b/>
      <w:bCs/>
      <w:sz w:val="21"/>
      <w:szCs w:val="26"/>
    </w:rPr>
  </w:style>
  <w:style w:type="character" w:customStyle="1" w:styleId="43">
    <w:name w:val="Heading 5 Char"/>
    <w:basedOn w:val="12"/>
    <w:qFormat/>
    <w:uiPriority w:val="9"/>
    <w:rPr>
      <w:rFonts w:ascii="Arial" w:hAnsi="Arial" w:eastAsia="SimSun" w:cs="Arial"/>
      <w:b/>
      <w:bCs/>
      <w:sz w:val="21"/>
      <w:szCs w:val="24"/>
    </w:rPr>
  </w:style>
  <w:style w:type="character" w:customStyle="1" w:styleId="44">
    <w:name w:val="Heading 6 Char"/>
    <w:basedOn w:val="12"/>
    <w:qFormat/>
    <w:uiPriority w:val="9"/>
    <w:rPr>
      <w:rFonts w:ascii="Arial" w:hAnsi="Arial" w:eastAsia="SimSun" w:cs="Arial"/>
      <w:b/>
      <w:bCs/>
      <w:sz w:val="21"/>
      <w:szCs w:val="22"/>
    </w:rPr>
  </w:style>
  <w:style w:type="character" w:customStyle="1" w:styleId="45">
    <w:name w:val="Heading 7 Char"/>
    <w:basedOn w:val="12"/>
    <w:qFormat/>
    <w:uiPriority w:val="9"/>
    <w:rPr>
      <w:rFonts w:ascii="Arial" w:hAnsi="Arial" w:eastAsia="SimSun" w:cs="Arial"/>
      <w:b/>
      <w:bCs/>
      <w:i/>
      <w:iCs/>
      <w:sz w:val="21"/>
      <w:szCs w:val="22"/>
    </w:rPr>
  </w:style>
  <w:style w:type="character" w:customStyle="1" w:styleId="46">
    <w:name w:val="Heading 8 Char"/>
    <w:basedOn w:val="12"/>
    <w:qFormat/>
    <w:uiPriority w:val="9"/>
    <w:rPr>
      <w:rFonts w:ascii="Arial" w:hAnsi="Arial" w:eastAsia="SimSun" w:cs="Arial"/>
      <w:i/>
      <w:iCs/>
      <w:sz w:val="21"/>
      <w:szCs w:val="22"/>
    </w:rPr>
  </w:style>
  <w:style w:type="character" w:customStyle="1" w:styleId="47">
    <w:name w:val="Heading 9 Char"/>
    <w:basedOn w:val="12"/>
    <w:qFormat/>
    <w:uiPriority w:val="9"/>
    <w:rPr>
      <w:rFonts w:ascii="Arial" w:hAnsi="Arial" w:eastAsia="SimSun" w:cs="Arial"/>
      <w:i/>
      <w:iCs/>
      <w:sz w:val="21"/>
      <w:szCs w:val="21"/>
    </w:rPr>
  </w:style>
  <w:style w:type="paragraph" w:styleId="48">
    <w:name w:val="List Paragraph"/>
    <w:basedOn w:val="1"/>
    <w:qFormat/>
    <w:uiPriority w:val="34"/>
    <w:pPr>
      <w:ind w:left="720"/>
      <w:contextualSpacing/>
    </w:pPr>
  </w:style>
  <w:style w:type="paragraph" w:styleId="49">
    <w:name w:val="No Spacing"/>
    <w:qFormat/>
    <w:uiPriority w:val="1"/>
    <w:pPr>
      <w:spacing w:before="0" w:beforeAutospacing="0" w:after="0" w:afterAutospacing="0" w:line="240" w:lineRule="auto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customStyle="1" w:styleId="50">
    <w:name w:val="Title Char"/>
    <w:basedOn w:val="12"/>
    <w:qFormat/>
    <w:uiPriority w:val="10"/>
    <w:rPr>
      <w:sz w:val="21"/>
      <w:szCs w:val="48"/>
    </w:rPr>
  </w:style>
  <w:style w:type="character" w:customStyle="1" w:styleId="51">
    <w:name w:val="Subtitle Char"/>
    <w:basedOn w:val="12"/>
    <w:qFormat/>
    <w:uiPriority w:val="11"/>
    <w:rPr>
      <w:sz w:val="21"/>
      <w:szCs w:val="24"/>
    </w:rPr>
  </w:style>
  <w:style w:type="paragraph" w:styleId="52">
    <w:name w:val="Quote"/>
    <w:basedOn w:val="1"/>
    <w:next w:val="1"/>
    <w:link w:val="53"/>
    <w:qFormat/>
    <w:uiPriority w:val="29"/>
    <w:pPr>
      <w:ind w:left="720" w:right="720"/>
    </w:pPr>
    <w:rPr>
      <w:i/>
      <w:sz w:val="24"/>
    </w:rPr>
  </w:style>
  <w:style w:type="character" w:customStyle="1" w:styleId="53">
    <w:name w:val="Quote Char"/>
    <w:link w:val="52"/>
    <w:qFormat/>
    <w:uiPriority w:val="29"/>
    <w:rPr>
      <w:i/>
      <w:sz w:val="21"/>
    </w:rPr>
  </w:style>
  <w:style w:type="paragraph" w:styleId="54">
    <w:name w:val="Intense Quote"/>
    <w:basedOn w:val="1"/>
    <w:next w:val="1"/>
    <w:link w:val="55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  <w:sz w:val="24"/>
    </w:rPr>
  </w:style>
  <w:style w:type="character" w:customStyle="1" w:styleId="55">
    <w:name w:val="Intense Quote Char"/>
    <w:link w:val="54"/>
    <w:qFormat/>
    <w:uiPriority w:val="30"/>
    <w:rPr>
      <w:i/>
      <w:sz w:val="21"/>
    </w:rPr>
  </w:style>
  <w:style w:type="character" w:customStyle="1" w:styleId="56">
    <w:name w:val="Header Char"/>
    <w:basedOn w:val="12"/>
    <w:link w:val="23"/>
    <w:qFormat/>
    <w:uiPriority w:val="99"/>
  </w:style>
  <w:style w:type="character" w:customStyle="1" w:styleId="57">
    <w:name w:val="Footer Char"/>
    <w:basedOn w:val="12"/>
    <w:link w:val="19"/>
    <w:qFormat/>
    <w:uiPriority w:val="99"/>
  </w:style>
  <w:style w:type="character" w:customStyle="1" w:styleId="58">
    <w:name w:val="Caption Char"/>
    <w:link w:val="19"/>
    <w:qFormat/>
    <w:uiPriority w:val="99"/>
  </w:style>
  <w:style w:type="table" w:customStyle="1" w:styleId="59">
    <w:name w:val="Table Grid Light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0">
    <w:name w:val="Plain Table 1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auto"/>
      </w:tcPr>
    </w:tblStylePr>
    <w:tblStylePr w:type="band1Horz">
      <w:tcPr>
        <w:shd w:val="clear" w:color="F1F1F1" w:themeColor="text1" w:themeTint="0D" w:fill="auto"/>
      </w:tcPr>
    </w:tblStylePr>
  </w:style>
  <w:style w:type="table" w:customStyle="1" w:styleId="61">
    <w:name w:val="Plain Table 2"/>
    <w:basedOn w:val="1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62">
    <w:name w:val="Plain Table 3"/>
    <w:basedOn w:val="13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3">
    <w:name w:val="Plain Table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4">
    <w:name w:val="Plain Table 5"/>
    <w:basedOn w:val="13"/>
    <w:qFormat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5">
    <w:name w:val="Grid Table 1 Light"/>
    <w:basedOn w:val="13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66">
    <w:name w:val="Grid Table 1 Light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67">
    <w:name w:val="Grid Table 1 Light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68">
    <w:name w:val="Grid Table 1 Light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69">
    <w:name w:val="Grid Table 1 Light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70">
    <w:name w:val="Grid Table 1 Light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71">
    <w:name w:val="Grid Table 1 Light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72">
    <w:name w:val="Grid Table 2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73">
    <w:name w:val="Grid Table 2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74">
    <w:name w:val="Grid Table 2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75">
    <w:name w:val="Grid Table 2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76">
    <w:name w:val="Grid Table 2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77">
    <w:name w:val="Grid Table 2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78">
    <w:name w:val="Grid Table 2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79">
    <w:name w:val="Grid Table 3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0">
    <w:name w:val="Grid Table 3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81">
    <w:name w:val="Grid Table 3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2">
    <w:name w:val="Grid Table 3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83">
    <w:name w:val="Grid Table 3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84">
    <w:name w:val="Grid Table 3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85">
    <w:name w:val="Grid Table 3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86">
    <w:name w:val="Grid Table 4"/>
    <w:basedOn w:val="13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auto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7">
    <w:name w:val="Grid Table 4 - Accent 1"/>
    <w:basedOn w:val="13"/>
    <w:qFormat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themeColor="accent1" w:themeTint="EA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</w:style>
  <w:style w:type="table" w:customStyle="1" w:styleId="88">
    <w:name w:val="Grid Table 4 - Accent 2"/>
    <w:basedOn w:val="13"/>
    <w:qFormat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themeColor="accent2" w:themeTint="97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9">
    <w:name w:val="Grid Table 4 - Accent 3"/>
    <w:basedOn w:val="13"/>
    <w:qFormat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themeColor="accent3" w:themeTint="FE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90">
    <w:name w:val="Grid Table 4 - Accent 4"/>
    <w:basedOn w:val="13"/>
    <w:qFormat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themeColor="accent4" w:themeTint="9A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91">
    <w:name w:val="Grid Table 4 - Accent 5"/>
    <w:basedOn w:val="13"/>
    <w:qFormat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themeColor="accent5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92">
    <w:name w:val="Grid Table 4 - Accent 6"/>
    <w:basedOn w:val="13"/>
    <w:qFormat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themeColor="accent6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93">
    <w:name w:val="Grid Table 5 Dark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band1Vert">
      <w:tcPr>
        <w:shd w:val="clear" w:color="898989" w:themeColor="text1" w:themeTint="75" w:fill="auto"/>
      </w:tcPr>
    </w:tblStylePr>
    <w:tblStylePr w:type="band1Horz">
      <w:tcPr>
        <w:shd w:val="clear" w:color="898989" w:themeColor="text1" w:themeTint="75" w:fill="auto"/>
      </w:tcPr>
    </w:tblStylePr>
  </w:style>
  <w:style w:type="table" w:customStyle="1" w:styleId="94">
    <w:name w:val="Grid Table 5 Dark- Accent 1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band1Vert">
      <w:tcPr>
        <w:shd w:val="clear" w:color="AEC5E0" w:themeColor="accent1" w:themeTint="75" w:fill="auto"/>
      </w:tcPr>
    </w:tblStylePr>
    <w:tblStylePr w:type="band1Horz">
      <w:tcPr>
        <w:shd w:val="clear" w:color="AEC5E0" w:themeColor="accent1" w:themeTint="75" w:fill="auto"/>
      </w:tcPr>
    </w:tblStylePr>
  </w:style>
  <w:style w:type="table" w:customStyle="1" w:styleId="95">
    <w:name w:val="Grid Table 5 Dark - Accent 2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band1Vert">
      <w:tcPr>
        <w:shd w:val="clear" w:color="E2AEAD" w:themeColor="accent2" w:themeTint="75" w:fill="auto"/>
      </w:tcPr>
    </w:tblStylePr>
    <w:tblStylePr w:type="band1Horz">
      <w:tcPr>
        <w:shd w:val="clear" w:color="E2AEAD" w:themeColor="accent2" w:themeTint="75" w:fill="auto"/>
      </w:tcPr>
    </w:tblStylePr>
  </w:style>
  <w:style w:type="table" w:customStyle="1" w:styleId="96">
    <w:name w:val="Grid Table 5 Dark - Accent 3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band1Vert">
      <w:tcPr>
        <w:shd w:val="clear" w:color="D1DFB2" w:themeColor="accent3" w:themeTint="75" w:fill="auto"/>
      </w:tcPr>
    </w:tblStylePr>
    <w:tblStylePr w:type="band1Horz">
      <w:tcPr>
        <w:shd w:val="clear" w:color="D1DFB2" w:themeColor="accent3" w:themeTint="75" w:fill="auto"/>
      </w:tcPr>
    </w:tblStylePr>
  </w:style>
  <w:style w:type="table" w:customStyle="1" w:styleId="97">
    <w:name w:val="Grid Table 5 Dark- Accent 4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band1Vert">
      <w:tcPr>
        <w:shd w:val="clear" w:color="C4B7D4" w:themeColor="accent4" w:themeTint="75" w:fill="auto"/>
      </w:tcPr>
    </w:tblStylePr>
    <w:tblStylePr w:type="band1Horz">
      <w:tcPr>
        <w:shd w:val="clear" w:color="C4B7D4" w:themeColor="accent4" w:themeTint="75" w:fill="auto"/>
      </w:tcPr>
    </w:tblStylePr>
  </w:style>
  <w:style w:type="table" w:customStyle="1" w:styleId="98">
    <w:name w:val="Grid Table 5 Dark - Accent 5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band1Vert">
      <w:tcPr>
        <w:shd w:val="clear" w:color="ACD8E4" w:themeColor="accent5" w:themeTint="75" w:fill="auto"/>
      </w:tcPr>
    </w:tblStylePr>
    <w:tblStylePr w:type="band1Horz">
      <w:tcPr>
        <w:shd w:val="clear" w:color="ACD8E4" w:themeColor="accent5" w:themeTint="75" w:fill="auto"/>
      </w:tcPr>
    </w:tblStylePr>
  </w:style>
  <w:style w:type="table" w:customStyle="1" w:styleId="99">
    <w:name w:val="Grid Table 5 Dark - Accent 6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band1Vert">
      <w:tcPr>
        <w:shd w:val="clear" w:color="FBCEAA" w:themeColor="accent6" w:themeTint="75" w:fill="auto"/>
      </w:tcPr>
    </w:tblStylePr>
    <w:tblStylePr w:type="band1Horz">
      <w:tcPr>
        <w:shd w:val="clear" w:color="FBCEAA" w:themeColor="accent6" w:themeTint="75" w:fill="auto"/>
      </w:tcPr>
    </w:tblStylePr>
  </w:style>
  <w:style w:type="table" w:customStyle="1" w:styleId="100">
    <w:name w:val="Grid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1">
    <w:name w:val="Grid Table 6 Colorful - Accent 1"/>
    <w:basedOn w:val="13"/>
    <w:qFormat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2">
    <w:name w:val="Grid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3">
    <w:name w:val="Grid Table 6 Colorful - Accent 3"/>
    <w:basedOn w:val="13"/>
    <w:qFormat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4">
    <w:name w:val="Grid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5">
    <w:name w:val="Grid Table 6 Colorful - Accent 5"/>
    <w:basedOn w:val="13"/>
    <w:qFormat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6">
    <w:name w:val="Grid Table 6 Colorful - Accent 6"/>
    <w:basedOn w:val="13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7">
    <w:name w:val="Grid Table 7 Colorful"/>
    <w:basedOn w:val="13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8">
    <w:name w:val="Grid Table 7 Colorful - Accent 1"/>
    <w:basedOn w:val="13"/>
    <w:qFormat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9">
    <w:name w:val="Grid Table 7 Colorful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10">
    <w:name w:val="Grid Table 7 Colorful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11">
    <w:name w:val="Grid Table 7 Colorful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12">
    <w:name w:val="Grid Table 7 Colorful - Accent 5"/>
    <w:basedOn w:val="13"/>
    <w:qFormat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8" w:themeColor="accent5" w:themeShade="94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66778" w:themeColor="accent5" w:themeShade="94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13">
    <w:name w:val="Grid Table 7 Colorful - Accent 6"/>
    <w:basedOn w:val="13"/>
    <w:qFormat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05408" w:themeColor="accent6" w:themeShade="94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05408" w:themeColor="accent6" w:themeShade="94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B05408" w:themeColor="accent6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B05408" w:themeColor="accent6" w:themeShade="94"/>
        <w:sz w:val="22"/>
      </w:rPr>
    </w:tblStylePr>
  </w:style>
  <w:style w:type="table" w:customStyle="1" w:styleId="114">
    <w:name w:val="List Table 1 Light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auto"/>
      </w:tcPr>
    </w:tblStylePr>
    <w:tblStylePr w:type="band1Horz">
      <w:tcPr>
        <w:shd w:val="clear" w:color="BEBEBE" w:themeColor="text1" w:themeTint="40" w:fill="auto"/>
      </w:tcPr>
    </w:tblStylePr>
  </w:style>
  <w:style w:type="table" w:customStyle="1" w:styleId="115">
    <w:name w:val="List Table 1 Light - Accent 1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themeColor="accent1" w:themeTint="40" w:fill="auto"/>
      </w:tcPr>
    </w:tblStylePr>
    <w:tblStylePr w:type="band1Horz">
      <w:tcPr>
        <w:shd w:val="clear" w:color="D2DFEE" w:themeColor="accent1" w:themeTint="40" w:fill="auto"/>
      </w:tcPr>
    </w:tblStylePr>
  </w:style>
  <w:style w:type="table" w:customStyle="1" w:styleId="116">
    <w:name w:val="List Table 1 Light - Accent 2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themeColor="accent2" w:themeTint="40" w:fill="auto"/>
      </w:tcPr>
    </w:tblStylePr>
    <w:tblStylePr w:type="band1Horz">
      <w:tcPr>
        <w:shd w:val="clear" w:color="EFD3D2" w:themeColor="accent2" w:themeTint="40" w:fill="auto"/>
      </w:tcPr>
    </w:tblStylePr>
  </w:style>
  <w:style w:type="table" w:customStyle="1" w:styleId="117">
    <w:name w:val="List Table 1 Light - Accent 3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themeColor="accent3" w:themeTint="40" w:fill="auto"/>
      </w:tcPr>
    </w:tblStylePr>
    <w:tblStylePr w:type="band1Horz">
      <w:tcPr>
        <w:shd w:val="clear" w:color="E5EDD5" w:themeColor="accent3" w:themeTint="40" w:fill="auto"/>
      </w:tcPr>
    </w:tblStylePr>
  </w:style>
  <w:style w:type="table" w:customStyle="1" w:styleId="118">
    <w:name w:val="List Table 1 Light - Accent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themeColor="accent4" w:themeTint="40" w:fill="auto"/>
      </w:tcPr>
    </w:tblStylePr>
    <w:tblStylePr w:type="band1Horz">
      <w:tcPr>
        <w:shd w:val="clear" w:color="DFD8E7" w:themeColor="accent4" w:themeTint="40" w:fill="auto"/>
      </w:tcPr>
    </w:tblStylePr>
  </w:style>
  <w:style w:type="table" w:customStyle="1" w:styleId="119">
    <w:name w:val="List Table 1 Light - Accent 5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themeColor="accent5" w:themeTint="40" w:fill="auto"/>
      </w:tcPr>
    </w:tblStylePr>
    <w:tblStylePr w:type="band1Horz">
      <w:tcPr>
        <w:shd w:val="clear" w:color="D1EAF0" w:themeColor="accent5" w:themeTint="40" w:fill="auto"/>
      </w:tcPr>
    </w:tblStylePr>
  </w:style>
  <w:style w:type="table" w:customStyle="1" w:styleId="120">
    <w:name w:val="List Table 1 Light - Accent 6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themeColor="accent6" w:themeTint="40" w:fill="auto"/>
      </w:tcPr>
    </w:tblStylePr>
    <w:tblStylePr w:type="band1Horz">
      <w:tcPr>
        <w:shd w:val="clear" w:color="FCE4D0" w:themeColor="accent6" w:themeTint="40" w:fill="auto"/>
      </w:tcPr>
    </w:tblStylePr>
  </w:style>
  <w:style w:type="table" w:customStyle="1" w:styleId="121">
    <w:name w:val="List Table 2"/>
    <w:basedOn w:val="13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22">
    <w:name w:val="List Table 2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23">
    <w:name w:val="List Table 2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24">
    <w:name w:val="List Table 2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25">
    <w:name w:val="List Table 2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26">
    <w:name w:val="List Table 2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27">
    <w:name w:val="List Table 2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28">
    <w:name w:val="List Table 3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29">
    <w:name w:val="List Table 3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30">
    <w:name w:val="List Table 3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31">
    <w:name w:val="List Table 3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32">
    <w:name w:val="List Table 3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33">
    <w:name w:val="List Table 3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34">
    <w:name w:val="List Table 3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35">
    <w:name w:val="List Table 4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36">
    <w:name w:val="List Table 4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37">
    <w:name w:val="List Table 4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38">
    <w:name w:val="List Table 4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39">
    <w:name w:val="List Table 4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40">
    <w:name w:val="List Table 4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41">
    <w:name w:val="List Table 4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42">
    <w:name w:val="List Table 5 Dark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</w:style>
  <w:style w:type="table" w:customStyle="1" w:styleId="143">
    <w:name w:val="List Table 5 Dark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themeColor="accent1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</w:style>
  <w:style w:type="table" w:customStyle="1" w:styleId="144">
    <w:name w:val="List Table 5 Dark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themeColor="accent2" w:themeTint="97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</w:style>
  <w:style w:type="table" w:customStyle="1" w:styleId="145">
    <w:name w:val="List Table 5 Dark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themeColor="accent3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</w:style>
  <w:style w:type="table" w:customStyle="1" w:styleId="146">
    <w:name w:val="List Table 5 Dark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themeColor="accent4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</w:style>
  <w:style w:type="table" w:customStyle="1" w:styleId="147">
    <w:name w:val="List Table 5 Dark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themeColor="accent5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</w:style>
  <w:style w:type="table" w:customStyle="1" w:styleId="148">
    <w:name w:val="List Table 5 Dark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themeColor="accent6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</w:style>
  <w:style w:type="table" w:customStyle="1" w:styleId="149">
    <w:name w:val="List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150">
    <w:name w:val="List Table 6 Colorful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4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4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4"/>
      </w:rPr>
    </w:tblStylePr>
    <w:tblStylePr w:type="lastCol">
      <w:rPr>
        <w:b/>
        <w:color w:val="2A4B71" w:themeColor="accent1" w:themeShade="94"/>
      </w:r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1">
    <w:name w:val="List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2">
    <w:name w:val="List Table 6 Colorful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3">
    <w:name w:val="List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4">
    <w:name w:val="List Table 6 Colorful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5">
    <w:name w:val="List Table 6 Colorful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6">
    <w:name w:val="List Table 7 Colorful"/>
    <w:basedOn w:val="13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57">
    <w:name w:val="List Table 7 Colorful - Accent 1"/>
    <w:basedOn w:val="13"/>
    <w:qFormat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A4B71" w:themeColor="accent1" w:themeShade="94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8">
    <w:name w:val="List Table 7 Colorful - Accent 2"/>
    <w:basedOn w:val="13"/>
    <w:qFormat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9">
    <w:name w:val="List Table 7 Colorful - Accent 3"/>
    <w:basedOn w:val="13"/>
    <w:qFormat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60">
    <w:name w:val="List Table 7 Colorful - Accent 4"/>
    <w:basedOn w:val="13"/>
    <w:qFormat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61">
    <w:name w:val="List Table 7 Colorful - Accent 5"/>
    <w:basedOn w:val="13"/>
    <w:qFormat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62">
    <w:name w:val="List Table 7 Colorful - Accent 6"/>
    <w:basedOn w:val="13"/>
    <w:qFormat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63">
    <w:name w:val="Lined - Accent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64">
    <w:name w:val="Lined - Accent 1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65">
    <w:name w:val="Lined - Accent 2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66">
    <w:name w:val="Lined - Accent 3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67">
    <w:name w:val="Lined - Accent 4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68">
    <w:name w:val="Lined - Accent 5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69">
    <w:name w:val="Lined - Accent 6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0">
    <w:name w:val="Bordered &amp; Lined - Accent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71">
    <w:name w:val="Bordered &amp; Lined - Accent 1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72">
    <w:name w:val="Bordered &amp; Lined - Accent 2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73">
    <w:name w:val="Bordered &amp; Lined - Accent 3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74">
    <w:name w:val="Bordered &amp; Lined - Accent 4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75">
    <w:name w:val="Bordered &amp; Lined - Accent 5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76">
    <w:name w:val="Bordered &amp; Lined - Accent 6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7">
    <w:name w:val="Bordered"/>
    <w:basedOn w:val="13"/>
    <w:qFormat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78">
    <w:name w:val="Bordered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79">
    <w:name w:val="Bordered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80">
    <w:name w:val="Bordered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81">
    <w:name w:val="Bordered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82">
    <w:name w:val="Bordered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83">
    <w:name w:val="Bordered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84">
    <w:name w:val="Footnote Text Char"/>
    <w:qFormat/>
    <w:uiPriority w:val="99"/>
    <w:rPr>
      <w:sz w:val="21"/>
    </w:rPr>
  </w:style>
  <w:style w:type="character" w:customStyle="1" w:styleId="185">
    <w:name w:val="Endnote Text Char"/>
    <w:link w:val="18"/>
    <w:qFormat/>
    <w:uiPriority w:val="99"/>
    <w:rPr>
      <w:sz w:val="21"/>
    </w:rPr>
  </w:style>
  <w:style w:type="paragraph" w:customStyle="1" w:styleId="186">
    <w:name w:val="Compact"/>
    <w:basedOn w:val="3"/>
    <w:qFormat/>
    <w:uiPriority w:val="0"/>
    <w:pPr>
      <w:spacing w:before="36" w:after="36"/>
    </w:pPr>
    <w:rPr>
      <w:sz w:val="21"/>
    </w:rPr>
  </w:style>
  <w:style w:type="paragraph" w:customStyle="1" w:styleId="187">
    <w:name w:val="Author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188">
    <w:name w:val="Abstract"/>
    <w:basedOn w:val="1"/>
    <w:next w:val="3"/>
    <w:qFormat/>
    <w:uiPriority w:val="0"/>
    <w:pPr>
      <w:keepNext/>
      <w:keepLines/>
      <w:spacing w:before="300" w:after="300"/>
    </w:pPr>
    <w:rPr>
      <w:sz w:val="24"/>
      <w:szCs w:val="20"/>
    </w:rPr>
  </w:style>
  <w:style w:type="paragraph" w:customStyle="1" w:styleId="189">
    <w:name w:val="Bibliography"/>
    <w:basedOn w:val="1"/>
    <w:qFormat/>
    <w:uiPriority w:val="0"/>
  </w:style>
  <w:style w:type="table" w:customStyle="1" w:styleId="190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000000" w:sz="4" w:space="0"/>
        </w:tcBorders>
        <w:vAlign w:val="bottom"/>
      </w:tcPr>
    </w:tblStylePr>
  </w:style>
  <w:style w:type="paragraph" w:customStyle="1" w:styleId="191">
    <w:name w:val="Definition Term"/>
    <w:basedOn w:val="1"/>
    <w:next w:val="192"/>
    <w:qFormat/>
    <w:uiPriority w:val="0"/>
    <w:pPr>
      <w:keepNext/>
      <w:keepLines/>
      <w:spacing w:after="0"/>
    </w:pPr>
    <w:rPr>
      <w:b/>
      <w:sz w:val="24"/>
    </w:rPr>
  </w:style>
  <w:style w:type="paragraph" w:customStyle="1" w:styleId="192">
    <w:name w:val="Definition"/>
    <w:basedOn w:val="1"/>
    <w:qFormat/>
    <w:uiPriority w:val="0"/>
    <w:rPr>
      <w:sz w:val="21"/>
    </w:rPr>
  </w:style>
  <w:style w:type="paragraph" w:customStyle="1" w:styleId="193">
    <w:name w:val="Table Caption"/>
    <w:basedOn w:val="15"/>
    <w:qFormat/>
    <w:uiPriority w:val="0"/>
    <w:pPr>
      <w:keepNext/>
    </w:pPr>
    <w:rPr>
      <w:sz w:val="21"/>
    </w:rPr>
  </w:style>
  <w:style w:type="paragraph" w:customStyle="1" w:styleId="194">
    <w:name w:val="Image Caption"/>
    <w:basedOn w:val="15"/>
    <w:qFormat/>
    <w:uiPriority w:val="0"/>
  </w:style>
  <w:style w:type="paragraph" w:customStyle="1" w:styleId="195">
    <w:name w:val="Figure"/>
    <w:basedOn w:val="1"/>
    <w:qFormat/>
    <w:uiPriority w:val="0"/>
  </w:style>
  <w:style w:type="paragraph" w:customStyle="1" w:styleId="196">
    <w:name w:val="Captioned Figure"/>
    <w:basedOn w:val="195"/>
    <w:qFormat/>
    <w:uiPriority w:val="0"/>
    <w:pPr>
      <w:keepNext/>
    </w:pPr>
    <w:rPr>
      <w:sz w:val="21"/>
    </w:rPr>
  </w:style>
  <w:style w:type="character" w:customStyle="1" w:styleId="197">
    <w:name w:val="Verbatim Char"/>
    <w:basedOn w:val="21"/>
    <w:qFormat/>
    <w:uiPriority w:val="0"/>
    <w:rPr>
      <w:rFonts w:ascii="Times New Roman" w:hAnsi="Times New Roman" w:eastAsia="SimSun"/>
      <w:sz w:val="21"/>
    </w:rPr>
  </w:style>
  <w:style w:type="character" w:customStyle="1" w:styleId="198">
    <w:name w:val="Section Number"/>
    <w:basedOn w:val="21"/>
    <w:qFormat/>
    <w:uiPriority w:val="0"/>
  </w:style>
  <w:style w:type="paragraph" w:customStyle="1" w:styleId="199">
    <w:name w:val="TOC Heading"/>
    <w:basedOn w:val="2"/>
    <w:next w:val="3"/>
    <w:unhideWhenUsed/>
    <w:qFormat/>
    <w:uiPriority w:val="39"/>
    <w:pPr>
      <w:spacing w:before="240" w:line="259" w:lineRule="auto"/>
      <w:jc w:val="center"/>
      <w:outlineLvl w:val="9"/>
    </w:pPr>
    <w:rPr>
      <w:rFonts w:asciiTheme="majorHAnsi" w:hAnsiTheme="majorHAnsi" w:eastAsiaTheme="majorEastAsia" w:cstheme="majorBidi"/>
      <w:b w:val="0"/>
      <w:bCs w:val="0"/>
      <w:color w:val="000000"/>
      <w:sz w:val="24"/>
    </w:rPr>
  </w:style>
  <w:style w:type="paragraph" w:customStyle="1" w:styleId="200">
    <w:name w:val="Source Code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01">
    <w:name w:val="KeywordTok"/>
    <w:qFormat/>
    <w:uiPriority w:val="0"/>
    <w:rPr>
      <w:b/>
      <w:color w:val="204A87"/>
      <w:sz w:val="21"/>
      <w:shd w:val="clear" w:fill="EDEDED"/>
    </w:rPr>
  </w:style>
  <w:style w:type="character" w:customStyle="1" w:styleId="202">
    <w:name w:val="DataTypeTok"/>
    <w:qFormat/>
    <w:uiPriority w:val="0"/>
    <w:rPr>
      <w:color w:val="204A87"/>
      <w:sz w:val="21"/>
      <w:shd w:val="clear" w:fill="EDEDED"/>
    </w:rPr>
  </w:style>
  <w:style w:type="character" w:customStyle="1" w:styleId="203">
    <w:name w:val="DecValTok"/>
    <w:qFormat/>
    <w:uiPriority w:val="0"/>
    <w:rPr>
      <w:color w:val="0000CF"/>
      <w:sz w:val="21"/>
      <w:shd w:val="clear" w:fill="EDEDED"/>
    </w:rPr>
  </w:style>
  <w:style w:type="character" w:customStyle="1" w:styleId="204">
    <w:name w:val="BaseNTok"/>
    <w:qFormat/>
    <w:uiPriority w:val="0"/>
    <w:rPr>
      <w:color w:val="0000CF"/>
      <w:sz w:val="21"/>
      <w:shd w:val="clear" w:fill="EDEDED"/>
    </w:rPr>
  </w:style>
  <w:style w:type="character" w:customStyle="1" w:styleId="205">
    <w:name w:val="FloatTok"/>
    <w:qFormat/>
    <w:uiPriority w:val="0"/>
    <w:rPr>
      <w:color w:val="0000CF"/>
      <w:sz w:val="21"/>
      <w:shd w:val="clear" w:fill="EDEDED"/>
    </w:rPr>
  </w:style>
  <w:style w:type="character" w:customStyle="1" w:styleId="206">
    <w:name w:val="ConstantTok"/>
    <w:qFormat/>
    <w:uiPriority w:val="0"/>
    <w:rPr>
      <w:color w:val="000000"/>
      <w:sz w:val="21"/>
      <w:shd w:val="clear" w:fill="EDEDED"/>
    </w:rPr>
  </w:style>
  <w:style w:type="character" w:customStyle="1" w:styleId="207">
    <w:name w:val="CharTok"/>
    <w:qFormat/>
    <w:uiPriority w:val="0"/>
    <w:rPr>
      <w:color w:val="4E9A06"/>
      <w:sz w:val="21"/>
      <w:shd w:val="clear" w:fill="EDEDED"/>
    </w:rPr>
  </w:style>
  <w:style w:type="character" w:customStyle="1" w:styleId="208">
    <w:name w:val="SpecialCharTok"/>
    <w:qFormat/>
    <w:uiPriority w:val="0"/>
    <w:rPr>
      <w:color w:val="000000"/>
      <w:sz w:val="21"/>
      <w:shd w:val="clear" w:fill="EDEDED"/>
    </w:rPr>
  </w:style>
  <w:style w:type="character" w:customStyle="1" w:styleId="209">
    <w:name w:val="StringTok"/>
    <w:qFormat/>
    <w:uiPriority w:val="0"/>
    <w:rPr>
      <w:color w:val="4E9A06"/>
      <w:sz w:val="21"/>
      <w:shd w:val="clear" w:fill="EDEDED"/>
    </w:rPr>
  </w:style>
  <w:style w:type="character" w:customStyle="1" w:styleId="210">
    <w:name w:val="VerbatimStringTok"/>
    <w:qFormat/>
    <w:uiPriority w:val="0"/>
    <w:rPr>
      <w:color w:val="4E9A06"/>
      <w:sz w:val="21"/>
      <w:shd w:val="clear" w:fill="EDEDED"/>
    </w:rPr>
  </w:style>
  <w:style w:type="character" w:customStyle="1" w:styleId="211">
    <w:name w:val="SpecialStringTok"/>
    <w:qFormat/>
    <w:uiPriority w:val="0"/>
    <w:rPr>
      <w:color w:val="4E9A06"/>
      <w:sz w:val="21"/>
      <w:shd w:val="clear" w:fill="EDEDED"/>
    </w:rPr>
  </w:style>
  <w:style w:type="character" w:customStyle="1" w:styleId="212">
    <w:name w:val="ImportTok"/>
    <w:qFormat/>
    <w:uiPriority w:val="0"/>
    <w:rPr>
      <w:sz w:val="21"/>
      <w:shd w:val="clear" w:fill="EDEDED"/>
    </w:rPr>
  </w:style>
  <w:style w:type="character" w:customStyle="1" w:styleId="213">
    <w:name w:val="CommentTok"/>
    <w:qFormat/>
    <w:uiPriority w:val="0"/>
    <w:rPr>
      <w:i/>
      <w:color w:val="8F5902"/>
      <w:sz w:val="21"/>
      <w:shd w:val="clear" w:fill="EDEDED"/>
    </w:rPr>
  </w:style>
  <w:style w:type="character" w:customStyle="1" w:styleId="214">
    <w:name w:val="Documen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5">
    <w:name w:val="Anno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6">
    <w:name w:val="CommentVar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7">
    <w:name w:val="OtherTok"/>
    <w:qFormat/>
    <w:uiPriority w:val="0"/>
    <w:rPr>
      <w:color w:val="8F5902"/>
      <w:sz w:val="21"/>
      <w:shd w:val="clear" w:fill="EDEDED"/>
    </w:rPr>
  </w:style>
  <w:style w:type="character" w:customStyle="1" w:styleId="218">
    <w:name w:val="FunctionTok"/>
    <w:qFormat/>
    <w:uiPriority w:val="0"/>
    <w:rPr>
      <w:color w:val="000000"/>
      <w:sz w:val="21"/>
      <w:shd w:val="clear" w:fill="EDEDED"/>
    </w:rPr>
  </w:style>
  <w:style w:type="character" w:customStyle="1" w:styleId="219">
    <w:name w:val="VariableTok"/>
    <w:qFormat/>
    <w:uiPriority w:val="0"/>
    <w:rPr>
      <w:color w:val="000000"/>
      <w:sz w:val="21"/>
      <w:shd w:val="clear" w:fill="EDEDED"/>
    </w:rPr>
  </w:style>
  <w:style w:type="character" w:customStyle="1" w:styleId="220">
    <w:name w:val="ControlFlowTok"/>
    <w:qFormat/>
    <w:uiPriority w:val="0"/>
    <w:rPr>
      <w:b/>
      <w:color w:val="204A87"/>
      <w:sz w:val="21"/>
      <w:shd w:val="clear" w:fill="EDEDED"/>
    </w:rPr>
  </w:style>
  <w:style w:type="character" w:customStyle="1" w:styleId="221">
    <w:name w:val="OperatorTok"/>
    <w:qFormat/>
    <w:uiPriority w:val="0"/>
    <w:rPr>
      <w:b/>
      <w:color w:val="CE5C00"/>
      <w:sz w:val="21"/>
      <w:shd w:val="clear" w:fill="EDEDED"/>
    </w:rPr>
  </w:style>
  <w:style w:type="character" w:customStyle="1" w:styleId="222">
    <w:name w:val="BuiltInTok"/>
    <w:qFormat/>
    <w:uiPriority w:val="0"/>
    <w:rPr>
      <w:sz w:val="21"/>
      <w:shd w:val="clear" w:fill="EDEDED"/>
    </w:rPr>
  </w:style>
  <w:style w:type="character" w:customStyle="1" w:styleId="223">
    <w:name w:val="ExtensionTok"/>
    <w:qFormat/>
    <w:uiPriority w:val="0"/>
    <w:rPr>
      <w:sz w:val="21"/>
      <w:shd w:val="clear" w:fill="EDEDED"/>
    </w:rPr>
  </w:style>
  <w:style w:type="character" w:customStyle="1" w:styleId="224">
    <w:name w:val="PreprocessorTok"/>
    <w:qFormat/>
    <w:uiPriority w:val="0"/>
    <w:rPr>
      <w:i/>
      <w:color w:val="8F5902"/>
      <w:sz w:val="21"/>
      <w:shd w:val="clear" w:fill="EDEDED"/>
    </w:rPr>
  </w:style>
  <w:style w:type="character" w:customStyle="1" w:styleId="225">
    <w:name w:val="AttributeTok"/>
    <w:qFormat/>
    <w:uiPriority w:val="0"/>
    <w:rPr>
      <w:color w:val="C4A000"/>
      <w:sz w:val="21"/>
      <w:shd w:val="clear" w:fill="EDEDED"/>
    </w:rPr>
  </w:style>
  <w:style w:type="character" w:customStyle="1" w:styleId="226">
    <w:name w:val="RegionMarkerTok"/>
    <w:qFormat/>
    <w:uiPriority w:val="0"/>
    <w:rPr>
      <w:sz w:val="21"/>
      <w:shd w:val="clear" w:fill="EDEDED"/>
    </w:rPr>
  </w:style>
  <w:style w:type="character" w:customStyle="1" w:styleId="227">
    <w:name w:val="Inform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8">
    <w:name w:val="Warning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9">
    <w:name w:val="AlertTok"/>
    <w:qFormat/>
    <w:uiPriority w:val="0"/>
    <w:rPr>
      <w:color w:val="EF2929"/>
      <w:sz w:val="21"/>
      <w:shd w:val="clear" w:fill="EDEDED"/>
    </w:rPr>
  </w:style>
  <w:style w:type="character" w:customStyle="1" w:styleId="230">
    <w:name w:val="ErrorTok"/>
    <w:qFormat/>
    <w:uiPriority w:val="0"/>
    <w:rPr>
      <w:b/>
      <w:color w:val="A40000"/>
      <w:sz w:val="21"/>
      <w:shd w:val="clear" w:fill="EDEDED"/>
    </w:rPr>
  </w:style>
  <w:style w:type="character" w:customStyle="1" w:styleId="231">
    <w:name w:val="NormalTok"/>
    <w:qFormat/>
    <w:uiPriority w:val="0"/>
    <w:rPr>
      <w:sz w:val="21"/>
      <w:shd w:val="clear" w:fill="EDEDED"/>
    </w:rPr>
  </w:style>
  <w:style w:type="paragraph" w:customStyle="1" w:styleId="232">
    <w:name w:val="Source Code1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33">
    <w:name w:val="KeywordTok1"/>
    <w:qFormat/>
    <w:uiPriority w:val="0"/>
    <w:rPr>
      <w:b/>
      <w:color w:val="204A87"/>
      <w:sz w:val="21"/>
      <w:shd w:val="clear" w:fill="EDEDED"/>
    </w:rPr>
  </w:style>
  <w:style w:type="character" w:customStyle="1" w:styleId="234">
    <w:name w:val="DataTypeTok1"/>
    <w:qFormat/>
    <w:uiPriority w:val="0"/>
    <w:rPr>
      <w:color w:val="204A87"/>
      <w:sz w:val="21"/>
      <w:shd w:val="clear" w:fill="EDEDED"/>
    </w:rPr>
  </w:style>
  <w:style w:type="character" w:customStyle="1" w:styleId="235">
    <w:name w:val="DecValTok1"/>
    <w:qFormat/>
    <w:uiPriority w:val="0"/>
    <w:rPr>
      <w:color w:val="0000CF"/>
      <w:sz w:val="21"/>
      <w:shd w:val="clear" w:fill="EDEDED"/>
    </w:rPr>
  </w:style>
  <w:style w:type="character" w:customStyle="1" w:styleId="236">
    <w:name w:val="BaseNTok1"/>
    <w:qFormat/>
    <w:uiPriority w:val="0"/>
    <w:rPr>
      <w:color w:val="0000CF"/>
      <w:sz w:val="21"/>
      <w:shd w:val="clear" w:fill="EDEDED"/>
    </w:rPr>
  </w:style>
  <w:style w:type="character" w:customStyle="1" w:styleId="237">
    <w:name w:val="FloatTok1"/>
    <w:qFormat/>
    <w:uiPriority w:val="0"/>
    <w:rPr>
      <w:color w:val="0000CF"/>
      <w:sz w:val="21"/>
      <w:shd w:val="clear" w:fill="EDEDED"/>
    </w:rPr>
  </w:style>
  <w:style w:type="character" w:customStyle="1" w:styleId="238">
    <w:name w:val="ConstantTok1"/>
    <w:qFormat/>
    <w:uiPriority w:val="0"/>
    <w:rPr>
      <w:color w:val="000000"/>
      <w:sz w:val="21"/>
      <w:shd w:val="clear" w:fill="EDEDED"/>
    </w:rPr>
  </w:style>
  <w:style w:type="character" w:customStyle="1" w:styleId="239">
    <w:name w:val="CharTok1"/>
    <w:qFormat/>
    <w:uiPriority w:val="0"/>
    <w:rPr>
      <w:color w:val="4E9A06"/>
      <w:sz w:val="21"/>
      <w:shd w:val="clear" w:fill="EDEDED"/>
    </w:rPr>
  </w:style>
  <w:style w:type="character" w:customStyle="1" w:styleId="240">
    <w:name w:val="SpecialCharTok1"/>
    <w:qFormat/>
    <w:uiPriority w:val="0"/>
    <w:rPr>
      <w:color w:val="000000"/>
      <w:sz w:val="21"/>
      <w:shd w:val="clear" w:fill="EDEDED"/>
    </w:rPr>
  </w:style>
  <w:style w:type="character" w:customStyle="1" w:styleId="241">
    <w:name w:val="StringTok1"/>
    <w:qFormat/>
    <w:uiPriority w:val="0"/>
    <w:rPr>
      <w:color w:val="4E9A06"/>
      <w:sz w:val="21"/>
      <w:shd w:val="clear" w:fill="EDEDED"/>
    </w:rPr>
  </w:style>
  <w:style w:type="character" w:customStyle="1" w:styleId="242">
    <w:name w:val="VerbatimStringTok1"/>
    <w:qFormat/>
    <w:uiPriority w:val="0"/>
    <w:rPr>
      <w:color w:val="4E9A06"/>
      <w:sz w:val="21"/>
      <w:shd w:val="clear" w:fill="EDEDED"/>
    </w:rPr>
  </w:style>
  <w:style w:type="character" w:customStyle="1" w:styleId="243">
    <w:name w:val="SpecialStringTok1"/>
    <w:qFormat/>
    <w:uiPriority w:val="0"/>
    <w:rPr>
      <w:color w:val="4E9A06"/>
      <w:sz w:val="21"/>
      <w:shd w:val="clear" w:fill="EDEDED"/>
    </w:rPr>
  </w:style>
  <w:style w:type="character" w:customStyle="1" w:styleId="244">
    <w:name w:val="ImportTok1"/>
    <w:qFormat/>
    <w:uiPriority w:val="0"/>
    <w:rPr>
      <w:sz w:val="21"/>
      <w:shd w:val="clear" w:fill="EDEDED"/>
    </w:rPr>
  </w:style>
  <w:style w:type="character" w:customStyle="1" w:styleId="245">
    <w:name w:val="CommentTok1"/>
    <w:qFormat/>
    <w:uiPriority w:val="0"/>
    <w:rPr>
      <w:i/>
      <w:color w:val="8F5902"/>
      <w:sz w:val="21"/>
      <w:shd w:val="clear" w:fill="EDEDED"/>
    </w:rPr>
  </w:style>
  <w:style w:type="character" w:customStyle="1" w:styleId="246">
    <w:name w:val="Documen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7">
    <w:name w:val="Anno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8">
    <w:name w:val="CommentVar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9">
    <w:name w:val="OtherTok1"/>
    <w:qFormat/>
    <w:uiPriority w:val="0"/>
    <w:rPr>
      <w:color w:val="8F5902"/>
      <w:sz w:val="21"/>
      <w:shd w:val="clear" w:fill="EDEDED"/>
    </w:rPr>
  </w:style>
  <w:style w:type="character" w:customStyle="1" w:styleId="250">
    <w:name w:val="FunctionTok1"/>
    <w:qFormat/>
    <w:uiPriority w:val="0"/>
    <w:rPr>
      <w:color w:val="000000"/>
      <w:sz w:val="21"/>
      <w:shd w:val="clear" w:fill="EDEDED"/>
    </w:rPr>
  </w:style>
  <w:style w:type="character" w:customStyle="1" w:styleId="251">
    <w:name w:val="VariableTok1"/>
    <w:qFormat/>
    <w:uiPriority w:val="0"/>
    <w:rPr>
      <w:color w:val="000000"/>
      <w:sz w:val="21"/>
      <w:shd w:val="clear" w:fill="EDEDED"/>
    </w:rPr>
  </w:style>
  <w:style w:type="character" w:customStyle="1" w:styleId="252">
    <w:name w:val="ControlFlowTok1"/>
    <w:qFormat/>
    <w:uiPriority w:val="0"/>
    <w:rPr>
      <w:b/>
      <w:color w:val="204A87"/>
      <w:sz w:val="21"/>
      <w:shd w:val="clear" w:fill="EDEDED"/>
    </w:rPr>
  </w:style>
  <w:style w:type="character" w:customStyle="1" w:styleId="253">
    <w:name w:val="OperatorTok1"/>
    <w:qFormat/>
    <w:uiPriority w:val="0"/>
    <w:rPr>
      <w:b/>
      <w:color w:val="CE5C00"/>
      <w:sz w:val="21"/>
      <w:shd w:val="clear" w:fill="EDEDED"/>
    </w:rPr>
  </w:style>
  <w:style w:type="character" w:customStyle="1" w:styleId="254">
    <w:name w:val="BuiltInTok1"/>
    <w:qFormat/>
    <w:uiPriority w:val="0"/>
    <w:rPr>
      <w:sz w:val="21"/>
      <w:shd w:val="clear" w:fill="EDEDED"/>
    </w:rPr>
  </w:style>
  <w:style w:type="character" w:customStyle="1" w:styleId="255">
    <w:name w:val="ExtensionTok1"/>
    <w:qFormat/>
    <w:uiPriority w:val="0"/>
    <w:rPr>
      <w:sz w:val="21"/>
      <w:shd w:val="clear" w:fill="EDEDED"/>
    </w:rPr>
  </w:style>
  <w:style w:type="character" w:customStyle="1" w:styleId="256">
    <w:name w:val="PreprocessorTok1"/>
    <w:qFormat/>
    <w:uiPriority w:val="0"/>
    <w:rPr>
      <w:i/>
      <w:color w:val="8F5902"/>
      <w:sz w:val="21"/>
      <w:shd w:val="clear" w:fill="EDEDED"/>
    </w:rPr>
  </w:style>
  <w:style w:type="character" w:customStyle="1" w:styleId="257">
    <w:name w:val="AttributeTok1"/>
    <w:qFormat/>
    <w:uiPriority w:val="0"/>
    <w:rPr>
      <w:color w:val="C4A000"/>
      <w:sz w:val="21"/>
      <w:shd w:val="clear" w:fill="EDEDED"/>
    </w:rPr>
  </w:style>
  <w:style w:type="character" w:customStyle="1" w:styleId="258">
    <w:name w:val="RegionMarkerTok1"/>
    <w:qFormat/>
    <w:uiPriority w:val="0"/>
    <w:rPr>
      <w:sz w:val="21"/>
      <w:shd w:val="clear" w:fill="EDEDED"/>
    </w:rPr>
  </w:style>
  <w:style w:type="character" w:customStyle="1" w:styleId="259">
    <w:name w:val="Inform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0">
    <w:name w:val="Warning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1">
    <w:name w:val="AlertTok1"/>
    <w:qFormat/>
    <w:uiPriority w:val="0"/>
    <w:rPr>
      <w:color w:val="EF2929"/>
      <w:sz w:val="21"/>
      <w:shd w:val="clear" w:fill="EDEDED"/>
    </w:rPr>
  </w:style>
  <w:style w:type="character" w:customStyle="1" w:styleId="262">
    <w:name w:val="ErrorTok1"/>
    <w:qFormat/>
    <w:uiPriority w:val="0"/>
    <w:rPr>
      <w:b/>
      <w:color w:val="A40000"/>
      <w:sz w:val="21"/>
      <w:shd w:val="clear" w:fill="EDEDED"/>
    </w:rPr>
  </w:style>
  <w:style w:type="character" w:customStyle="1" w:styleId="263">
    <w:name w:val="NormalTok1"/>
    <w:qFormat/>
    <w:uiPriority w:val="0"/>
    <w:rPr>
      <w:sz w:val="21"/>
      <w:shd w:val="clear" w:fill="EDEDED"/>
    </w:rPr>
  </w:style>
  <w:style w:type="paragraph" w:customStyle="1" w:styleId="264">
    <w:name w:val="Source Code2"/>
    <w:qFormat/>
    <w:uiPriority w:val="0"/>
    <w:pPr>
      <w:shd w:val="clear" w:fill="F8F8F8"/>
      <w:wordWrap w:val="0"/>
    </w:pPr>
    <w:rPr>
      <w:rFonts w:asciiTheme="minorHAnsi" w:hAnsiTheme="minorHAnsi" w:eastAsiaTheme="minorHAnsi" w:cstheme="minorBidi"/>
    </w:rPr>
  </w:style>
  <w:style w:type="character" w:customStyle="1" w:styleId="265">
    <w:name w:val="KeywordTok2"/>
    <w:qFormat/>
    <w:uiPriority w:val="0"/>
    <w:rPr>
      <w:b/>
      <w:color w:val="204A87"/>
      <w:shd w:val="clear" w:fill="F8F8F8"/>
    </w:rPr>
  </w:style>
  <w:style w:type="character" w:customStyle="1" w:styleId="266">
    <w:name w:val="DataTypeTok2"/>
    <w:qFormat/>
    <w:uiPriority w:val="0"/>
    <w:rPr>
      <w:color w:val="204A87"/>
      <w:shd w:val="clear" w:fill="F8F8F8"/>
    </w:rPr>
  </w:style>
  <w:style w:type="character" w:customStyle="1" w:styleId="267">
    <w:name w:val="DecValTok2"/>
    <w:qFormat/>
    <w:uiPriority w:val="0"/>
    <w:rPr>
      <w:color w:val="0000CF"/>
      <w:shd w:val="clear" w:fill="F8F8F8"/>
    </w:rPr>
  </w:style>
  <w:style w:type="character" w:customStyle="1" w:styleId="268">
    <w:name w:val="BaseNTok2"/>
    <w:qFormat/>
    <w:uiPriority w:val="0"/>
    <w:rPr>
      <w:color w:val="0000CF"/>
      <w:shd w:val="clear" w:fill="F8F8F8"/>
    </w:rPr>
  </w:style>
  <w:style w:type="character" w:customStyle="1" w:styleId="269">
    <w:name w:val="FloatTok2"/>
    <w:qFormat/>
    <w:uiPriority w:val="0"/>
    <w:rPr>
      <w:color w:val="0000CF"/>
      <w:shd w:val="clear" w:fill="F8F8F8"/>
    </w:rPr>
  </w:style>
  <w:style w:type="character" w:customStyle="1" w:styleId="270">
    <w:name w:val="ConstantTok2"/>
    <w:qFormat/>
    <w:uiPriority w:val="0"/>
    <w:rPr>
      <w:color w:val="000000"/>
      <w:shd w:val="clear" w:fill="F8F8F8"/>
    </w:rPr>
  </w:style>
  <w:style w:type="character" w:customStyle="1" w:styleId="271">
    <w:name w:val="CharTok2"/>
    <w:qFormat/>
    <w:uiPriority w:val="0"/>
    <w:rPr>
      <w:color w:val="4E9A06"/>
      <w:shd w:val="clear" w:fill="F8F8F8"/>
    </w:rPr>
  </w:style>
  <w:style w:type="character" w:customStyle="1" w:styleId="272">
    <w:name w:val="SpecialCharTok2"/>
    <w:qFormat/>
    <w:uiPriority w:val="0"/>
    <w:rPr>
      <w:color w:val="000000"/>
      <w:shd w:val="clear" w:fill="F8F8F8"/>
    </w:rPr>
  </w:style>
  <w:style w:type="character" w:customStyle="1" w:styleId="273">
    <w:name w:val="StringTok2"/>
    <w:qFormat/>
    <w:uiPriority w:val="0"/>
    <w:rPr>
      <w:color w:val="4E9A06"/>
      <w:shd w:val="clear" w:fill="F8F8F8"/>
    </w:rPr>
  </w:style>
  <w:style w:type="character" w:customStyle="1" w:styleId="274">
    <w:name w:val="VerbatimStringTok2"/>
    <w:qFormat/>
    <w:uiPriority w:val="0"/>
    <w:rPr>
      <w:color w:val="4E9A06"/>
      <w:shd w:val="clear" w:fill="F8F8F8"/>
    </w:rPr>
  </w:style>
  <w:style w:type="character" w:customStyle="1" w:styleId="275">
    <w:name w:val="SpecialStringTok2"/>
    <w:qFormat/>
    <w:uiPriority w:val="0"/>
    <w:rPr>
      <w:color w:val="4E9A06"/>
      <w:shd w:val="clear" w:fill="F8F8F8"/>
    </w:rPr>
  </w:style>
  <w:style w:type="character" w:customStyle="1" w:styleId="276">
    <w:name w:val="ImportTok2"/>
    <w:qFormat/>
    <w:uiPriority w:val="0"/>
    <w:rPr>
      <w:shd w:val="clear" w:fill="F8F8F8"/>
    </w:rPr>
  </w:style>
  <w:style w:type="character" w:customStyle="1" w:styleId="277">
    <w:name w:val="CommentTok2"/>
    <w:qFormat/>
    <w:uiPriority w:val="0"/>
    <w:rPr>
      <w:i/>
      <w:color w:val="8F5902"/>
      <w:shd w:val="clear" w:fill="F8F8F8"/>
    </w:rPr>
  </w:style>
  <w:style w:type="character" w:customStyle="1" w:styleId="278">
    <w:name w:val="DocumentationTok2"/>
    <w:qFormat/>
    <w:uiPriority w:val="0"/>
    <w:rPr>
      <w:b/>
      <w:i/>
      <w:color w:val="8F5902"/>
      <w:shd w:val="clear" w:fill="F8F8F8"/>
    </w:rPr>
  </w:style>
  <w:style w:type="character" w:customStyle="1" w:styleId="279">
    <w:name w:val="AnnotationTok2"/>
    <w:qFormat/>
    <w:uiPriority w:val="0"/>
    <w:rPr>
      <w:b/>
      <w:i/>
      <w:color w:val="8F5902"/>
      <w:shd w:val="clear" w:fill="F8F8F8"/>
    </w:rPr>
  </w:style>
  <w:style w:type="character" w:customStyle="1" w:styleId="280">
    <w:name w:val="CommentVarTok2"/>
    <w:qFormat/>
    <w:uiPriority w:val="0"/>
    <w:rPr>
      <w:b/>
      <w:i/>
      <w:color w:val="8F5902"/>
      <w:shd w:val="clear" w:fill="F8F8F8"/>
    </w:rPr>
  </w:style>
  <w:style w:type="character" w:customStyle="1" w:styleId="281">
    <w:name w:val="OtherTok2"/>
    <w:qFormat/>
    <w:uiPriority w:val="0"/>
    <w:rPr>
      <w:color w:val="8F5902"/>
      <w:shd w:val="clear" w:fill="F8F8F8"/>
    </w:rPr>
  </w:style>
  <w:style w:type="character" w:customStyle="1" w:styleId="282">
    <w:name w:val="FunctionTok2"/>
    <w:qFormat/>
    <w:uiPriority w:val="0"/>
    <w:rPr>
      <w:color w:val="000000"/>
      <w:shd w:val="clear" w:fill="F8F8F8"/>
    </w:rPr>
  </w:style>
  <w:style w:type="character" w:customStyle="1" w:styleId="283">
    <w:name w:val="VariableTok2"/>
    <w:qFormat/>
    <w:uiPriority w:val="0"/>
    <w:rPr>
      <w:color w:val="000000"/>
      <w:shd w:val="clear" w:fill="F8F8F8"/>
    </w:rPr>
  </w:style>
  <w:style w:type="character" w:customStyle="1" w:styleId="284">
    <w:name w:val="ControlFlowTok2"/>
    <w:qFormat/>
    <w:uiPriority w:val="0"/>
    <w:rPr>
      <w:b/>
      <w:color w:val="204A87"/>
      <w:shd w:val="clear" w:fill="F8F8F8"/>
    </w:rPr>
  </w:style>
  <w:style w:type="character" w:customStyle="1" w:styleId="285">
    <w:name w:val="OperatorTok2"/>
    <w:qFormat/>
    <w:uiPriority w:val="0"/>
    <w:rPr>
      <w:b/>
      <w:color w:val="CE5C00"/>
      <w:shd w:val="clear" w:fill="F8F8F8"/>
    </w:rPr>
  </w:style>
  <w:style w:type="character" w:customStyle="1" w:styleId="286">
    <w:name w:val="BuiltInTok2"/>
    <w:qFormat/>
    <w:uiPriority w:val="0"/>
    <w:rPr>
      <w:shd w:val="clear" w:fill="F8F8F8"/>
    </w:rPr>
  </w:style>
  <w:style w:type="character" w:customStyle="1" w:styleId="287">
    <w:name w:val="ExtensionTok2"/>
    <w:qFormat/>
    <w:uiPriority w:val="0"/>
    <w:rPr>
      <w:shd w:val="clear" w:fill="F8F8F8"/>
    </w:rPr>
  </w:style>
  <w:style w:type="character" w:customStyle="1" w:styleId="288">
    <w:name w:val="PreprocessorTok2"/>
    <w:qFormat/>
    <w:uiPriority w:val="0"/>
    <w:rPr>
      <w:i/>
      <w:color w:val="8F5902"/>
      <w:shd w:val="clear" w:fill="F8F8F8"/>
    </w:rPr>
  </w:style>
  <w:style w:type="character" w:customStyle="1" w:styleId="289">
    <w:name w:val="AttributeTok2"/>
    <w:qFormat/>
    <w:uiPriority w:val="0"/>
    <w:rPr>
      <w:color w:val="C4A000"/>
      <w:shd w:val="clear" w:fill="F8F8F8"/>
    </w:rPr>
  </w:style>
  <w:style w:type="character" w:customStyle="1" w:styleId="290">
    <w:name w:val="RegionMarkerTok2"/>
    <w:qFormat/>
    <w:uiPriority w:val="0"/>
    <w:rPr>
      <w:shd w:val="clear" w:fill="F8F8F8"/>
    </w:rPr>
  </w:style>
  <w:style w:type="character" w:customStyle="1" w:styleId="291">
    <w:name w:val="InformationTok2"/>
    <w:qFormat/>
    <w:uiPriority w:val="0"/>
    <w:rPr>
      <w:b/>
      <w:i/>
      <w:color w:val="8F5902"/>
      <w:shd w:val="clear" w:fill="F8F8F8"/>
    </w:rPr>
  </w:style>
  <w:style w:type="character" w:customStyle="1" w:styleId="292">
    <w:name w:val="WarningTok2"/>
    <w:qFormat/>
    <w:uiPriority w:val="0"/>
    <w:rPr>
      <w:b/>
      <w:i/>
      <w:color w:val="8F5902"/>
      <w:shd w:val="clear" w:fill="F8F8F8"/>
    </w:rPr>
  </w:style>
  <w:style w:type="character" w:customStyle="1" w:styleId="293">
    <w:name w:val="AlertTok2"/>
    <w:qFormat/>
    <w:uiPriority w:val="0"/>
    <w:rPr>
      <w:color w:val="EF2929"/>
      <w:shd w:val="clear" w:fill="F8F8F8"/>
    </w:rPr>
  </w:style>
  <w:style w:type="character" w:customStyle="1" w:styleId="294">
    <w:name w:val="ErrorTok2"/>
    <w:qFormat/>
    <w:uiPriority w:val="0"/>
    <w:rPr>
      <w:b/>
      <w:color w:val="A40000"/>
      <w:shd w:val="clear" w:fill="F8F8F8"/>
    </w:rPr>
  </w:style>
  <w:style w:type="character" w:customStyle="1" w:styleId="295">
    <w:name w:val="NormalTok2"/>
    <w:qFormat/>
    <w:uiPriority w:val="0"/>
    <w:rPr>
      <w:shd w:val="clear" w:fill="F8F8F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TotalTime>1</TotalTime>
  <ScaleCrop>false</ScaleCrop>
  <LinksUpToDate>false</LinksUpToDate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2025-01-03T17:22:00Z</dcterms:created>
  <dc:creator>echo</dc:creator>
  <cp:lastModifiedBy>echo</cp:lastModifiedBy>
  <dcterms:modified xsi:type="dcterms:W3CDTF">2025-01-03T17:23:54Z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/home/echo/utils.tool/inst/extdata/library.bib</vt:lpwstr>
  </property>
  <property fmtid="{D5CDD505-2E9C-101B-9397-08002B2CF9AE}" pid="3" name="csl">
    <vt:lpwstr>/home/echo/utils.tool/inst/extdata/nature.csl</vt:lpwstr>
  </property>
  <property fmtid="{D5CDD505-2E9C-101B-9397-08002B2CF9AE}" pid="4" name="output">
    <vt:lpwstr/>
  </property>
  <property fmtid="{D5CDD505-2E9C-101B-9397-08002B2CF9AE}" pid="5" name="reference-section-title">
    <vt:lpwstr>Reference</vt:lpwstr>
  </property>
  <property fmtid="{D5CDD505-2E9C-101B-9397-08002B2CF9AE}" pid="6" name="KSOProductBuildVer">
    <vt:lpwstr>1033-12.1.0.17900</vt:lpwstr>
  </property>
  <property fmtid="{D5CDD505-2E9C-101B-9397-08002B2CF9AE}" pid="7" name="ICV">
    <vt:lpwstr>ACEEB7A7E4CA6AF0AAAC7767AE82AB8E_42</vt:lpwstr>
  </property>
</Properties>
</file>