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DB789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0D4049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F72B73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62A02E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925ED1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6BD0F22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5A8708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FFE40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D735C5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MYLK分子对接                 ;</w:t>
      </w:r>
    </w:p>
    <w:p w14:paraId="1397ECA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BSCL250222                  ;</w:t>
      </w:r>
    </w:p>
    <w:p w14:paraId="5B41721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4DCA0A5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67E83C0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汪光亮                    ;</w:t>
      </w:r>
    </w:p>
    <w:p w14:paraId="559E8EC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5B188B1">
      <w:r>
        <w:br w:type="page"/>
      </w:r>
    </w:p>
    <w:p w14:paraId="3877801B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6A1DEE32">
      <w:pPr>
        <w:pStyle w:val="2"/>
      </w:pPr>
      <w:bookmarkStart w:id="1" w:name="introduction"/>
      <w:r>
        <w:t>2</w:t>
      </w:r>
      <w:r>
        <w:tab/>
        <w:t>材料和方法</w:t>
      </w:r>
      <w:bookmarkEnd w:id="1"/>
    </w:p>
    <w:p w14:paraId="2B44C860">
      <w:pPr>
        <w:pStyle w:val="4"/>
      </w:pPr>
      <w:bookmarkStart w:id="2" w:name="数据分析平台"/>
      <w:r>
        <w:t>2.1</w:t>
      </w:r>
      <w:r>
        <w:tab/>
        <w:t>数据分析平台</w:t>
      </w:r>
      <w:bookmarkEnd w:id="2"/>
    </w:p>
    <w:p w14:paraId="56906613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683C52E5">
      <w:pPr>
        <w:pStyle w:val="4"/>
      </w:pPr>
      <w:bookmarkStart w:id="3" w:name="bindingdb-药物靶点数据获取-dataset-mylk"/>
      <w:r>
        <w:t>2.2</w:t>
      </w:r>
      <w:r>
        <w:tab/>
        <w:t>BindingDB 药物靶点数据获取 (Dataset: MYLK)</w:t>
      </w:r>
      <w:bookmarkEnd w:id="3"/>
    </w:p>
    <w:p w14:paraId="2F3EFA16">
      <w:pPr>
        <w:pStyle w:val="38"/>
      </w:pPr>
      <w:r>
        <w:t>获取 BindingDB 数据库化合物与靶点蛋白结合数据 (</w:t>
      </w:r>
      <w:r>
        <w:fldChar w:fldCharType="begin"/>
      </w:r>
      <w:r>
        <w:instrText xml:space="preserve"> HYPERLINK "https://www.bindingdb.org/rwd/bind/chemsearch/marvin/Download.jsp" \h </w:instrText>
      </w:r>
      <w:r>
        <w:fldChar w:fldCharType="separate"/>
      </w:r>
      <w:r>
        <w:rPr>
          <w:rStyle w:val="24"/>
        </w:rPr>
        <w:t>https://www.bindingdb.org/rwd/bind/chemsearch/marvin/Download.jsp</w:t>
      </w:r>
      <w:r>
        <w:rPr>
          <w:rStyle w:val="24"/>
        </w:rPr>
        <w:fldChar w:fldCharType="end"/>
      </w:r>
      <w:r>
        <w:t xml:space="preserve">) (2016,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。以 R 包 </w:t>
      </w:r>
      <w:r>
        <w:rPr>
          <w:rStyle w:val="197"/>
        </w:rPr>
        <w:t>UniProt.ws</w:t>
      </w:r>
      <w:r>
        <w:t xml:space="preserve"> (2.46.1) 将基因名 (symbol) 获取 UniprotKB 数据库的 Entry ID。根据 Entry ID 检索 BindingDB 数据中，与该蛋白结合的化合物信息。</w:t>
      </w:r>
    </w:p>
    <w:p w14:paraId="529DF0FD">
      <w:pPr>
        <w:pStyle w:val="4"/>
      </w:pPr>
      <w:bookmarkStart w:id="4" w:name="autodock-vina-分子对接-dataset-mylk"/>
      <w:r>
        <w:t>2.3</w:t>
      </w:r>
      <w:r>
        <w:tab/>
        <w:t>AutoDock vina 分子对接 (Dataset: MYLK)</w:t>
      </w:r>
      <w:bookmarkEnd w:id="4"/>
    </w:p>
    <w:p w14:paraId="7C1D9D0A">
      <w:pPr>
        <w:pStyle w:val="38"/>
      </w:pPr>
      <w:r>
        <w:t xml:space="preserve">以 R 包 </w:t>
      </w:r>
      <w:r>
        <w:rPr>
          <w:rStyle w:val="197"/>
        </w:rPr>
        <w:t>bio3d</w:t>
      </w:r>
      <w:r>
        <w:t xml:space="preserve"> (2.4.5) 获取 PDB ID 对应的注释 (蛋白结构分辨率, resolution) 。 以 PubChem API (</w:t>
      </w:r>
      <w:r>
        <w:fldChar w:fldCharType="begin"/>
      </w:r>
      <w:r>
        <w:instrText xml:space="preserve"> HYPERLINK "https://pubchem.ncbi.nlm.nih.gov/docs/pug-rest" \h </w:instrText>
      </w:r>
      <w:r>
        <w:fldChar w:fldCharType="separate"/>
      </w:r>
      <w:r>
        <w:rPr>
          <w:rStyle w:val="24"/>
        </w:rPr>
        <w:t>https://pubchem.ncbi.nlm.nih.gov/docs/pug-rest</w:t>
      </w:r>
      <w:r>
        <w:rPr>
          <w:rStyle w:val="24"/>
        </w:rPr>
        <w:fldChar w:fldCharType="end"/>
      </w:r>
      <w:r>
        <w:t xml:space="preserve">) 获取化合物 SDF 结构文件。使用 </w:t>
      </w:r>
      <w:r>
        <w:rPr>
          <w:rStyle w:val="197"/>
        </w:rPr>
        <w:t>openbabel</w:t>
      </w:r>
      <w:r>
        <w:t xml:space="preserve"> 的工具 (</w:t>
      </w:r>
      <w:r>
        <w:rPr>
          <w:rStyle w:val="197"/>
        </w:rPr>
        <w:t>obgen</w:t>
      </w:r>
      <w:r>
        <w:t xml:space="preserve">) 计算 SDF 文件的 3D 构象 (转化为 3D SDF文件)。以 Python </w:t>
      </w:r>
      <w:r>
        <w:rPr>
          <w:rStyle w:val="197"/>
        </w:rPr>
        <w:t>meeko</w:t>
      </w:r>
      <w:r>
        <w:t xml:space="preserve"> 包 (</w:t>
      </w:r>
      <w:r>
        <w:rPr>
          <w:rStyle w:val="197"/>
        </w:rPr>
        <w:t>mk_prepare_ligand.py</w:t>
      </w:r>
      <w:r>
        <w:t xml:space="preserve">) 转化 SDF 文件获取配体 PDBQT 用于分子对接。 以 R 包 </w:t>
      </w:r>
      <w:r>
        <w:rPr>
          <w:rStyle w:val="197"/>
        </w:rPr>
        <w:t>UniProt.ws</w:t>
      </w:r>
      <w:r>
        <w:t xml:space="preserve"> (2.46.1) 获取基因 (symbol) 的 </w:t>
      </w:r>
      <w:r>
        <w:rPr>
          <w:rStyle w:val="197"/>
        </w:rPr>
        <w:t>UniProtKB-Swiss-Prot</w:t>
      </w:r>
      <w:r>
        <w:t xml:space="preserve"> ID (Entry ID)，随后，以 Entry ID 从数据库 </w:t>
      </w:r>
      <w:r>
        <w:rPr>
          <w:rStyle w:val="197"/>
        </w:rPr>
        <w:t>AlphaFold</w:t>
      </w:r>
      <w:r>
        <w:t xml:space="preserve"> (</w:t>
      </w:r>
      <w:r>
        <w:fldChar w:fldCharType="begin"/>
      </w:r>
      <w:r>
        <w:instrText xml:space="preserve"> HYPERLINK "https://alphafold.ebi.ac.uk/" \h </w:instrText>
      </w:r>
      <w:r>
        <w:fldChar w:fldCharType="separate"/>
      </w:r>
      <w:r>
        <w:rPr>
          <w:rStyle w:val="24"/>
        </w:rPr>
        <w:t>https://alphafold.ebi.ac.uk/</w:t>
      </w:r>
      <w:r>
        <w:rPr>
          <w:rStyle w:val="24"/>
        </w:rPr>
        <w:fldChar w:fldCharType="end"/>
      </w:r>
      <w:r>
        <w:t xml:space="preserve">) 获取蛋白结构 (预测的结构)。以 </w:t>
      </w:r>
      <w:r>
        <w:rPr>
          <w:rStyle w:val="197"/>
        </w:rPr>
        <w:t>pymol</w:t>
      </w:r>
      <w:r>
        <w:t xml:space="preserve"> (2010, </w:t>
      </w:r>
      <w:r>
        <w:rPr>
          <w:b/>
        </w:rPr>
        <w:t>IF:3</w:t>
      </w:r>
      <w:r>
        <w:t>, Q2, Journal of Computer-Aided Molecular Design)</w:t>
      </w:r>
      <w:r>
        <w:rPr>
          <w:vertAlign w:val="superscript"/>
        </w:rPr>
        <w:t>2</w:t>
      </w:r>
      <w:r>
        <w:t xml:space="preserve"> 删除受体 PDB 文件中的非标准残基 (例如 NAG, BMA, FUL)。以 </w:t>
      </w:r>
      <w:r>
        <w:rPr>
          <w:rStyle w:val="197"/>
        </w:rPr>
        <w:t>pymol</w:t>
      </w:r>
      <w:r>
        <w:t xml:space="preserve"> 仅保留蛋白结构 (polymer.protein) (去除了原 PDB 中的配体等其他结构)。以 </w:t>
      </w:r>
      <w:r>
        <w:rPr>
          <w:rStyle w:val="197"/>
        </w:rPr>
        <w:t>ADFR</w:t>
      </w:r>
      <w:r>
        <w:t xml:space="preserve"> (2019, </w:t>
      </w:r>
      <w:r>
        <w:rPr>
          <w:b/>
        </w:rPr>
        <w:t>IF:3.4</w:t>
      </w:r>
      <w:r>
        <w:t>, Q2, Journal of computational chemistry)</w:t>
      </w:r>
      <w:r>
        <w:rPr>
          <w:vertAlign w:val="superscript"/>
        </w:rPr>
        <w:t>3</w:t>
      </w:r>
      <w:r>
        <w:t xml:space="preserve"> 工具组的准备受体蛋白的 PDBQT 文件 (以 </w:t>
      </w:r>
      <w:r>
        <w:rPr>
          <w:rStyle w:val="197"/>
        </w:rPr>
        <w:t>prepare_receptor</w:t>
      </w:r>
      <w:r>
        <w:t xml:space="preserve"> 添加氢原子，并转化为 PDBQT 文件) 。请参考 </w:t>
      </w:r>
      <w:r>
        <w:fldChar w:fldCharType="begin"/>
      </w:r>
      <w:r>
        <w:instrText xml:space="preserve"> HYPERLINK "https://autodock-vina.readthedocs.io/en/latest/docking_basic.html" \h </w:instrText>
      </w:r>
      <w:r>
        <w:fldChar w:fldCharType="separate"/>
      </w:r>
      <w:r>
        <w:rPr>
          <w:rStyle w:val="24"/>
        </w:rPr>
        <w:t>https://autodock-vina.readthedocs.io/en/latest/docking_basic.html</w:t>
      </w:r>
      <w:r>
        <w:rPr>
          <w:rStyle w:val="24"/>
        </w:rPr>
        <w:fldChar w:fldCharType="end"/>
      </w:r>
      <w:r>
        <w:t xml:space="preserve">。 以 </w:t>
      </w:r>
      <w:r>
        <w:rPr>
          <w:rStyle w:val="197"/>
        </w:rPr>
        <w:t>AutoDock-Vina</w:t>
      </w:r>
      <w:r>
        <w:t xml:space="preserve"> 提供的工具 (</w:t>
      </w:r>
      <w:r>
        <w:rPr>
          <w:rStyle w:val="197"/>
        </w:rPr>
        <w:t>prepare_gpf.py</w:t>
      </w:r>
      <w:r>
        <w:t>) (</w:t>
      </w:r>
      <w:r>
        <w:fldChar w:fldCharType="begin"/>
      </w:r>
      <w:r>
        <w:instrText xml:space="preserve"> HYPERLINK "https://github.com/ccsb-scripps/AutoDock-Vina" \h </w:instrText>
      </w:r>
      <w:r>
        <w:fldChar w:fldCharType="separate"/>
      </w:r>
      <w:r>
        <w:rPr>
          <w:rStyle w:val="24"/>
        </w:rPr>
        <w:t>https://github.com/ccsb-scripps/AutoDock-Vina</w:t>
      </w:r>
      <w:r>
        <w:rPr>
          <w:rStyle w:val="24"/>
        </w:rPr>
        <w:fldChar w:fldCharType="end"/>
      </w:r>
      <w:r>
        <w:t xml:space="preserve">) 创建 GPF (grid parameter file)。以 </w:t>
      </w:r>
      <w:r>
        <w:rPr>
          <w:rStyle w:val="197"/>
        </w:rPr>
        <w:t>ADFR</w:t>
      </w:r>
      <w:r>
        <w:t xml:space="preserve"> (2019, </w:t>
      </w:r>
      <w:r>
        <w:rPr>
          <w:b/>
        </w:rPr>
        <w:t>IF:3.4</w:t>
      </w:r>
      <w:r>
        <w:t>, Q2, Journal of computational chemistry)</w:t>
      </w:r>
      <w:r>
        <w:rPr>
          <w:vertAlign w:val="superscript"/>
        </w:rPr>
        <w:t>3</w:t>
      </w:r>
      <w:r>
        <w:t xml:space="preserve"> 工具 </w:t>
      </w:r>
      <w:r>
        <w:rPr>
          <w:rStyle w:val="197"/>
        </w:rPr>
        <w:t>autogrid4</w:t>
      </w:r>
      <w:r>
        <w:t xml:space="preserve"> 计算亲和图谱 (Affinity Maps)。运行 AutoDock-Vina (2021, </w:t>
      </w:r>
      <w:r>
        <w:rPr>
          <w:b/>
        </w:rPr>
        <w:t>IF:5.6</w:t>
      </w:r>
      <w:r>
        <w:t>, Q1, Journal of Chemical Information and Modeling)</w:t>
      </w:r>
      <w:r>
        <w:rPr>
          <w:vertAlign w:val="superscript"/>
        </w:rPr>
        <w:t>4</w:t>
      </w:r>
      <w:r>
        <w:t xml:space="preserve"> (parameters: scoring = ad4; exhaustiveness = 32)。</w:t>
      </w:r>
    </w:p>
    <w:p w14:paraId="7D0F8E2A">
      <w:pPr>
        <w:pStyle w:val="4"/>
      </w:pPr>
      <w:bookmarkStart w:id="5" w:name="classyfire-获取化合物分类信息-dataset-mylk"/>
      <w:r>
        <w:t>2.4</w:t>
      </w:r>
      <w:r>
        <w:tab/>
        <w:t>Classyfire 获取化合物分类信息 (Dataset: MYLK)</w:t>
      </w:r>
      <w:bookmarkEnd w:id="5"/>
    </w:p>
    <w:p w14:paraId="48AD1FBA">
      <w:pPr>
        <w:pStyle w:val="38"/>
      </w:pPr>
      <w:r>
        <w:t>使用 PubChem API (</w:t>
      </w:r>
      <w:r>
        <w:fldChar w:fldCharType="begin"/>
      </w:r>
      <w:r>
        <w:instrText xml:space="preserve"> HYPERLINK "https://pubchem.ncbi.nlm.nih.gov/docs/pug-rest" \h </w:instrText>
      </w:r>
      <w:r>
        <w:fldChar w:fldCharType="separate"/>
      </w:r>
      <w:r>
        <w:rPr>
          <w:rStyle w:val="24"/>
        </w:rPr>
        <w:t>https://pubchem.ncbi.nlm.nih.gov/docs/pug-rest</w:t>
      </w:r>
      <w:r>
        <w:rPr>
          <w:rStyle w:val="24"/>
        </w:rPr>
        <w:fldChar w:fldCharType="end"/>
      </w:r>
      <w:r>
        <w:t xml:space="preserve">) 获取化合物 InChIKey。 通过 InChIKey，以 </w:t>
      </w:r>
      <w:r>
        <w:rPr>
          <w:rStyle w:val="197"/>
        </w:rPr>
        <w:t>Classyfire</w:t>
      </w:r>
      <w:r>
        <w:t xml:space="preserve"> (2016, </w:t>
      </w:r>
      <w:r>
        <w:rPr>
          <w:b/>
        </w:rPr>
        <w:t>IF:7.1</w:t>
      </w:r>
      <w:r>
        <w:t>, Q1, Journal of Cheminformatics)</w:t>
      </w:r>
      <w:r>
        <w:rPr>
          <w:vertAlign w:val="superscript"/>
        </w:rPr>
        <w:t>5</w:t>
      </w:r>
      <w:r>
        <w:t xml:space="preserve"> 获取化合物系统分类注释。</w:t>
      </w:r>
    </w:p>
    <w:p w14:paraId="4F9EE1A0">
      <w:pPr>
        <w:pStyle w:val="2"/>
      </w:pPr>
      <w:bookmarkStart w:id="6" w:name="workflow"/>
      <w:r>
        <w:t>3</w:t>
      </w:r>
      <w:r>
        <w:tab/>
        <w:t>分析结果</w:t>
      </w:r>
      <w:bookmarkEnd w:id="6"/>
    </w:p>
    <w:p w14:paraId="60F5667B">
      <w:pPr>
        <w:pStyle w:val="4"/>
      </w:pPr>
      <w:bookmarkStart w:id="7" w:name="bindingdb-药物靶点数据获取-mylk"/>
      <w:r>
        <w:t>3.1</w:t>
      </w:r>
      <w:r>
        <w:tab/>
        <w:t>BindingDB 药物靶点数据获取 (MYLK)</w:t>
      </w:r>
      <w:bookmarkEnd w:id="7"/>
    </w:p>
    <w:p w14:paraId="4A511B73">
      <w:pPr>
        <w:pStyle w:val="38"/>
      </w:pPr>
      <w:r>
        <w:t>在 BindingDB 数据中，检索与 MYLK 相关的化合物结合数据。</w:t>
      </w:r>
    </w:p>
    <w:p w14:paraId="59ECCA3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8" w:name="MYLK-bindingdb-annotation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8"/>
      <w:r>
        <w:rPr>
          <w:b/>
        </w:rPr>
        <w:t xml:space="preserve">  </w:t>
      </w:r>
      <w:r>
        <w:t>MYLK bindingdb annotation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59490A00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9C2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BindingDB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3BF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PubChem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2C5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0A02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PDB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2B70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Ligand SMILES</w:t>
            </w:r>
          </w:p>
        </w:tc>
      </w:tr>
      <w:tr w14:paraId="60BD38F5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6F7A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66810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4DC5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9887000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8359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BC04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2CQV,2YR3,6C6M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4259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CN1CCN(CC1)c1ccc2...</w:t>
            </w:r>
          </w:p>
        </w:tc>
      </w:tr>
      <w:tr w14:paraId="65B19B3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5441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66810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53F1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5331000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5F7F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D74F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2CQV,2YR3,6C6M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66D7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Nc1nc(Nc2ccc(cc2)...</w:t>
            </w:r>
          </w:p>
        </w:tc>
      </w:tr>
      <w:tr w14:paraId="1C0DC5D8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7ED1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66810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F4CD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154000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3E60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A3D8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2CQV,2YR3,6C6M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E799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CN(C)C[C@@H]1CCn2...</w:t>
            </w:r>
          </w:p>
        </w:tc>
      </w:tr>
      <w:tr w14:paraId="35F26333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C6AF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66810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E579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9885000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887B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D46C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2CQV,2YR3,6C6M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475A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Oc1cccc(c1)-c1nc(...</w:t>
            </w:r>
          </w:p>
        </w:tc>
      </w:tr>
      <w:tr w14:paraId="13FC0BD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4DB3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66810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3ED7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24200000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CBC0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0625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2CQV,2YR3,6C6M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AAE4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CO[C@H]1[C@H](C[C...</w:t>
            </w:r>
          </w:p>
        </w:tc>
      </w:tr>
      <w:tr w14:paraId="3D3BB63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A9E5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44C9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2B88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9720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461A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186EAC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Figure+Table/3.1_BindingDB_药物靶点数据获取_(MYLK)/MYLK-bindingdb-annotation-data.xlsx)</w:t>
      </w:r>
    </w:p>
    <w:p w14:paraId="64AD1A21">
      <w:pPr>
        <w:pStyle w:val="3"/>
      </w:pPr>
      <w:r>
        <w:t xml:space="preserve">Tab. </w:t>
      </w:r>
      <w:r>
        <w:fldChar w:fldCharType="begin"/>
      </w:r>
      <w:r>
        <w:instrText xml:space="preserve"> HYPERLINK \l "MYLK-bindingdb-annotation-data" \h </w:instrText>
      </w:r>
      <w:r>
        <w:fldChar w:fldCharType="separate"/>
      </w:r>
      <w:r>
        <w:fldChar w:fldCharType="begin"/>
      </w:r>
      <w:r>
        <w:instrText xml:space="preserve"> REF MYLK-bindingdb-annotation-data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 BindingDB 记录的化合物与蛋白结合信息附表。</w:t>
      </w:r>
      <w:bookmarkStart w:id="29" w:name="_GoBack"/>
      <w:bookmarkEnd w:id="29"/>
    </w:p>
    <w:p w14:paraId="7BCFEEA3">
      <w:pPr>
        <w:pStyle w:val="4"/>
      </w:pPr>
      <w:bookmarkStart w:id="9" w:name="autodock-vina-分子对接-mylk"/>
      <w:r>
        <w:t>3.2</w:t>
      </w:r>
      <w:r>
        <w:tab/>
        <w:t>AutoDock vina 分子对接 (MYLK)</w:t>
      </w:r>
      <w:bookmarkEnd w:id="9"/>
    </w:p>
    <w:p w14:paraId="29BD05DE">
      <w:pPr>
        <w:pStyle w:val="38"/>
      </w:pPr>
      <w:r>
        <w:t xml:space="preserve">将 BindingDB 预筛选的化合物与靶点蛋白，用于分子对接。从 PubChem 获取化合物 SDF 结构文件(2D)。以 </w:t>
      </w:r>
      <w:r>
        <w:rPr>
          <w:rStyle w:val="197"/>
        </w:rPr>
        <w:t>openbabel</w:t>
      </w:r>
      <w:r>
        <w:t xml:space="preserve"> 计算化合物的 3D 构象。以 </w:t>
      </w:r>
      <w:r>
        <w:rPr>
          <w:rStyle w:val="197"/>
        </w:rPr>
        <w:t>meeko</w:t>
      </w:r>
      <w:r>
        <w:t xml:space="preserve"> 从 SDF 转化得到配体的 PDBQT 文件。从数据库 </w:t>
      </w:r>
      <w:r>
        <w:rPr>
          <w:rStyle w:val="197"/>
        </w:rPr>
        <w:t>AlphaFold</w:t>
      </w:r>
      <w:r>
        <w:t xml:space="preserve"> 获取 MYLK 预测的蛋白结构 (根据 </w:t>
      </w:r>
      <w:r>
        <w:rPr>
          <w:rStyle w:val="197"/>
        </w:rPr>
        <w:t>UniProtKB-Swiss-Prot</w:t>
      </w:r>
      <w:r>
        <w:t xml:space="preserve"> ID，详见方法章节)。以 </w:t>
      </w:r>
      <w:r>
        <w:rPr>
          <w:rStyle w:val="197"/>
        </w:rPr>
        <w:t>pymol</w:t>
      </w:r>
      <w:r>
        <w:t xml:space="preserve"> 选择 Q15746 蛋白结构中的 chain A 的氨基酸残基 1-922，去除其余部分。以 </w:t>
      </w:r>
      <w:r>
        <w:rPr>
          <w:rStyle w:val="197"/>
        </w:rPr>
        <w:t>pymol</w:t>
      </w:r>
      <w:r>
        <w:t xml:space="preserve"> 去除非标准残基 (NAG, BMA, FUL)。随后，以 </w:t>
      </w:r>
      <w:r>
        <w:rPr>
          <w:rStyle w:val="197"/>
        </w:rPr>
        <w:t>pymol</w:t>
      </w:r>
      <w:r>
        <w:t xml:space="preserve"> 仅保留蛋白结构 (polymer.protein)。以 </w:t>
      </w:r>
      <w:r>
        <w:rPr>
          <w:rStyle w:val="197"/>
        </w:rPr>
        <w:t>ADFR</w:t>
      </w:r>
      <w:r>
        <w:t xml:space="preserve"> 工具给受体添加氢原子，转化为 PDBQT 文件。以 </w:t>
      </w:r>
      <w:r>
        <w:rPr>
          <w:rStyle w:val="197"/>
        </w:rPr>
        <w:t>ADFR</w:t>
      </w:r>
      <w:r>
        <w:t xml:space="preserve"> 创建 Affinity Maps (详见方法章节) 。以 </w:t>
      </w:r>
      <w:r>
        <w:rPr>
          <w:rStyle w:val="197"/>
        </w:rPr>
        <w:t>Autodock-Vina</w:t>
      </w:r>
      <w:r>
        <w:t xml:space="preserve"> 进行自动分子对接。使用 </w:t>
      </w:r>
      <w:r>
        <w:rPr>
          <w:rStyle w:val="197"/>
        </w:rPr>
        <w:t>pymol</w:t>
      </w:r>
      <w:r>
        <w:t xml:space="preserve"> 将分子对接结果可视化。</w:t>
      </w:r>
    </w:p>
    <w:p w14:paraId="6D1DFE73">
      <w:pPr>
        <w:pStyle w:val="3"/>
      </w:pPr>
      <w:r>
        <w:drawing>
          <wp:inline distT="0" distB="0" distL="0" distR="0">
            <wp:extent cx="3719830" cy="4572000"/>
            <wp:effectExtent l="0" t="0" r="139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6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F1EC3">
      <w:pPr>
        <w:pStyle w:val="194"/>
      </w:pPr>
      <w:r>
        <w:rPr>
          <w:b/>
        </w:rPr>
        <w:t xml:space="preserve">Fig. </w:t>
      </w:r>
      <w:bookmarkStart w:id="10" w:name="MYLK-Overall-combining-Affinity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0"/>
      <w:r>
        <w:rPr>
          <w:b/>
        </w:rPr>
        <w:t xml:space="preserve"> </w:t>
      </w:r>
      <w:r>
        <w:t>MYLK Overall combining Affinity</w:t>
      </w:r>
    </w:p>
    <w:p w14:paraId="556C09A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Figure+Table/3.2_AutoDock_vina_分子对接_(MYLK)/MYLK-Overall-combining-Affinity.pdf)</w:t>
      </w:r>
    </w:p>
    <w:p w14:paraId="1A394C02">
      <w:pPr>
        <w:pStyle w:val="3"/>
      </w:pPr>
      <w:r>
        <w:t xml:space="preserve">Fig. </w:t>
      </w:r>
      <w:r>
        <w:fldChar w:fldCharType="begin"/>
      </w:r>
      <w:r>
        <w:instrText xml:space="preserve"> HYPERLINK \l "MYLK-Overall-combining-Affinity" \h </w:instrText>
      </w:r>
      <w:r>
        <w:fldChar w:fldCharType="separate"/>
      </w:r>
      <w:r>
        <w:fldChar w:fldCharType="begin"/>
      </w:r>
      <w:r>
        <w:instrText xml:space="preserve"> REF MYLK-Overall-combining-Affinity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为分子对接亲和度得分可视化，能量越低，代表亲和度越高。</w:t>
      </w:r>
    </w:p>
    <w:p w14:paraId="6AA865B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1" w:name="MYLK-All-combining-Affinity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1"/>
      <w:r>
        <w:rPr>
          <w:b/>
        </w:rPr>
        <w:t xml:space="preserve">  </w:t>
      </w:r>
      <w:r>
        <w:t>MYLK All combining Affinity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189ADA9C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27B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PubChem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B07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PDB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0B77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Affinity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57D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Dir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C6C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File</w:t>
            </w:r>
          </w:p>
        </w:tc>
      </w:tr>
      <w:tr w14:paraId="1A1AB95A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3F9E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9810000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4157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0A3D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-8.557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7763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space/980971...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3F41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space/980971...</w:t>
            </w:r>
          </w:p>
        </w:tc>
      </w:tr>
      <w:tr w14:paraId="72A35537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4DD6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44230000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0716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1EE2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-7.708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4927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space/442252...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121B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space/442252...</w:t>
            </w:r>
          </w:p>
        </w:tc>
      </w:tr>
      <w:tr w14:paraId="6878098C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9301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50900000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FD97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64DA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-7.576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A815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space/508985...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DE25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space/508985...</w:t>
            </w:r>
          </w:p>
        </w:tc>
      </w:tr>
      <w:tr w14:paraId="50C90513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473E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135400000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05FF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AE99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-7.496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4F6B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space/135351...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E733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space/135351...</w:t>
            </w:r>
          </w:p>
        </w:tc>
      </w:tr>
      <w:tr w14:paraId="17A2EB0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AECB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122200000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93E3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Q15746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7729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-7.318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A95F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space/122190...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A86A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Vina space/122190...</w:t>
            </w:r>
          </w:p>
        </w:tc>
      </w:tr>
      <w:tr w14:paraId="0814EC4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23C5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D732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7760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A955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89E2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021635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Figure+Table/3.2_AutoDock_vina_分子对接_(MYLK)/MYLK-All-combining-Affinity-data.xlsx)</w:t>
      </w:r>
    </w:p>
    <w:p w14:paraId="7DE4425F">
      <w:pPr>
        <w:pStyle w:val="3"/>
      </w:pPr>
      <w:r>
        <w:t xml:space="preserve">Tab. </w:t>
      </w:r>
      <w:r>
        <w:fldChar w:fldCharType="begin"/>
      </w:r>
      <w:r>
        <w:instrText xml:space="preserve"> HYPERLINK \l "MYLK-All-combining-Affinity-data" \h </w:instrText>
      </w:r>
      <w:r>
        <w:fldChar w:fldCharType="separate"/>
      </w:r>
      <w:r>
        <w:fldChar w:fldCharType="begin"/>
      </w:r>
      <w:r>
        <w:instrText xml:space="preserve"> REF MYLK-All-combining-Affinity-data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分子对接得分 (亲和度) 附表。</w:t>
      </w:r>
    </w:p>
    <w:p w14:paraId="34791100">
      <w:pPr>
        <w:pStyle w:val="3"/>
      </w:pPr>
      <w:r>
        <w:drawing>
          <wp:inline distT="0" distB="0" distL="0" distR="0">
            <wp:extent cx="3893185" cy="457200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75FD0">
      <w:pPr>
        <w:pStyle w:val="194"/>
      </w:pPr>
      <w:r>
        <w:rPr>
          <w:b/>
        </w:rPr>
        <w:t xml:space="preserve">Fig. </w:t>
      </w:r>
      <w:bookmarkStart w:id="12" w:name="Docking-9809715-into-Q15746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2"/>
      <w:r>
        <w:rPr>
          <w:b/>
        </w:rPr>
        <w:t xml:space="preserve"> </w:t>
      </w:r>
      <w:r>
        <w:t>Docking 9809715 into Q15746</w:t>
      </w:r>
    </w:p>
    <w:p w14:paraId="53E9621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Figure+Table/3.2_AutoDock_vina_分子对接_(MYLK)/Docking-9809715-into-Q15746.png)</w:t>
      </w:r>
    </w:p>
    <w:p w14:paraId="0C384CFC">
      <w:pPr>
        <w:pStyle w:val="3"/>
      </w:pPr>
      <w:r>
        <w:t xml:space="preserve">Fig. </w:t>
      </w:r>
      <w:r>
        <w:fldChar w:fldCharType="begin"/>
      </w:r>
      <w:r>
        <w:instrText xml:space="preserve"> HYPERLINK \l "Docking-9809715-into-Q15746" \h </w:instrText>
      </w:r>
      <w:r>
        <w:fldChar w:fldCharType="separate"/>
      </w:r>
      <w:r>
        <w:fldChar w:fldCharType="begin"/>
      </w:r>
      <w:r>
        <w:instrText xml:space="preserve"> REF Docking-9809715-into-Q15746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分子对接结果。蛋白(Symbol: MYLK) (PDB: q15746) 与化合物 (name: </w:t>
      </w:r>
      <w:r>
        <w:fldChar w:fldCharType="begin"/>
      </w:r>
      <w:r>
        <w:instrText xml:space="preserve"> HYPERLINK "CID:9809715" \h </w:instrText>
      </w:r>
      <w:r>
        <w:fldChar w:fldCharType="separate"/>
      </w:r>
      <w:r>
        <w:rPr>
          <w:rStyle w:val="24"/>
        </w:rPr>
        <w:t>CID:9809715</w:t>
      </w:r>
      <w:r>
        <w:rPr>
          <w:rStyle w:val="24"/>
        </w:rPr>
        <w:fldChar w:fldCharType="end"/>
      </w:r>
      <w:r>
        <w:t>) (PubChem CID: 9809715)，亲和度为 -8.557。</w:t>
      </w:r>
    </w:p>
    <w:p w14:paraId="19F1EA8E">
      <w:pPr>
        <w:pStyle w:val="3"/>
      </w:pPr>
      <w:r>
        <w:drawing>
          <wp:inline distT="0" distB="0" distL="0" distR="0">
            <wp:extent cx="3891915" cy="4572000"/>
            <wp:effectExtent l="0" t="0" r="133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8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8773B">
      <w:pPr>
        <w:pStyle w:val="194"/>
      </w:pPr>
      <w:r>
        <w:rPr>
          <w:b/>
        </w:rPr>
        <w:t xml:space="preserve">Fig. </w:t>
      </w:r>
      <w:bookmarkStart w:id="13" w:name="Docking-44225231-into-Q15746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3"/>
      <w:r>
        <w:rPr>
          <w:b/>
        </w:rPr>
        <w:t xml:space="preserve"> </w:t>
      </w:r>
      <w:r>
        <w:t>Docking 44225231 into Q15746</w:t>
      </w:r>
    </w:p>
    <w:p w14:paraId="521D6DA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Figure+Table/3.2_AutoDock_vina_分子对接_(MYLK)/Docking-44225231-into-Q15746.png)</w:t>
      </w:r>
    </w:p>
    <w:p w14:paraId="72EB53F1">
      <w:pPr>
        <w:pStyle w:val="3"/>
      </w:pPr>
      <w:r>
        <w:t xml:space="preserve">Fig. </w:t>
      </w:r>
      <w:r>
        <w:fldChar w:fldCharType="begin"/>
      </w:r>
      <w:r>
        <w:instrText xml:space="preserve"> HYPERLINK \l "Docking-44225231-into-Q15746" \h </w:instrText>
      </w:r>
      <w:r>
        <w:fldChar w:fldCharType="separate"/>
      </w:r>
      <w:r>
        <w:fldChar w:fldCharType="begin"/>
      </w:r>
      <w:r>
        <w:instrText xml:space="preserve"> REF Docking-44225231-into-Q15746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分子对接结果。蛋白(Symbol: MYLK) (PDB: q15746) 与化合物 (name: </w:t>
      </w:r>
      <w:r>
        <w:fldChar w:fldCharType="begin"/>
      </w:r>
      <w:r>
        <w:instrText xml:space="preserve"> HYPERLINK "CID:44225231" \h </w:instrText>
      </w:r>
      <w:r>
        <w:fldChar w:fldCharType="separate"/>
      </w:r>
      <w:r>
        <w:rPr>
          <w:rStyle w:val="24"/>
        </w:rPr>
        <w:t>CID:44225231</w:t>
      </w:r>
      <w:r>
        <w:rPr>
          <w:rStyle w:val="24"/>
        </w:rPr>
        <w:fldChar w:fldCharType="end"/>
      </w:r>
      <w:r>
        <w:t>) (PubChem CID: 44225231)，亲和度为 -7.708。</w:t>
      </w:r>
    </w:p>
    <w:p w14:paraId="3958DC07">
      <w:pPr>
        <w:pStyle w:val="3"/>
      </w:pPr>
      <w:r>
        <w:drawing>
          <wp:inline distT="0" distB="0" distL="0" distR="0">
            <wp:extent cx="3893185" cy="457200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5295E">
      <w:pPr>
        <w:pStyle w:val="194"/>
      </w:pPr>
      <w:r>
        <w:rPr>
          <w:b/>
        </w:rPr>
        <w:t xml:space="preserve">Fig. </w:t>
      </w:r>
      <w:bookmarkStart w:id="14" w:name="Docking-50898538-into-Q15746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4"/>
      <w:r>
        <w:rPr>
          <w:b/>
        </w:rPr>
        <w:t xml:space="preserve"> </w:t>
      </w:r>
      <w:r>
        <w:t>Docking 50898538 into Q15746</w:t>
      </w:r>
    </w:p>
    <w:p w14:paraId="0652062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Figure+Table/3.2_AutoDock_vina_分子对接_(MYLK)/Docking-50898538-into-Q15746.png)</w:t>
      </w:r>
    </w:p>
    <w:p w14:paraId="0B44F035">
      <w:pPr>
        <w:pStyle w:val="3"/>
      </w:pPr>
      <w:r>
        <w:t xml:space="preserve">Fig. </w:t>
      </w:r>
      <w:r>
        <w:fldChar w:fldCharType="begin"/>
      </w:r>
      <w:r>
        <w:instrText xml:space="preserve"> HYPERLINK \l "Docking-50898538-into-Q15746" \h </w:instrText>
      </w:r>
      <w:r>
        <w:fldChar w:fldCharType="separate"/>
      </w:r>
      <w:r>
        <w:fldChar w:fldCharType="begin"/>
      </w:r>
      <w:r>
        <w:instrText xml:space="preserve"> REF Docking-50898538-into-Q15746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分子对接结果。蛋白(Symbol: MYLK) (PDB: q15746) 与化合物 (name: CaMKII-IN-1) (PubChem CID: 50898538)，亲和度为 -7.576。</w:t>
      </w:r>
    </w:p>
    <w:p w14:paraId="2EF1191B">
      <w:pPr>
        <w:pStyle w:val="3"/>
      </w:pPr>
      <w:r>
        <w:drawing>
          <wp:inline distT="0" distB="0" distL="0" distR="0">
            <wp:extent cx="4603750" cy="4572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4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07F13">
      <w:pPr>
        <w:pStyle w:val="194"/>
      </w:pPr>
      <w:r>
        <w:rPr>
          <w:b/>
        </w:rPr>
        <w:t xml:space="preserve">Fig. </w:t>
      </w:r>
      <w:bookmarkStart w:id="15" w:name="Docking-9809715-into-Q15746-detai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15"/>
      <w:r>
        <w:rPr>
          <w:b/>
        </w:rPr>
        <w:t xml:space="preserve"> </w:t>
      </w:r>
      <w:r>
        <w:t>Docking 9809715 into Q15746 detail</w:t>
      </w:r>
    </w:p>
    <w:p w14:paraId="1C0E089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Figure+Table/3.2_AutoDock_vina_分子对接_(MYLK)/Docking-9809715-into-Q15746-detail.png)</w:t>
      </w:r>
    </w:p>
    <w:p w14:paraId="21987F29">
      <w:pPr>
        <w:pStyle w:val="3"/>
      </w:pPr>
      <w:r>
        <w:t xml:space="preserve">Fig. </w:t>
      </w:r>
      <w:r>
        <w:fldChar w:fldCharType="begin"/>
      </w:r>
      <w:r>
        <w:instrText xml:space="preserve"> HYPERLINK \l "Docking-9809715-into-Q15746-detail" \h </w:instrText>
      </w:r>
      <w:r>
        <w:fldChar w:fldCharType="separate"/>
      </w:r>
      <w:r>
        <w:fldChar w:fldCharType="begin"/>
      </w:r>
      <w:r>
        <w:instrText xml:space="preserve"> REF Docking-9809715-into-Q15746-detail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分子对接结果局部细节。图中展示了蛋白(Symbol: MYLK) (PDB: q15746) 与化合物 (name: </w:t>
      </w:r>
      <w:r>
        <w:fldChar w:fldCharType="begin"/>
      </w:r>
      <w:r>
        <w:instrText xml:space="preserve"> HYPERLINK "CID:9809715" \h </w:instrText>
      </w:r>
      <w:r>
        <w:fldChar w:fldCharType="separate"/>
      </w:r>
      <w:r>
        <w:rPr>
          <w:rStyle w:val="24"/>
        </w:rPr>
        <w:t>CID:9809715</w:t>
      </w:r>
      <w:r>
        <w:rPr>
          <w:rStyle w:val="24"/>
        </w:rPr>
        <w:fldChar w:fldCharType="end"/>
      </w:r>
      <w:r>
        <w:t>) (PubChem CID: 9809715) 之间的氢键结合。</w:t>
      </w:r>
    </w:p>
    <w:p w14:paraId="6A32B721">
      <w:pPr>
        <w:pStyle w:val="3"/>
      </w:pPr>
      <w:r>
        <w:drawing>
          <wp:inline distT="0" distB="0" distL="0" distR="0">
            <wp:extent cx="5669280" cy="387985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AF538">
      <w:pPr>
        <w:pStyle w:val="194"/>
      </w:pPr>
      <w:r>
        <w:rPr>
          <w:b/>
        </w:rPr>
        <w:t xml:space="preserve">Fig. </w:t>
      </w:r>
      <w:bookmarkStart w:id="16" w:name="Docking-44225231-into-Q15746-detai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16"/>
      <w:r>
        <w:rPr>
          <w:b/>
        </w:rPr>
        <w:t xml:space="preserve"> </w:t>
      </w:r>
      <w:r>
        <w:t>Docking 44225231 into Q15746 detail</w:t>
      </w:r>
    </w:p>
    <w:p w14:paraId="6AF3870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Figure+Table/3.2_AutoDock_vina_分子对接_(MYLK)/Docking-44225231-into-Q15746-detail.png)</w:t>
      </w:r>
    </w:p>
    <w:p w14:paraId="5C5CC4AE">
      <w:pPr>
        <w:pStyle w:val="3"/>
      </w:pPr>
      <w:r>
        <w:t xml:space="preserve">Fig. </w:t>
      </w:r>
      <w:r>
        <w:fldChar w:fldCharType="begin"/>
      </w:r>
      <w:r>
        <w:instrText xml:space="preserve"> HYPERLINK \l "Docking-44225231-into-Q15746-detail" \h </w:instrText>
      </w:r>
      <w:r>
        <w:fldChar w:fldCharType="separate"/>
      </w:r>
      <w:r>
        <w:fldChar w:fldCharType="begin"/>
      </w:r>
      <w:r>
        <w:instrText xml:space="preserve"> REF Docking-44225231-into-Q15746-detail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分子对接结果局部细节。图中展示了蛋白(Symbol: MYLK) (PDB: q15746) 与化合物 (name: </w:t>
      </w:r>
      <w:r>
        <w:fldChar w:fldCharType="begin"/>
      </w:r>
      <w:r>
        <w:instrText xml:space="preserve"> HYPERLINK "CID:44225231" \h </w:instrText>
      </w:r>
      <w:r>
        <w:fldChar w:fldCharType="separate"/>
      </w:r>
      <w:r>
        <w:rPr>
          <w:rStyle w:val="24"/>
        </w:rPr>
        <w:t>CID:44225231</w:t>
      </w:r>
      <w:r>
        <w:rPr>
          <w:rStyle w:val="24"/>
        </w:rPr>
        <w:fldChar w:fldCharType="end"/>
      </w:r>
      <w:r>
        <w:t>) (PubChem CID: 44225231) 之间的氢键结合。</w:t>
      </w:r>
    </w:p>
    <w:p w14:paraId="57A1081F">
      <w:pPr>
        <w:pStyle w:val="3"/>
      </w:pPr>
      <w:r>
        <w:drawing>
          <wp:inline distT="0" distB="0" distL="0" distR="0">
            <wp:extent cx="554355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94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86BAF">
      <w:pPr>
        <w:pStyle w:val="194"/>
      </w:pPr>
      <w:r>
        <w:rPr>
          <w:b/>
        </w:rPr>
        <w:t xml:space="preserve">Fig. </w:t>
      </w:r>
      <w:bookmarkStart w:id="17" w:name="Docking-50898538-into-Q15746-detai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Docking 50898538 into Q15746 detail</w:t>
      </w:r>
    </w:p>
    <w:p w14:paraId="7166492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Figure+Table/3.2_AutoDock_vina_分子对接_(MYLK)/Docking-50898538-into-Q15746-detail.png)</w:t>
      </w:r>
    </w:p>
    <w:p w14:paraId="45C50C0C">
      <w:pPr>
        <w:pStyle w:val="3"/>
      </w:pPr>
      <w:r>
        <w:t xml:space="preserve">Fig. </w:t>
      </w:r>
      <w:r>
        <w:fldChar w:fldCharType="begin"/>
      </w:r>
      <w:r>
        <w:instrText xml:space="preserve"> HYPERLINK \l "Docking-50898538-into-Q15746-detail" \h </w:instrText>
      </w:r>
      <w:r>
        <w:fldChar w:fldCharType="separate"/>
      </w:r>
      <w:r>
        <w:fldChar w:fldCharType="begin"/>
      </w:r>
      <w:r>
        <w:instrText xml:space="preserve"> REF Docking-50898538-into-Q15746-detail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分子对接结果局部细节。图中展示了蛋白(Symbol: MYLK) (PDB: q15746) 与化合物 (name: CaMKII-IN-1) (PubChem CID: 50898538) 之间的氢键结合。</w:t>
      </w:r>
    </w:p>
    <w:p w14:paraId="61A1DB23">
      <w:pPr>
        <w:pStyle w:val="4"/>
      </w:pPr>
      <w:bookmarkStart w:id="18" w:name="classyfire-获取化合物分类信息-mylk"/>
      <w:r>
        <w:t>3.3</w:t>
      </w:r>
      <w:r>
        <w:tab/>
        <w:t>Classyfire 获取化合物分类信息 (MYLK)</w:t>
      </w:r>
      <w:bookmarkEnd w:id="18"/>
    </w:p>
    <w:p w14:paraId="6EC9434C">
      <w:pPr>
        <w:pStyle w:val="38"/>
      </w:pPr>
      <w:r>
        <w:t>对化合物 (9886808, 5330790, 153999, …[n = 194], 来自于AutoDock vina 分子对接[Section: MYLK]) 进行Classyfire 获取化合物分类信息。根据 cid 获取化合物 InChIKey。以 Classyfire 获取这些 InChIKey 的系统分类学注释。</w:t>
      </w:r>
    </w:p>
    <w:p w14:paraId="6D238FAA">
      <w:pPr>
        <w:pStyle w:val="3"/>
      </w:pPr>
      <w:r>
        <w:drawing>
          <wp:inline distT="0" distB="0" distL="0" distR="0">
            <wp:extent cx="5311775" cy="45720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79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612A55">
      <w:pPr>
        <w:pStyle w:val="194"/>
      </w:pPr>
      <w:r>
        <w:rPr>
          <w:b/>
        </w:rPr>
        <w:t xml:space="preserve">Fig. </w:t>
      </w:r>
      <w:bookmarkStart w:id="19" w:name="MYLK-classification-hierarchy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19"/>
      <w:r>
        <w:rPr>
          <w:b/>
        </w:rPr>
        <w:t xml:space="preserve"> </w:t>
      </w:r>
      <w:r>
        <w:t>MYLK classification hierarchy</w:t>
      </w:r>
    </w:p>
    <w:p w14:paraId="66D412B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Figure+Table/3.3_Classyfire_获取化合物分类信息_(MYLK)/MYLK-classification-hierarchy.pdf)</w:t>
      </w:r>
    </w:p>
    <w:p w14:paraId="638854F5">
      <w:pPr>
        <w:pStyle w:val="3"/>
      </w:pPr>
      <w:r>
        <w:t xml:space="preserve">Fig. </w:t>
      </w:r>
      <w:r>
        <w:fldChar w:fldCharType="begin"/>
      </w:r>
      <w:r>
        <w:instrText xml:space="preserve"> HYPERLINK \l "MYLK-classification-hierarchy" \h </w:instrText>
      </w:r>
      <w:r>
        <w:fldChar w:fldCharType="separate"/>
      </w:r>
      <w:r>
        <w:fldChar w:fldCharType="begin"/>
      </w:r>
      <w:r>
        <w:instrText xml:space="preserve"> REF MYLK-classification-hierarchy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 为化合物的系统分类阶层概览。</w:t>
      </w:r>
    </w:p>
    <w:p w14:paraId="664D9BF1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0" w:name="MYLK-classification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0"/>
      <w:r>
        <w:rPr>
          <w:b/>
        </w:rPr>
        <w:t xml:space="preserve">  </w:t>
      </w:r>
      <w:r>
        <w:t>MYLK classification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41F74557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6BE9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Inchikey2d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D73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Level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7F4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Classification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F1A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CHEMONT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A76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Cid</w:t>
            </w:r>
          </w:p>
        </w:tc>
      </w:tr>
      <w:tr w14:paraId="5ACB058A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20F1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AAKJLRGGTJKAMG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B5F2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Kingdom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B508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Organic compounds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935C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CHEMONTID:0000000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DF47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176900</w:t>
            </w:r>
          </w:p>
        </w:tc>
      </w:tr>
      <w:tr w14:paraId="7CAF5AE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B25D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AAKJLRGGTJKAMG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B6C7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Superclass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87A0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Organoheterocycli...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03E8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CHEMONTID:0000002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FE63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176900</w:t>
            </w:r>
          </w:p>
        </w:tc>
      </w:tr>
      <w:tr w14:paraId="7EBE655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E3E8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AAKJLRGGTJKAMG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6C60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Class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C69C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Diazanaphthalenes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72E7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CHEMONTID:0004788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9F1C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176900</w:t>
            </w:r>
          </w:p>
        </w:tc>
      </w:tr>
      <w:tr w14:paraId="00573CD9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27AC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AAKJLRGGTJKAMG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7899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Subclass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C43F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Benzodiazines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D2C2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CHEMONTID:0004789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E496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176900</w:t>
            </w:r>
          </w:p>
        </w:tc>
      </w:tr>
      <w:tr w14:paraId="2E11B04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CB50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AAKJLRGGTJKAMG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BBE83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Level 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A06F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Quinazolines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1BC6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CHEMONTID:0000485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EADA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176900</w:t>
            </w:r>
          </w:p>
        </w:tc>
      </w:tr>
      <w:tr w14:paraId="605959D6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2183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F833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17D3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C3F3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BECB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C123CA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Figure+Table/3.3_Classyfire_获取化合物分类信息_(MYLK)/MYLK-classification-data.xlsx)</w:t>
      </w:r>
    </w:p>
    <w:p w14:paraId="6D1A2758">
      <w:pPr>
        <w:pStyle w:val="3"/>
      </w:pPr>
      <w:r>
        <w:t xml:space="preserve">Tab. </w:t>
      </w:r>
      <w:r>
        <w:fldChar w:fldCharType="begin"/>
      </w:r>
      <w:r>
        <w:instrText xml:space="preserve"> HYPERLINK \l "MYLK-classification-data" \h </w:instrText>
      </w:r>
      <w:r>
        <w:fldChar w:fldCharType="separate"/>
      </w:r>
      <w:r>
        <w:fldChar w:fldCharType="begin"/>
      </w:r>
      <w:r>
        <w:instrText xml:space="preserve"> REF MYLK-classification-data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为化合物系统分类附表。</w:t>
      </w:r>
    </w:p>
    <w:p w14:paraId="087EE502">
      <w:pPr>
        <w:pStyle w:val="2"/>
      </w:pPr>
      <w:bookmarkStart w:id="21" w:name="conclusion"/>
      <w:r>
        <w:t>4</w:t>
      </w:r>
      <w:r>
        <w:tab/>
        <w:t>总结</w:t>
      </w:r>
      <w:bookmarkEnd w:id="21"/>
    </w:p>
    <w:p w14:paraId="69131E05">
      <w:pPr>
        <w:pStyle w:val="38"/>
      </w:pPr>
      <w:r>
        <w:t xml:space="preserve">通过 BindingDB 数据库预筛选一批与 MYLK 结合的化合物 (Tab. </w:t>
      </w:r>
      <w:r>
        <w:fldChar w:fldCharType="begin"/>
      </w:r>
      <w:r>
        <w:instrText xml:space="preserve"> HYPERLINK \l "MYLK-bindingdb-annotation-data" \h </w:instrText>
      </w:r>
      <w:r>
        <w:fldChar w:fldCharType="separate"/>
      </w:r>
      <w:r>
        <w:fldChar w:fldCharType="begin"/>
      </w:r>
      <w:r>
        <w:instrText xml:space="preserve"> REF MYLK-bindingdb-annotation-data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)， 随后，将这些化合物与 MYLK 特定的位置 (1-922) 分子对接。 结果见Fig. </w:t>
      </w:r>
      <w:r>
        <w:fldChar w:fldCharType="begin"/>
      </w:r>
      <w:r>
        <w:instrText xml:space="preserve"> HYPERLINK \l "MYLK-Overall-combining-Affinity" \h </w:instrText>
      </w:r>
      <w:r>
        <w:fldChar w:fldCharType="separate"/>
      </w:r>
      <w:r>
        <w:fldChar w:fldCharType="begin"/>
      </w:r>
      <w:r>
        <w:instrText xml:space="preserve"> REF MYLK-Overall-combining-Affinity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(Top 10) 与 Tab. </w:t>
      </w:r>
      <w:r>
        <w:fldChar w:fldCharType="begin"/>
      </w:r>
      <w:r>
        <w:instrText xml:space="preserve"> HYPERLINK \l "MYLK-All-combining-Affinity-data" \h </w:instrText>
      </w:r>
      <w:r>
        <w:fldChar w:fldCharType="separate"/>
      </w:r>
      <w:r>
        <w:fldChar w:fldCharType="begin"/>
      </w:r>
      <w:r>
        <w:instrText xml:space="preserve"> REF MYLK-All-combining-Affinity-data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。</w:t>
      </w:r>
    </w:p>
    <w:p w14:paraId="26905C76">
      <w:pPr>
        <w:pStyle w:val="2"/>
      </w:pPr>
      <w:bookmarkStart w:id="22" w:name="bibliography"/>
      <w:r>
        <w:t>Reference</w:t>
      </w:r>
      <w:bookmarkEnd w:id="22"/>
    </w:p>
    <w:p w14:paraId="3EE0CA9B">
      <w:pPr>
        <w:pStyle w:val="189"/>
      </w:pPr>
      <w:bookmarkStart w:id="23" w:name="ref-BindingdbIn20Gilson2016"/>
      <w:bookmarkStart w:id="24" w:name="refs"/>
      <w:r>
        <w:t xml:space="preserve">1. Gilson, M. K. </w:t>
      </w:r>
      <w:r>
        <w:rPr>
          <w:i/>
        </w:rPr>
        <w:t>et al.</w:t>
      </w:r>
      <w:r>
        <w:t xml:space="preserve"> BindingDB in 2015: A public database for medicinal chemistry, computational chemistry and systems pharmacology.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44</w:t>
      </w:r>
      <w:r>
        <w:t>, D1045–D1053 (2016).</w:t>
      </w:r>
    </w:p>
    <w:bookmarkEnd w:id="23"/>
    <w:p w14:paraId="654E0D5B">
      <w:pPr>
        <w:pStyle w:val="189"/>
      </w:pPr>
      <w:bookmarkStart w:id="25" w:name="ref-LigandDockingSeelig2010"/>
      <w:r>
        <w:t xml:space="preserve">2. Seeliger, D. &amp; Groot, B. L. de. Ligand docking and binding site analysis with pymol and autodock/vina. </w:t>
      </w:r>
      <w:r>
        <w:rPr>
          <w:i/>
        </w:rPr>
        <w:t>Journal of Computer-Aided Molecular Design</w:t>
      </w:r>
      <w:r>
        <w:t xml:space="preserve"> </w:t>
      </w:r>
      <w:r>
        <w:rPr>
          <w:b/>
        </w:rPr>
        <w:t>24</w:t>
      </w:r>
      <w:r>
        <w:t>, (2010).</w:t>
      </w:r>
    </w:p>
    <w:bookmarkEnd w:id="25"/>
    <w:p w14:paraId="4CBF5763">
      <w:pPr>
        <w:pStyle w:val="189"/>
      </w:pPr>
      <w:bookmarkStart w:id="26" w:name="ref-AutogridfrImpZhang2019"/>
      <w:r>
        <w:t xml:space="preserve">3. Zhang, Y., Forli, S., Omelchenko, A. &amp; Sanner, M. F. AutoGridFR: Improvements on autodock affinity maps and associated software tools. </w:t>
      </w:r>
      <w:r>
        <w:rPr>
          <w:i/>
        </w:rPr>
        <w:t>Journal of computational chemistry</w:t>
      </w:r>
      <w:r>
        <w:t xml:space="preserve"> </w:t>
      </w:r>
      <w:r>
        <w:rPr>
          <w:b/>
        </w:rPr>
        <w:t>40</w:t>
      </w:r>
      <w:r>
        <w:t>, 2882–2886 (2019).</w:t>
      </w:r>
    </w:p>
    <w:bookmarkEnd w:id="26"/>
    <w:p w14:paraId="520E7BDB">
      <w:pPr>
        <w:pStyle w:val="189"/>
      </w:pPr>
      <w:bookmarkStart w:id="27" w:name="ref-AutodockVina1Eberha2021"/>
      <w:r>
        <w:t xml:space="preserve">4. Eberhardt, J., Santos-Martins, D., Tillack, A. F. &amp; Forli, S. AutoDock vina 1.2.0: New docking methods, expanded force field, and python bindings. </w:t>
      </w:r>
      <w:r>
        <w:rPr>
          <w:i/>
        </w:rPr>
        <w:t>Journal of Chemical Information and Modeling</w:t>
      </w:r>
      <w:r>
        <w:t xml:space="preserve"> </w:t>
      </w:r>
      <w:r>
        <w:rPr>
          <w:b/>
        </w:rPr>
        <w:t>61</w:t>
      </w:r>
      <w:r>
        <w:t>, 3891–3898 (2021).</w:t>
      </w:r>
    </w:p>
    <w:bookmarkEnd w:id="27"/>
    <w:p w14:paraId="6055DF60">
      <w:pPr>
        <w:pStyle w:val="189"/>
      </w:pPr>
      <w:bookmarkStart w:id="28" w:name="ref-ClassyfireAutDjoumb2016"/>
      <w:r>
        <w:t xml:space="preserve">5. Djoumbou Feunang, Y. </w:t>
      </w:r>
      <w:r>
        <w:rPr>
          <w:i/>
        </w:rPr>
        <w:t>et al.</w:t>
      </w:r>
      <w:r>
        <w:t xml:space="preserve"> ClassyFire: Automated chemical classification with a comprehensive, computable taxonomy. </w:t>
      </w:r>
      <w:r>
        <w:rPr>
          <w:i/>
        </w:rPr>
        <w:t>Journal of Cheminformatics</w:t>
      </w:r>
      <w:r>
        <w:t xml:space="preserve"> </w:t>
      </w:r>
      <w:r>
        <w:rPr>
          <w:b/>
        </w:rPr>
        <w:t>8</w:t>
      </w:r>
      <w:r>
        <w:t>, 61 (2016).</w:t>
      </w:r>
    </w:p>
    <w:bookmarkEnd w:id="24"/>
    <w:bookmarkEnd w:id="28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2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WOeb0d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9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21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4FFA2B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TotalTime>1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2025-03-12T11:25:00Z</dcterms:created>
  <dc:creator>echo</dc:creator>
  <cp:lastModifiedBy>echo</cp:lastModifiedBy>
  <dcterms:modified xsi:type="dcterms:W3CDTF">2025-03-12T11:26:24Z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B81FF8D3539678FDE0FED067A2EB8A71_42</vt:lpwstr>
  </property>
</Properties>
</file>