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研究方向：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SCG2 与神经母细胞瘤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孙念政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numPr>
          <w:ilvl w:val="0"/>
          <w:numId w:val="1001"/>
        </w:numPr>
        <w:pStyle w:val="186"/>
      </w:pPr>
      <w:r>
        <w:t xml:space="preserve">SCG2表达量与神经母细胞瘤分期呈线性负相关，其上调表达可以诱导神经母细胞瘤细胞进一步分化。</w:t>
      </w:r>
    </w:p>
    <w:p>
      <w:pPr>
        <w:numPr>
          <w:ilvl w:val="0"/>
          <w:numId w:val="1001"/>
        </w:numPr>
        <w:pStyle w:val="186"/>
      </w:pPr>
      <w:r>
        <w:t xml:space="preserve">SCG2可以作为神经母细胞瘤危险度评估和预后预测的生物学标志。</w:t>
      </w:r>
    </w:p>
    <w:p>
      <w:pPr>
        <w:numPr>
          <w:ilvl w:val="0"/>
          <w:numId w:val="1001"/>
        </w:numPr>
        <w:pStyle w:val="186"/>
      </w:pPr>
      <w:r>
        <w:t xml:space="preserve">SCG2可以作为鉴别嗜铬细胞瘤良恶性的生物学标志。</w:t>
      </w:r>
    </w:p>
    <w:p>
      <w:pPr>
        <w:numPr>
          <w:ilvl w:val="0"/>
          <w:numId w:val="1001"/>
        </w:numPr>
        <w:pStyle w:val="186"/>
      </w:pPr>
      <w:r>
        <w:t xml:space="preserve">SCG2通过改变肿瘤微环境，从而诱导神经母细胞瘤细胞及嗜铬细胞瘤细胞进一步分化</w:t>
      </w:r>
    </w:p>
    <w:p>
      <w:pPr>
        <w:pStyle w:val="38"/>
      </w:pPr>
      <w:r>
        <w:rPr/>
        <w:drawing>
          <wp:inline distT="0" distB="0" distL="0" distR="0">
            <wp:extent cx="5669280" cy="188976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6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4fabd8fe-4a36-41fe-8801-cb858def4fc1" w:name="Rout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4fabd8fe-4a36-41fe-8801-cb858def4fc1"/>
      <w:r>
        <w:rPr>
          <w:rFonts/>
          <w:b w:val="true"/>
        </w:rPr>
        <w:t xml:space="preserve"> </w:t>
      </w:r>
      <w:r>
        <w:t xml:space="preserve">Route</w:t>
      </w:r>
    </w:p>
    <w:p>
      <w:pPr>
        <w:pStyle w:val="2"/>
      </w:pPr>
      <w:bookmarkStart w:id="22" w:name="geo-检索方法"/>
      <w:r>
        <w:t xml:space="preserve">2	GEO 检索方法</w:t>
      </w:r>
      <w:bookmarkEnd w:id="22"/>
    </w:p>
    <w:p>
      <w:pPr>
        <w:pStyle w:val="4"/>
      </w:pPr>
      <w:bookmarkStart w:id="23" w:name="数据分析平台"/>
      <w:r>
        <w:t xml:space="preserve">2.1	数据分析平台</w:t>
      </w:r>
      <w:bookmarkEnd w:id="23"/>
    </w:p>
    <w:p>
      <w:pPr>
        <w:pStyle w:val="38"/>
      </w:pPr>
      <w:r>
        <w:t xml:space="preserve">在 Linux pop-os x86_64 (6.9.3-76060903-generic) 上，使用 R version 4.4.2 (2024-10-31) (</w:t>
      </w:r>
      <w:hyperlink r:id="rId24">
        <w:r>
          <w:rPr>
            <w:rStyle w:val="24"/>
          </w:rPr>
          <w:t xml:space="preserve">https://www.r-project.org/</w:t>
        </w:r>
      </w:hyperlink>
      <w:r>
        <w:t xml:space="preserve">) 对数据统计分析与整合分析。</w:t>
      </w:r>
    </w:p>
    <w:p>
      <w:pPr>
        <w:pStyle w:val="4"/>
      </w:pPr>
      <w:bookmarkStart w:id="25" w:name="gse-数据搜索-dataset-scrna_pg"/>
      <w:r>
        <w:t xml:space="preserve">2.2	GSE 数据搜索 (Dataset: SCRNA_PG)</w:t>
      </w:r>
      <w:bookmarkEnd w:id="25"/>
    </w:p>
    <w:p>
      <w:pPr>
        <w:pStyle w:val="38"/>
      </w:pPr>
      <w:r>
        <w:t xml:space="preserve">使用 Entrez Direct (EDirect)</w:t>
      </w:r>
      <w:r>
        <w:t xml:space="preserve"> </w:t>
      </w:r>
      <w:hyperlink r:id="rId26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((Paraganglioma[Description] AND (single cell[Description]) AND ((3:20[Number of Samples]) AND (GSE[Entry Type]) AND (Homo sapiens[Organism]))，转化为数据表格。</w:t>
      </w:r>
    </w:p>
    <w:p>
      <w:pPr>
        <w:pStyle w:val="4"/>
      </w:pPr>
      <w:bookmarkStart w:id="27" w:name="gse-数据搜索-dataset-scrna_pc"/>
      <w:r>
        <w:t xml:space="preserve">2.3	GSE 数据搜索 (Dataset: SCRNA_PC)</w:t>
      </w:r>
      <w:bookmarkEnd w:id="27"/>
    </w:p>
    <w:p>
      <w:pPr>
        <w:pStyle w:val="38"/>
      </w:pPr>
      <w:r>
        <w:t xml:space="preserve">使用 Entrez Direct (EDirect)</w:t>
      </w:r>
      <w:r>
        <w:t xml:space="preserve"> </w:t>
      </w:r>
      <w:hyperlink r:id="rId26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((Pheochromocytoma[Description] AND (single cell[Description]) AND ((3:20[Number of Samples]) AND (GSE[Entry Type]) AND (Homo sapiens[Organism]))，转化为数据表格。</w:t>
      </w:r>
    </w:p>
    <w:p>
      <w:pPr>
        <w:pStyle w:val="4"/>
      </w:pPr>
      <w:bookmarkStart w:id="28" w:name="gse-数据搜索-dataset-scrna_nb"/>
      <w:r>
        <w:t xml:space="preserve">2.4	GSE 数据搜索 (Dataset: SCRNA_NB)</w:t>
      </w:r>
      <w:bookmarkEnd w:id="28"/>
    </w:p>
    <w:p>
      <w:pPr>
        <w:pStyle w:val="38"/>
      </w:pPr>
      <w:r>
        <w:t xml:space="preserve">使用 Entrez Direct (EDirect)</w:t>
      </w:r>
      <w:r>
        <w:t xml:space="preserve"> </w:t>
      </w:r>
      <w:hyperlink r:id="rId26">
        <w:r>
          <w:rPr>
            <w:rStyle w:val="24"/>
          </w:rPr>
          <w:t xml:space="preserve">https://www.ncbi.nlm.nih.gov/books/NBK3837/</w:t>
        </w:r>
      </w:hyperlink>
      <w:r>
        <w:t xml:space="preserve"> </w:t>
      </w:r>
      <w:r>
        <w:t xml:space="preserve">搜索 GEO 数据库 (</w:t>
      </w:r>
      <w:r>
        <w:rPr>
          <w:rStyle w:val="197"/>
        </w:rPr>
        <w:t xml:space="preserve">esearch -db gds</w:t>
      </w:r>
      <w:r>
        <w:t xml:space="preserve">)，查询信息为: ((Neuroblastoma[Description] AND (single cell[Description]) AND ((3:20[Number of Samples]) AND (GSE[Entry Type]) AND (Homo sapiens[Organism]))，转化为数据表格。</w:t>
      </w:r>
      <w:r>
        <w:t xml:space="preserve"> </w:t>
      </w:r>
      <w:r>
        <w:t xml:space="preserve">以正则匹配，仅保留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中包含</w:t>
      </w:r>
      <w:r>
        <w:t xml:space="preserve"> </w:t>
      </w:r>
      <w:r>
        <w:t xml:space="preserve">‘</w:t>
      </w:r>
      <w:r>
        <w:t xml:space="preserve">single cell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scRNA</w:t>
      </w:r>
      <w:r>
        <w:t xml:space="preserve">’</w:t>
      </w:r>
      <w:r>
        <w:t xml:space="preserve"> </w:t>
      </w:r>
      <w:r>
        <w:t xml:space="preserve">的数据例。仅查询临床数据，因此滤除匹配到关键词 in vitro, cell line, CD[0-9]+, vehicle, vector, DMSO, /ml, nm 的数据例。</w:t>
      </w:r>
      <w:r>
        <w:t xml:space="preserve"> </w:t>
      </w:r>
      <w:r>
        <w:t xml:space="preserve">(注：以上仅为查找合适的 GEO 数据所做的数据筛选，与实际分析无关) 。仅获取类型包含</w:t>
      </w:r>
      <w:r>
        <w:t xml:space="preserve"> </w:t>
      </w:r>
      <w:r>
        <w:t xml:space="preserve">‘</w:t>
      </w:r>
      <w:r>
        <w:t xml:space="preserve">Expression profiling by high throughput sequencing</w:t>
      </w:r>
      <w:r>
        <w:t xml:space="preserve">’</w:t>
      </w:r>
      <w:r>
        <w:t xml:space="preserve"> </w:t>
      </w:r>
      <w:r>
        <w:t xml:space="preserve">或</w:t>
      </w:r>
      <w:r>
        <w:t xml:space="preserve"> </w:t>
      </w:r>
      <w:r>
        <w:t xml:space="preserve">‘</w:t>
      </w:r>
      <w:r>
        <w:t xml:space="preserve">Expression profiling by array</w:t>
      </w:r>
      <w:r>
        <w:t xml:space="preserve">’</w:t>
      </w:r>
      <w:r>
        <w:t xml:space="preserve"> </w:t>
      </w:r>
      <w:r>
        <w:t xml:space="preserve">的数据例。此外，排除 summary 或 title 中匹配到字符集 EX (KO, WT,</w:t>
      </w:r>
      <w:r>
        <w:t xml:space="preserve"> </w:t>
      </w:r>
      <w:r>
        <w:rPr>
          <w:i/>
        </w:rPr>
        <w:t xml:space="preserve">WT</w:t>
      </w:r>
      <w:r>
        <w:t xml:space="preserve">,</w:t>
      </w:r>
      <w:r>
        <w:t xml:space="preserve"> </w:t>
      </w:r>
      <w:r>
        <w:rPr>
          <w:i/>
        </w:rPr>
        <w:t xml:space="preserve">KO</w:t>
      </w:r>
      <w:r>
        <w:t xml:space="preserve">, wildtype, mutant, knock, deficien, absen, SuperSeries, transgenic, CD[0-9]+) 的数据例。上述得到 19 个 GSE 数据集。以 R 抓取网页 (例如，</w:t>
      </w:r>
      <w:r>
        <w:rPr>
          <w:rStyle w:val="197"/>
        </w:rPr>
        <w:t xml:space="preserve">RCurl::getURL</w:t>
      </w:r>
      <w:r>
        <w:t xml:space="preserve"> </w:t>
      </w:r>
      <w:r>
        <w:t xml:space="preserve">抓取</w:t>
      </w:r>
      <w:r>
        <w:t xml:space="preserve"> </w:t>
      </w:r>
      <w:r>
        <w:t xml:space="preserve">)，解析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模块，匹配字符集 EX，排除匹配到的数据例。排除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in vitro, cell line, CD[0-9]+, vehicle, vector, DMSO, /ml, nm 的数据例。为了获得包含对照样本的数据集，(描述字符过少的例外) 以正则匹配 (</w:t>
      </w:r>
      <w:r>
        <w:t xml:space="preserve">‘</w:t>
      </w:r>
      <w:r>
        <w:t xml:space="preserve">Samples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) 包含 normal, control, healthy, ctrl, adjacent, N[0-9]+, C[0-9]+ 的数据例。共 7 个。仅获取包含</w:t>
      </w:r>
      <w:r>
        <w:t xml:space="preserve"> </w:t>
      </w:r>
      <w:r>
        <w:t xml:space="preserve">‘</w:t>
      </w:r>
      <w:r>
        <w:t xml:space="preserve">protein coding</w:t>
      </w:r>
      <w:r>
        <w:t xml:space="preserve">’</w:t>
      </w:r>
      <w:r>
        <w:t xml:space="preserve"> </w:t>
      </w:r>
      <w:r>
        <w:t xml:space="preserve">测序的数据集，排除</w:t>
      </w:r>
      <w:r>
        <w:t xml:space="preserve"> </w:t>
      </w:r>
      <w:r>
        <w:t xml:space="preserve">‘</w:t>
      </w:r>
      <w:r>
        <w:t xml:space="preserve">Samples</w:t>
      </w:r>
      <w:r>
        <w:t xml:space="preserve">’</w:t>
      </w:r>
      <w:r>
        <w:t xml:space="preserve"> </w:t>
      </w:r>
      <w:r>
        <w:t xml:space="preserve">和</w:t>
      </w:r>
      <w:r>
        <w:t xml:space="preserve"> </w:t>
      </w:r>
      <w:r>
        <w:t xml:space="preserve">‘</w:t>
      </w:r>
      <w:r>
        <w:t xml:space="preserve">Overall design</w:t>
      </w:r>
      <w:r>
        <w:t xml:space="preserve">’</w:t>
      </w:r>
      <w:r>
        <w:t xml:space="preserve"> </w:t>
      </w:r>
      <w:r>
        <w:t xml:space="preserve">中包含 siRNA, miRNA, miR, lncRNA 字符的数据例。余下共 7 个。</w:t>
      </w:r>
      <w:r>
        <w:t xml:space="preserve"> </w:t>
      </w:r>
      <w:r>
        <w:t xml:space="preserve">以</w:t>
      </w:r>
      <w:r>
        <w:t xml:space="preserve"> </w:t>
      </w:r>
      <w:r>
        <w:rPr>
          <w:rStyle w:val="197"/>
        </w:rPr>
        <w:t xml:space="preserve">GEOquery</w:t>
      </w:r>
      <w:r>
        <w:t xml:space="preserve"> </w:t>
      </w:r>
      <w:r>
        <w:t xml:space="preserve">获取 GSE 数据集 (n=7)。</w:t>
      </w:r>
    </w:p>
    <w:p>
      <w:pPr>
        <w:pStyle w:val="2"/>
      </w:pPr>
      <w:bookmarkStart w:id="29" w:name="workflow"/>
      <w:r>
        <w:t xml:space="preserve">3	参考文献和数据集</w:t>
      </w:r>
      <w:bookmarkEnd w:id="29"/>
    </w:p>
    <w:p>
      <w:pPr>
        <w:pStyle w:val="4"/>
      </w:pPr>
      <w:bookmarkStart w:id="30" w:name="pcpg"/>
      <w:r>
        <w:t xml:space="preserve">3.1	PCPG</w:t>
      </w:r>
      <w:bookmarkEnd w:id="30"/>
    </w:p>
    <w:p>
      <w:pPr>
        <w:pStyle w:val="5"/>
      </w:pPr>
      <w:bookmarkStart w:id="31" w:name="pcpg-scrna-seq"/>
      <w:r>
        <w:t xml:space="preserve">3.1.1	PCPG scRNA-seq</w:t>
      </w:r>
      <w:bookmarkEnd w:id="31"/>
    </w:p>
    <w:p>
      <w:pPr>
        <w:numPr>
          <w:ilvl w:val="0"/>
          <w:numId w:val="1002"/>
        </w:numPr>
        <w:pStyle w:val="186"/>
      </w:pPr>
      <w:r>
        <w:t xml:space="preserve">PMID: 38407266,</w:t>
      </w:r>
      <w:r>
        <w:t xml:space="preserve"> </w:t>
      </w:r>
      <w:hyperlink r:id="rId32">
        <w:r>
          <w:rPr>
            <w:rStyle w:val="24"/>
          </w:rPr>
          <w:t xml:space="preserve">https://datadryad.org/dataset/doi:10.5061/dryad.rjdfn2zkg#citations</w:t>
        </w:r>
      </w:hyperlink>
    </w:p>
    <w:p>
      <w:pPr>
        <w:numPr>
          <w:ilvl w:val="0"/>
          <w:numId w:val="1002"/>
        </w:numPr>
        <w:pStyle w:val="186"/>
      </w:pPr>
      <w:r>
        <w:t xml:space="preserve">PMID: 40190189,</w:t>
      </w:r>
      <w:r>
        <w:t xml:space="preserve"> </w:t>
      </w:r>
      <w:hyperlink r:id="rId33">
        <w:r>
          <w:rPr>
            <w:rStyle w:val="24"/>
          </w:rPr>
          <w:t xml:space="preserve">https://ngdc.cncb.ac.cn/search/specific?db=hra&amp;q=HRA005846</w:t>
        </w:r>
      </w:hyperlink>
      <w:r>
        <w:t xml:space="preserve"> </w:t>
      </w:r>
      <w:r>
        <w:t xml:space="preserve">(不可获取)</w:t>
      </w:r>
    </w:p>
    <w:p>
      <w:pPr>
        <w:numPr>
          <w:ilvl w:val="0"/>
          <w:numId w:val="1002"/>
        </w:numPr>
        <w:pStyle w:val="186"/>
      </w:pPr>
      <w:r>
        <w:t xml:space="preserve">…</w:t>
      </w:r>
    </w:p>
    <w:p>
      <w:pPr>
        <w:pStyle w:val="5"/>
      </w:pPr>
      <w:bookmarkStart w:id="34" w:name="gse-数据搜索-scrna_pg"/>
      <w:r>
        <w:t xml:space="preserve">3.1.2	GSE 数据搜索 (SCRNA_PG)</w:t>
      </w:r>
      <w:bookmarkEnd w:id="34"/>
    </w:p>
    <w:p>
      <w:pPr>
        <w:pStyle w:val="38"/>
      </w:pPr>
      <w:r>
        <w:t xml:space="preserve">以 Entrez Direct (EDirect) 搜索 GEO 数据库 (检索条件见方法章节) 。未发现合适数据集。</w:t>
      </w:r>
    </w:p>
    <w:p>
      <w:pPr>
        <w:pStyle w:val="3"/>
      </w:pPr>
      <w:r>
        <w:t xml:space="preserve">未检索到数据。</w:t>
      </w:r>
    </w:p>
    <w:p>
      <w:pPr>
        <w:pStyle w:val="5"/>
      </w:pPr>
      <w:bookmarkStart w:id="35" w:name="gse-数据搜索-scrna_pc"/>
      <w:r>
        <w:t xml:space="preserve">3.1.3	GSE 数据搜索 (SCRNA_PC)</w:t>
      </w:r>
      <w:bookmarkEnd w:id="35"/>
    </w:p>
    <w:p>
      <w:pPr>
        <w:pStyle w:val="38"/>
      </w:pPr>
      <w:r>
        <w:t xml:space="preserve">以 Entrez Direct (EDirect) 搜索 GEO 数据库 (检索条件见方法章节) 。未发现合适数据集。</w:t>
      </w:r>
    </w:p>
    <w:p>
      <w:pPr>
        <w:pStyle w:val="3"/>
      </w:pPr>
      <w:r>
        <w:t xml:space="preserve">未检索到数据。</w:t>
      </w:r>
    </w:p>
    <w:p>
      <w:pPr>
        <w:pStyle w:val="4"/>
      </w:pPr>
      <w:bookmarkStart w:id="36" w:name="nb"/>
      <w:r>
        <w:t xml:space="preserve">3.2	NB</w:t>
      </w:r>
      <w:bookmarkEnd w:id="36"/>
    </w:p>
    <w:p>
      <w:pPr>
        <w:pStyle w:val="5"/>
      </w:pPr>
      <w:bookmarkStart w:id="37" w:name="gse-数据搜索-scrna_nb"/>
      <w:r>
        <w:t xml:space="preserve">3.2.1	GSE 数据搜索 (SCRNA_NB)</w:t>
      </w:r>
      <w:bookmarkEnd w:id="37"/>
    </w:p>
    <w:p>
      <w:pPr>
        <w:pStyle w:val="38"/>
      </w:pPr>
      <w:r>
        <w:t xml:space="preserve">以 Entrez Direct (EDirect) 搜索 GEO 数据库 (检索条件见方法章节) 。</w:t>
      </w:r>
      <w:r>
        <w:t xml:space="preserve"> </w:t>
      </w:r>
      <w:r>
        <w:t xml:space="preserve">可用数据，及其组别为：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GSE161975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(scRNA-seq) RNA-seq</w:t>
      </w:r>
    </w:p>
    <w:p>
      <w:pPr>
        <w:numPr>
          <w:ilvl w:val="1"/>
          <w:numId w:val="1004"/>
        </w:numPr>
        <w:pStyle w:val="186"/>
      </w:pPr>
      <w:r>
        <w:t xml:space="preserve">ethanol (n = 2)</w:t>
      </w:r>
    </w:p>
    <w:p>
      <w:pPr>
        <w:numPr>
          <w:ilvl w:val="1"/>
          <w:numId w:val="1004"/>
        </w:numPr>
        <w:pStyle w:val="186"/>
      </w:pPr>
      <w:r>
        <w:t xml:space="preserve">Nutlin_3_treated (n = 2)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GSE216155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(scRNA-seq) RNA-seq</w:t>
      </w:r>
    </w:p>
    <w:p>
      <w:pPr>
        <w:numPr>
          <w:ilvl w:val="1"/>
          <w:numId w:val="1005"/>
        </w:numPr>
        <w:pStyle w:val="186"/>
      </w:pPr>
      <w:r>
        <w:t xml:space="preserve">ATRX_deleted_sample (n = 2)</w:t>
      </w:r>
    </w:p>
    <w:p>
      <w:pPr>
        <w:numPr>
          <w:ilvl w:val="1"/>
          <w:numId w:val="1005"/>
        </w:numPr>
        <w:pStyle w:val="186"/>
      </w:pPr>
      <w:r>
        <w:t xml:space="preserve">Control_sample (n = 5)</w:t>
      </w:r>
    </w:p>
    <w:p>
      <w:pPr>
        <w:numPr>
          <w:ilvl w:val="1"/>
          <w:numId w:val="1005"/>
        </w:numPr>
        <w:pStyle w:val="186"/>
      </w:pPr>
      <w:r>
        <w:t xml:space="preserve">MYCN_amplified_sample (n = 5)</w:t>
      </w:r>
    </w:p>
    <w:p>
      <w:pPr>
        <w:numPr>
          <w:ilvl w:val="1"/>
          <w:numId w:val="1005"/>
        </w:numPr>
        <w:pStyle w:val="186"/>
      </w:pPr>
      <w:r>
        <w:t xml:space="preserve">Sporadic_sample (n = 5)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GSE218450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RNA-seq</w:t>
      </w:r>
    </w:p>
    <w:p>
      <w:pPr>
        <w:numPr>
          <w:ilvl w:val="1"/>
          <w:numId w:val="1006"/>
        </w:numPr>
        <w:pStyle w:val="186"/>
      </w:pPr>
      <w:r>
        <w:t xml:space="preserve">left_adrenal_gland (n = 7)</w:t>
      </w:r>
    </w:p>
    <w:p>
      <w:pPr>
        <w:numPr>
          <w:ilvl w:val="1"/>
          <w:numId w:val="1006"/>
        </w:numPr>
        <w:pStyle w:val="186"/>
      </w:pPr>
      <w:r>
        <w:t xml:space="preserve">left_cervical_primary_tumor (n = 4)</w:t>
      </w:r>
    </w:p>
    <w:p>
      <w:pPr>
        <w:numPr>
          <w:ilvl w:val="1"/>
          <w:numId w:val="1006"/>
        </w:numPr>
        <w:pStyle w:val="186"/>
      </w:pPr>
      <w:r>
        <w:t xml:space="preserve">lymph_node_left_inguinal (n = 5)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GSE220607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(scRNA-seq) RNA-seq</w:t>
      </w:r>
    </w:p>
    <w:p>
      <w:pPr>
        <w:numPr>
          <w:ilvl w:val="1"/>
          <w:numId w:val="1007"/>
        </w:numPr>
        <w:pStyle w:val="186"/>
      </w:pPr>
      <w:r>
        <w:t xml:space="preserve">marrow (n = 12)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GSE220651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(scRNA-seq) RNA-seq</w:t>
      </w:r>
    </w:p>
    <w:p>
      <w:pPr>
        <w:numPr>
          <w:ilvl w:val="1"/>
          <w:numId w:val="1008"/>
        </w:numPr>
        <w:pStyle w:val="186"/>
      </w:pPr>
      <w:r>
        <w:t xml:space="preserve">AML_single_cell_multiplexed_feature (n = 2)</w:t>
      </w:r>
    </w:p>
    <w:p>
      <w:pPr>
        <w:numPr>
          <w:ilvl w:val="1"/>
          <w:numId w:val="1008"/>
        </w:numPr>
        <w:pStyle w:val="186"/>
      </w:pPr>
      <w:r>
        <w:t xml:space="preserve">AML_single_cell_multiplexed_GEX (n = 2)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GSE261828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(scRNA-seq) RNA-seq; Other</w:t>
      </w:r>
    </w:p>
    <w:p>
      <w:pPr>
        <w:numPr>
          <w:ilvl w:val="1"/>
          <w:numId w:val="1009"/>
        </w:numPr>
        <w:pStyle w:val="186"/>
      </w:pPr>
      <w:r>
        <w:t xml:space="preserve">Biopsy (n = 2)</w:t>
      </w:r>
    </w:p>
    <w:p>
      <w:pPr>
        <w:numPr>
          <w:ilvl w:val="1"/>
          <w:numId w:val="1009"/>
        </w:numPr>
        <w:pStyle w:val="186"/>
      </w:pPr>
      <w:r>
        <w:t xml:space="preserve">Surgical_specimen (n = 10)</w:t>
      </w:r>
    </w:p>
    <w:p>
      <w:pPr>
        <w:numPr>
          <w:ilvl w:val="0"/>
          <w:numId w:val="1003"/>
        </w:numPr>
        <w:pStyle w:val="186"/>
      </w:pPr>
      <w:r>
        <w:rPr>
          <w:b/>
        </w:rPr>
        <w:t xml:space="preserve">GSE288099</w:t>
      </w:r>
      <w:r>
        <w:t xml:space="preserve">,</w:t>
      </w:r>
      <w:r>
        <w:t xml:space="preserve"> </w:t>
      </w:r>
      <w:r>
        <w:rPr>
          <w:b/>
        </w:rPr>
        <w:t xml:space="preserve">Type</w:t>
      </w:r>
      <w:r>
        <w:t xml:space="preserve">: RNA-seq</w:t>
      </w:r>
    </w:p>
    <w:p>
      <w:pPr>
        <w:numPr>
          <w:ilvl w:val="1"/>
          <w:numId w:val="1010"/>
        </w:numPr>
        <w:pStyle w:val="186"/>
      </w:pPr>
      <w:r>
        <w:t xml:space="preserve">CTRL (n = 2)</w:t>
      </w:r>
    </w:p>
    <w:p>
      <w:pPr>
        <w:numPr>
          <w:ilvl w:val="1"/>
          <w:numId w:val="1010"/>
        </w:numPr>
        <w:pStyle w:val="186"/>
      </w:pPr>
      <w:r>
        <w:t xml:space="preserve">NEN (n = 2)</w:t>
      </w:r>
    </w:p>
    <w:p>
      <w:pPr>
        <w:numPr>
          <w:ilvl w:val="1"/>
          <w:numId w:val="1010"/>
        </w:numPr>
        <w:pStyle w:val="186"/>
      </w:pPr>
      <w:r>
        <w:t xml:space="preserve">RA (n = 2)</w:t>
      </w:r>
    </w:p>
    <w:p>
      <w:pPr>
        <w:numPr>
          <w:ilvl w:val="1"/>
          <w:numId w:val="1010"/>
        </w:numPr>
        <w:pStyle w:val="186"/>
      </w:pPr>
      <w:r>
        <w:t xml:space="preserve">RA+NEN (n = 2)</w:t>
      </w:r>
    </w:p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32" Type="http://schemas.openxmlformats.org/officeDocument/2006/relationships/hyperlink" Target="https://datadryad.org/dataset/doi:10.5061/dryad.rjdfn2zkg#citations" TargetMode="External"/>
<Relationship Id="rId33" Type="http://schemas.openxmlformats.org/officeDocument/2006/relationships/hyperlink" Target="https://ngdc.cncb.ac.cn/search/specific?db=hra&amp;q=HRA005846" TargetMode="External"/>
<Relationship Id="rId26" Type="http://schemas.openxmlformats.org/officeDocument/2006/relationships/hyperlink" Target="https://www.ncbi.nlm.nih.gov/books/NBK3837/" TargetMode="External"/>
<Relationship Id="rId24" Type="http://schemas.openxmlformats.org/officeDocument/2006/relationships/hyperlink" Target="https://www.r-project.org/" TargetMode="External"/>
<Relationship Id="rId34" Type="http://schemas.openxmlformats.org/officeDocument/2006/relationships/image" Target="media/7ae9a7bf49606e4ae2e62ae42d0d286797edf2f2.png"/>
</Relationships>

</file>

<file path=word/_rels/footnotes.xml.rels><?xml version="1.0" encoding="UTF-8" standalone="yes"?>

<Relationships  xmlns="http://schemas.openxmlformats.org/package/2006/relationships">
<Relationship Id="rId32" Type="http://schemas.openxmlformats.org/officeDocument/2006/relationships/hyperlink" Target="https://datadryad.org/dataset/doi:10.5061/dryad.rjdfn2zkg#citations" TargetMode="External"/>
<Relationship Id="rId33" Type="http://schemas.openxmlformats.org/officeDocument/2006/relationships/hyperlink" Target="https://ngdc.cncb.ac.cn/search/specific?db=hra&amp;q=HRA005846" TargetMode="External"/>
<Relationship Id="rId26" Type="http://schemas.openxmlformats.org/officeDocument/2006/relationships/hyperlink" Target="https://www.ncbi.nlm.nih.gov/books/NBK3837/" TargetMode="External"/>
<Relationship Id="rId24" Type="http://schemas.openxmlformats.org/officeDocument/2006/relationships/hyperlink" Target="https://www.r-project.org/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2025-04-15T09:38:11Z</dcterms:created>
  <dcterms:modified xsi:type="dcterms:W3CDTF">2025-04-15T17:38:11Z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