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统一为标准 Markdown（LaTeX）行内公式写法如下：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最终公式：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i</m:t>
          </m:r>
          <m:r>
            <m:t>n</m:t>
          </m:r>
          <m:r>
            <m:t>a</m:t>
          </m:r>
          <m:r>
            <m:t>l</m:t>
          </m:r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t>o</m:t>
              </m:r>
              <m:r>
                <m:t>m</m:t>
              </m:r>
              <m:r>
                <m:t>m</m:t>
              </m:r>
              <m:r>
                <m:t>u</m:t>
              </m:r>
              <m:r>
                <m:t>S</m:t>
              </m:r>
              <m:r>
                <m:t>c</m:t>
              </m:r>
              <m:r>
                <m:t>o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  <m:r>
                    <m:t>o</m:t>
                  </m:r>
                  <m:r>
                    <m:t>g</m:t>
                  </m:r>
                  <m:r>
                    <m:t>2</m:t>
                  </m:r>
                  <m:r>
                    <m:t>F</m:t>
                  </m:r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e>
                  </m:d>
                </m:e>
              </m:d>
            </m:e>
          </m:d>
          <m:r>
            <m:rPr>
              <m:sty m:val="p"/>
            </m:rPr>
            <m:t>×</m:t>
          </m:r>
          <m:r>
            <m:t>P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说明（段落形式）：</w:t>
      </w:r>
    </w:p>
    <w:p>
      <w:pPr>
        <w:pStyle w:val="BodyText"/>
      </w:pPr>
      <w:r>
        <w:t xml:space="preserve">其中，</w:t>
      </w:r>
      <m:oMath>
        <m:r>
          <m:t>s</m:t>
        </m:r>
      </m:oMath>
      <w:r>
        <w:t xml:space="preserve"> </w:t>
      </w:r>
      <w:r>
        <w:t xml:space="preserve">表示 Sender（信号发送细胞类型），</w:t>
      </w:r>
      <m:oMath>
        <m:r>
          <m:t>m</m:t>
        </m:r>
      </m:oMath>
      <w:r>
        <w:t xml:space="preserve"> </w:t>
      </w:r>
      <w:r>
        <w:t xml:space="preserve">表示 Metabolite（代谢物），</w:t>
      </w:r>
      <m:oMath>
        <m:r>
          <m:t>k</m:t>
        </m:r>
      </m:oMath>
      <w:r>
        <w:t xml:space="preserve"> </w:t>
      </w:r>
      <w:r>
        <w:t xml:space="preserve">表示 Sensor（代谢物对应的受体或转运分子），</w:t>
      </w:r>
      <m:oMath>
        <m:r>
          <m:t>r</m:t>
        </m:r>
      </m:oMath>
      <w:r>
        <w:t xml:space="preserve"> </w:t>
      </w:r>
      <w:r>
        <w:t xml:space="preserve">表示 Receiver（信号接收细胞类型）；</w:t>
      </w:r>
      <m:oMath>
        <m:r>
          <m:t>C</m:t>
        </m:r>
        <m:r>
          <m:t>o</m:t>
        </m:r>
        <m:r>
          <m:t>m</m:t>
        </m:r>
        <m:r>
          <m:t>m</m:t>
        </m:r>
        <m:r>
          <m:t>u</m:t>
        </m:r>
        <m:r>
          <m:t>S</m:t>
        </m:r>
        <m:r>
          <m:t>c</m:t>
        </m:r>
        <m:r>
          <m:t>o</m:t>
        </m:r>
        <m:r>
          <m:t>r</m:t>
        </m:r>
        <m:sSub>
          <m:e>
            <m:r>
              <m:t>e</m:t>
            </m:r>
          </m:e>
          <m:sub>
            <m:r>
              <m:t>P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表示在 PD 组中针对完整通讯链（Sender–Metabolite–Sensor–Receiver）计算得到的通讯强度评分；</w:t>
      </w:r>
      <m:oMath>
        <m:r>
          <m:t>L</m:t>
        </m:r>
        <m:r>
          <m:t>o</m:t>
        </m:r>
        <m:r>
          <m:t>g</m:t>
        </m:r>
        <m:r>
          <m:t>2</m:t>
        </m:r>
        <m:r>
          <m:t>F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表示 PD 组相对于对照组的通讯强度对数倍数变化，其绝对值用于刻画差异幅度；对所有上游 Sender 与 Sensor 进行求和，实现对通讯事件在代谢物–受体细胞层面的聚合，从而得到局部通讯强度；</w:t>
      </w:r>
      <m:oMath>
        <m:r>
          <m:t>P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表示在以差异加权权重为边权构建的有向网络（Sender→Metabolite→Receiver）中计算得到的代谢物节点 PageRank 值，用于表征其在全局网络中的拓扑重要性。该综合评分同时整合了通讯强度、差异程度及网络结构信息，可用于筛选在 PD 微环境中具有关键调控作用的代谢物及其对应的受体细胞。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2026-04-05T08:06:27Z</dcterms:created>
  <dcterms:modified xsi:type="dcterms:W3CDTF">2026-04-05T08:06:27Z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