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8c8769c756d9231085f1fabb184c8bc72811e3"/>
    <w:p>
      <w:pPr>
        <w:pStyle w:val="2"/>
      </w:pPr>
      <w:r>
        <w:t xml:space="preserve">MCnebula: Select critical chemical classes to classify and boost identification by visualization for downstream analysis of untargeted LC-MS/MS dataset analysis</w:t>
      </w:r>
    </w:p>
    <w:bookmarkEnd w:id="20"/>
    <w:bookmarkStart w:id="21" w:name="abstract"/>
    <w:p>
      <w:pPr>
        <w:pStyle w:val="2"/>
      </w:pPr>
      <w:r>
        <w:t xml:space="preserve">Abstract</w:t>
      </w:r>
    </w:p>
    <w:p>
      <w:pPr>
        <w:pStyle w:val="38"/>
      </w:pPr>
      <w:r>
        <w:t xml:space="preserve">   Untargeted mass spectrometry is a robust tool for biological</w:t>
      </w:r>
      <w:r>
        <w:t xml:space="preserve"> </w:t>
      </w:r>
      <w:r>
        <w:t xml:space="preserve">research, but researchers universally time consumed by dataset parsing. We</w:t>
      </w:r>
      <w:r>
        <w:t xml:space="preserve"> </w:t>
      </w:r>
      <w:r>
        <w:t xml:space="preserve">developed the MCnebula approach to address this challenge by focusing on</w:t>
      </w:r>
      <w:r>
        <w:t xml:space="preserve"> </w:t>
      </w:r>
      <w:r>
        <w:t xml:space="preserve">critical chemical classes and visualizing them in multiple dimensions: via</w:t>
      </w:r>
      <w:r>
        <w:t xml:space="preserve"> </w:t>
      </w:r>
      <w:r>
        <w:t xml:space="preserve">abundance-based classes (ABC) selection algorithm, critical chemical classes</w:t>
      </w:r>
      <w:r>
        <w:t xml:space="preserve"> </w:t>
      </w:r>
      <w:r>
        <w:t xml:space="preserve">were selected to classify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(compounds); visualizing these chemical</w:t>
      </w:r>
      <w:r>
        <w:t xml:space="preserve"> </w:t>
      </w:r>
      <w:r>
        <w:t xml:space="preserve">classes as multiple Child-Nebulae (network graph) and annotated them in depth</w:t>
      </w:r>
      <w:r>
        <w:t xml:space="preserve"> </w:t>
      </w:r>
      <w:r>
        <w:t xml:space="preserve">with chemical classification and structure. Notably, MCnebula can be applied</w:t>
      </w:r>
      <w:r>
        <w:t xml:space="preserve"> </w:t>
      </w:r>
      <w:r>
        <w:t xml:space="preserve">to explore classification and structural characteristics of unknown compounds</w:t>
      </w:r>
      <w:r>
        <w:t xml:space="preserve"> </w:t>
      </w:r>
      <w:r>
        <w:t xml:space="preserve">that beyond the limitation of spectral library; it can also be used for pathway</w:t>
      </w:r>
      <w:r>
        <w:t xml:space="preserve"> </w:t>
      </w:r>
      <w:r>
        <w:t xml:space="preserve">spotting and biomarker discovery. MCnebula was implemented in the R language.</w:t>
      </w:r>
      <w:r>
        <w:t xml:space="preserve"> </w:t>
      </w:r>
      <w:r>
        <w:t xml:space="preserve">We provide a series of tools in the R packages to facilitate downstream</w:t>
      </w:r>
      <w:r>
        <w:t xml:space="preserve"> </w:t>
      </w:r>
      <w:r>
        <w:t xml:space="preserve">analysis in a MCnebula-featured way, including feature selection (statistical</w:t>
      </w:r>
      <w:r>
        <w:t xml:space="preserve"> </w:t>
      </w:r>
      <w:r>
        <w:t xml:space="preserve">analysis of binary comparisons), homology tracing of top features, pathway</w:t>
      </w:r>
      <w:r>
        <w:t xml:space="preserve"> </w:t>
      </w:r>
      <w:r>
        <w:t xml:space="preserve">enrichment analysis, heat map clustering analysis, spectral visualization</w:t>
      </w:r>
      <w:r>
        <w:t xml:space="preserve"> </w:t>
      </w:r>
      <w:r>
        <w:t xml:space="preserve">analysis, chemical information query, output analysis reports, etc. For</w:t>
      </w:r>
      <w:r>
        <w:t xml:space="preserve"> </w:t>
      </w:r>
      <w:r>
        <w:t xml:space="preserve">illustration, we conducted investigation of human-derived dataset of serum</w:t>
      </w:r>
      <w:r>
        <w:t xml:space="preserve"> </w:t>
      </w:r>
      <w:r>
        <w:t xml:space="preserve">metabolomics by tracing structural classes of biomarkers so that facilitating</w:t>
      </w:r>
      <w:r>
        <w:t xml:space="preserve"> </w:t>
      </w:r>
      <w:r>
        <w:t xml:space="preserve">metabolic pathway spotlight; we also investigated a plant-derived dataset of</w:t>
      </w:r>
      <w:r>
        <w:t xml:space="preserve"> </w:t>
      </w:r>
      <w:r>
        <w:t xml:space="preserve">herbal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to achieve a rapid identification and discovery of</w:t>
      </w:r>
      <w:r>
        <w:t xml:space="preserve"> </w:t>
      </w:r>
      <w:r>
        <w:t xml:space="preserve">chemistry.</w:t>
      </w:r>
    </w:p>
    <w:bookmarkEnd w:id="21"/>
    <w:bookmarkStart w:id="24" w:name="introduction"/>
    <w:p>
      <w:pPr>
        <w:pStyle w:val="2"/>
      </w:pPr>
      <w:r>
        <w:t xml:space="preserve">Introduction</w:t>
      </w:r>
    </w:p>
    <w:p>
      <w:pPr>
        <w:pStyle w:val="38"/>
      </w:pPr>
      <w:r>
        <w:t xml:space="preserve">   Analyzing untargeted liquid chromatography/tandem mass</w:t>
      </w:r>
      <w:r>
        <w:t xml:space="preserve"> </w:t>
      </w:r>
      <w:r>
        <w:t xml:space="preserve">spectrometry (LC-MS/MS) dataset is complicated, due to the massive of data</w:t>
      </w:r>
      <w:r>
        <w:t xml:space="preserve"> </w:t>
      </w:r>
      <w:r>
        <w:t xml:space="preserve">volume, complexity of spectrogram profiles, and structural diversity of</w:t>
      </w:r>
      <w:r>
        <w:t xml:space="preserve"> </w:t>
      </w:r>
      <w:r>
        <w:t xml:space="preserve">compounds. In the past decades, a great deal of research were anchored to</w:t>
      </w:r>
      <w:r>
        <w:t xml:space="preserve"> </w:t>
      </w:r>
      <w:r>
        <w:t xml:space="preserve">address the issues. Many technical software or web server attempted to provide</w:t>
      </w:r>
      <w:r>
        <w:t xml:space="preserve"> </w:t>
      </w:r>
      <w:r>
        <w:t xml:space="preserve">a one-stop bulk solution for data analysis</w:t>
      </w:r>
      <w:r>
        <w:t xml:space="preserve"> </w:t>
      </w:r>
      <w:r>
        <w:t xml:space="preserve">[</w:t>
      </w:r>
      <w:hyperlink w:anchor="ref-2020p">
        <w:r>
          <w:rPr>
            <w:rStyle w:val="24"/>
          </w:rPr>
          <w:t xml:space="preserve">1</w:t>
        </w:r>
      </w:hyperlink>
      <w:r>
        <w:t xml:space="preserve">–</w:t>
      </w:r>
      <w:hyperlink w:anchor="ref-2016a">
        <w:r>
          <w:rPr>
            <w:rStyle w:val="24"/>
          </w:rPr>
          <w:t xml:space="preserve">4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These solution apply or suggest flexible mass spectrogram processing tools or</w:t>
      </w:r>
      <w:r>
        <w:t xml:space="preserve"> </w:t>
      </w:r>
      <w:r>
        <w:t xml:space="preserve">analogous algorithms</w:t>
      </w:r>
      <w:r>
        <w:t xml:space="preserve"> </w:t>
      </w:r>
      <w:r>
        <w:t xml:space="preserve">[</w:t>
      </w:r>
      <w:hyperlink w:anchor="ref-2012d">
        <w:r>
          <w:rPr>
            <w:rStyle w:val="24"/>
          </w:rPr>
          <w:t xml:space="preserve">5</w:t>
        </w:r>
      </w:hyperlink>
      <w:r>
        <w:t xml:space="preserve">–</w:t>
      </w:r>
      <w:hyperlink w:anchor="ref-2010">
        <w:r>
          <w:rPr>
            <w:rStyle w:val="24"/>
          </w:rPr>
          <w:t xml:space="preserve">8</w:t>
        </w:r>
      </w:hyperlink>
      <w:r>
        <w:t xml:space="preserve">]</w:t>
      </w:r>
      <w:r>
        <w:t xml:space="preserve">. To reduce false-positive</w:t>
      </w:r>
      <w:r>
        <w:t xml:space="preserve"> </w:t>
      </w:r>
      <w:r>
        <w:t xml:space="preserve">and false-negtive results, more algorithms have been implemented for peak</w:t>
      </w:r>
      <w:r>
        <w:t xml:space="preserve"> </w:t>
      </w:r>
      <w:r>
        <w:t xml:space="preserve">deconvolution, feature selection or statistical filtering</w:t>
      </w:r>
      <w:r>
        <w:t xml:space="preserve"> </w:t>
      </w:r>
      <w:r>
        <w:t xml:space="preserve">[</w:t>
      </w:r>
      <w:hyperlink w:anchor="ref-2017f">
        <w:r>
          <w:rPr>
            <w:rStyle w:val="24"/>
          </w:rPr>
          <w:t xml:space="preserve">9</w:t>
        </w:r>
      </w:hyperlink>
      <w:r>
        <w:t xml:space="preserve">–</w:t>
      </w:r>
      <w:hyperlink w:anchor="ref-2017i">
        <w:r>
          <w:rPr>
            <w:rStyle w:val="24"/>
          </w:rPr>
          <w:t xml:space="preserve">13</w:t>
        </w:r>
      </w:hyperlink>
      <w:r>
        <w:t xml:space="preserve">]</w:t>
      </w:r>
      <w:r>
        <w:t xml:space="preserve">. Per feature corresponding to compound within sample</w:t>
      </w:r>
      <w:r>
        <w:t xml:space="preserve"> </w:t>
      </w:r>
      <w:r>
        <w:t xml:space="preserve">or parallel samples, and it prevalently equipped with fragmentation spectra to</w:t>
      </w:r>
      <w:r>
        <w:t xml:space="preserve"> </w:t>
      </w:r>
      <w:r>
        <w:t xml:space="preserve">identification. In this context, researchers have to be confronted with a</w:t>
      </w:r>
      <w:r>
        <w:t xml:space="preserve"> </w:t>
      </w:r>
      <w:r>
        <w:t xml:space="preserve">barrier: how to identify so many compounds accurately?</w:t>
      </w:r>
    </w:p>
    <w:p>
      <w:pPr>
        <w:pStyle w:val="3"/>
      </w:pPr>
      <w:r>
        <w:t xml:space="preserve">   Until today, several strategies were developed for identifying</w:t>
      </w:r>
      <w:r>
        <w:t xml:space="preserve"> </w:t>
      </w:r>
      <w:r>
        <w:t xml:space="preserve">with fragmentation spectra, including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Spectral library matching. A</w:t>
      </w:r>
      <w:r>
        <w:t xml:space="preserve"> </w:t>
      </w:r>
      <w:r>
        <w:t xml:space="preserve">number of public available databases were built to settle that via achieving</w:t>
      </w:r>
      <w:r>
        <w:t xml:space="preserve"> </w:t>
      </w:r>
      <w:r>
        <w:t xml:space="preserve">re-usability of reference fragmentation spectra, such as MassBank, MassBank of</w:t>
      </w:r>
      <w:r>
        <w:t xml:space="preserve"> </w:t>
      </w:r>
      <w:hyperlink r:id="rId22">
        <w:r>
          <w:rPr>
            <w:rStyle w:val="24"/>
          </w:rPr>
          <w:t xml:space="preserve">North America (MoNA)</w:t>
        </w:r>
      </w:hyperlink>
      <w:r>
        <w:t xml:space="preserve">, Global Natural</w:t>
      </w:r>
      <w:r>
        <w:t xml:space="preserve"> </w:t>
      </w:r>
      <w:r>
        <w:t xml:space="preserve">Products Society molecular networking (GNPS)</w:t>
      </w:r>
      <w:r>
        <w:t xml:space="preserve"> </w:t>
      </w:r>
      <w:r>
        <w:t xml:space="preserve">[</w:t>
      </w:r>
      <w:hyperlink w:anchor="ref-2016a">
        <w:r>
          <w:rPr>
            <w:rStyle w:val="24"/>
          </w:rPr>
          <w:t xml:space="preserve">4</w:t>
        </w:r>
      </w:hyperlink>
      <w:r>
        <w:t xml:space="preserve">,</w:t>
      </w:r>
      <w:hyperlink w:anchor="ref-2010p">
        <w:r>
          <w:rPr>
            <w:rStyle w:val="24"/>
          </w:rPr>
          <w:t xml:space="preserve">14</w:t>
        </w:r>
      </w:hyperlink>
      <w:r>
        <w:t xml:space="preserve">–</w:t>
      </w:r>
      <w:hyperlink w:anchor="ref-2020cp">
        <w:r>
          <w:rPr>
            <w:rStyle w:val="24"/>
          </w:rPr>
          <w:t xml:space="preserve">17</w:t>
        </w:r>
      </w:hyperlink>
      <w:r>
        <w:t xml:space="preserve">]</w:t>
      </w:r>
      <w:r>
        <w:t xml:space="preserve">. In counterpart, these fragmentation spectra are available via their</w:t>
      </w:r>
      <w:r>
        <w:t xml:space="preserve"> </w:t>
      </w:r>
      <w:r>
        <w:t xml:space="preserve">web severs, third-party platform (e.g.,</w:t>
      </w:r>
      <w:r>
        <w:t xml:space="preserve"> </w:t>
      </w:r>
      <w:hyperlink r:id="rId23">
        <w:r>
          <w:rPr>
            <w:rStyle w:val="24"/>
          </w:rPr>
          <w:t xml:space="preserve">CompMass</w:t>
        </w:r>
      </w:hyperlink>
      <w:r>
        <w:t xml:space="preserve">) or specific</w:t>
      </w:r>
      <w:r>
        <w:t xml:space="preserve"> </w:t>
      </w:r>
      <w:r>
        <w:t xml:space="preserve">tools (MASST)</w:t>
      </w:r>
      <w:r>
        <w:t xml:space="preserve"> </w:t>
      </w:r>
      <w:r>
        <w:t xml:space="preserve">[</w:t>
      </w:r>
      <w:hyperlink w:anchor="ref-2020cm">
        <w:r>
          <w:rPr>
            <w:rStyle w:val="24"/>
          </w:rPr>
          <w:t xml:space="preserve">18</w:t>
        </w:r>
      </w:hyperlink>
      <w:r>
        <w:t xml:space="preserve">]</w:t>
      </w:r>
      <w:r>
        <w:t xml:space="preserve">. However, comparing with structure database (PubChem</w:t>
      </w:r>
      <w:r>
        <w:t xml:space="preserve"> </w:t>
      </w:r>
      <w:r>
        <w:t xml:space="preserve">harbours over 100 million records), spectra library is too small in size that</w:t>
      </w:r>
      <w:r>
        <w:t xml:space="preserve"> </w:t>
      </w:r>
      <w:r>
        <w:t xml:space="preserve">limit the application of mass spectrometry. To cross this barrier,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Matching with fragmentation spectra of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simulation.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have been increasingly developed for simulating fragmentation spectra</w:t>
      </w:r>
      <w:r>
        <w:t xml:space="preserve"> </w:t>
      </w:r>
      <w:r>
        <w:t xml:space="preserve">[</w:t>
      </w:r>
      <w:hyperlink w:anchor="ref-2010c">
        <w:r>
          <w:rPr>
            <w:rStyle w:val="24"/>
          </w:rPr>
          <w:t xml:space="preserve">19</w:t>
        </w:r>
      </w:hyperlink>
      <w:r>
        <w:t xml:space="preserve">–</w:t>
      </w:r>
      <w:hyperlink w:anchor="ref-2020cn">
        <w:r>
          <w:rPr>
            <w:rStyle w:val="24"/>
          </w:rPr>
          <w:t xml:space="preserve">27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Some databases such as MoNA collated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fragmentation spectra for</w:t>
      </w:r>
      <w:r>
        <w:t xml:space="preserve"> </w:t>
      </w:r>
      <w:r>
        <w:t xml:space="preserve">public available</w:t>
      </w:r>
      <w:r>
        <w:t xml:space="preserve"> </w:t>
      </w:r>
      <w:r>
        <w:t xml:space="preserve">[</w:t>
      </w:r>
      <w:hyperlink w:anchor="ref-2013w">
        <w:r>
          <w:rPr>
            <w:rStyle w:val="24"/>
          </w:rPr>
          <w:t xml:space="preserve">28</w:t>
        </w:r>
      </w:hyperlink>
      <w:r>
        <w:t xml:space="preserve">,</w:t>
      </w:r>
      <w:hyperlink w:anchor="ref-2015aj">
        <w:r>
          <w:rPr>
            <w:rStyle w:val="24"/>
          </w:rPr>
          <w:t xml:space="preserve">29</w:t>
        </w:r>
      </w:hyperlink>
      <w:r>
        <w:t xml:space="preserve">]</w:t>
      </w:r>
      <w:r>
        <w:t xml:space="preserve">.</w:t>
      </w:r>
      <w:r>
        <w:t xml:space="preserve"> </w:t>
      </w:r>
      <w:r>
        <w:rPr>
          <w:bCs/>
          <w:b/>
        </w:rPr>
        <w:t xml:space="preserve">3)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prediction with</w:t>
      </w:r>
      <w:r>
        <w:t xml:space="preserve"> </w:t>
      </w:r>
      <w:r>
        <w:t xml:space="preserve">matching learning. Prevalently, the algorithms make machine train from</w:t>
      </w:r>
      <w:r>
        <w:t xml:space="preserve"> </w:t>
      </w:r>
      <w:r>
        <w:t xml:space="preserve">reference mass dataset or libraries, then</w:t>
      </w:r>
      <w:r>
        <w:t xml:space="preserve"> </w:t>
      </w:r>
      <w:r>
        <w:t xml:space="preserve">‘</w:t>
      </w:r>
      <w:r>
        <w:t xml:space="preserve">learned</w:t>
      </w:r>
      <w:r>
        <w:t xml:space="preserve">’</w:t>
      </w:r>
      <w:r>
        <w:t xml:space="preserve"> </w:t>
      </w:r>
      <w:r>
        <w:t xml:space="preserve">how to predict chemical</w:t>
      </w:r>
      <w:r>
        <w:t xml:space="preserve"> </w:t>
      </w:r>
      <w:r>
        <w:t xml:space="preserve">fingerprints or principles so as to retrieve the correct structure within</w:t>
      </w:r>
      <w:r>
        <w:t xml:space="preserve"> </w:t>
      </w:r>
      <w:r>
        <w:t xml:space="preserve">structure database</w:t>
      </w:r>
      <w:r>
        <w:t xml:space="preserve"> </w:t>
      </w:r>
      <w:r>
        <w:t xml:space="preserve">[</w:t>
      </w:r>
      <w:hyperlink w:anchor="ref-2012ab">
        <w:r>
          <w:rPr>
            <w:rStyle w:val="24"/>
          </w:rPr>
          <w:t xml:space="preserve">30</w:t>
        </w:r>
      </w:hyperlink>
      <w:r>
        <w:t xml:space="preserve">–</w:t>
      </w:r>
      <w:hyperlink w:anchor="ref-2021cy">
        <w:r>
          <w:rPr>
            <w:rStyle w:val="24"/>
          </w:rPr>
          <w:t xml:space="preserve">35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methods are developing quickly. Up to now, the</w:t>
      </w:r>
      <w:r>
        <w:t xml:space="preserve"> </w:t>
      </w:r>
      <w:r>
        <w:t xml:space="preserve">cutting-edge technology, SIRIUS 4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36</w:t>
        </w:r>
      </w:hyperlink>
      <w:r>
        <w:t xml:space="preserve">]</w:t>
      </w:r>
      <w:r>
        <w:t xml:space="preserve">, integrated with many</w:t>
      </w:r>
      <w:r>
        <w:t xml:space="preserve"> </w:t>
      </w:r>
      <w:r>
        <w:t xml:space="preserve">advanced algorithms of artificial intelligence, has been reported accuracy rate</w:t>
      </w:r>
      <w:r>
        <w:t xml:space="preserve"> </w:t>
      </w:r>
      <w:r>
        <w:t xml:space="preserve">reached 70% while retrieving in structure libraries. This method help to</w:t>
      </w:r>
      <w:r>
        <w:t xml:space="preserve"> </w:t>
      </w:r>
      <w:r>
        <w:t xml:space="preserve">identify metabolites beyond the scope of spectra library. While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boost chemical identification, it is still lack of an approach that</w:t>
      </w:r>
      <w:r>
        <w:t xml:space="preserve"> </w:t>
      </w:r>
      <w:r>
        <w:t xml:space="preserve">incorporating and leveraging the state-of-the-art technology into biological</w:t>
      </w:r>
      <w:r>
        <w:t xml:space="preserve"> </w:t>
      </w:r>
      <w:r>
        <w:t xml:space="preserve">research, i.e. biomarker discovery in untargeted mass spectral dataset.</w:t>
      </w:r>
      <w:r>
        <w:t xml:space="preserve"> </w:t>
      </w:r>
      <w:r>
        <w:t xml:space="preserve">Identification and screening of biomarkers manually are time-consuming and the</w:t>
      </w:r>
      <w:r>
        <w:t xml:space="preserve"> </w:t>
      </w:r>
      <w:r>
        <w:t xml:space="preserve">results are impressed by subjective factors. In terms of identification,</w:t>
      </w:r>
      <w:r>
        <w:t xml:space="preserve"> </w:t>
      </w:r>
      <w:r>
        <w:t xml:space="preserve">molecular networking is increasingly popular due to its visualization and data</w:t>
      </w:r>
      <w:r>
        <w:t xml:space="preserve"> </w:t>
      </w:r>
      <w:r>
        <w:t xml:space="preserve">transparency</w:t>
      </w:r>
      <w:r>
        <w:t xml:space="preserve"> </w:t>
      </w:r>
      <w:r>
        <w:t xml:space="preserve">[</w:t>
      </w:r>
      <w:hyperlink w:anchor="ref-2016a">
        <w:r>
          <w:rPr>
            <w:rStyle w:val="24"/>
          </w:rPr>
          <w:t xml:space="preserve">4</w:t>
        </w:r>
      </w:hyperlink>
      <w:r>
        <w:t xml:space="preserve">,</w:t>
      </w:r>
      <w:hyperlink w:anchor="ref-2020b">
        <w:r>
          <w:rPr>
            <w:rStyle w:val="24"/>
          </w:rPr>
          <w:t xml:space="preserve">37</w:t>
        </w:r>
      </w:hyperlink>
      <w:r>
        <w:t xml:space="preserve">]</w:t>
      </w:r>
      <w:r>
        <w:t xml:space="preserve">. Thus, we proposed a preliminary idea, could</w:t>
      </w:r>
      <w:r>
        <w:t xml:space="preserve"> </w:t>
      </w:r>
      <w:r>
        <w:t xml:space="preserve">clustering features for visualization based on chemical classification</w:t>
      </w:r>
      <w:r>
        <w:t xml:space="preserve"> </w:t>
      </w:r>
      <w:r>
        <w:t xml:space="preserve">contribute to biomarker discovery or metabolic pathway spotlight?</w:t>
      </w:r>
    </w:p>
    <w:p>
      <w:pPr>
        <w:pStyle w:val="3"/>
      </w:pPr>
      <w:r>
        <w:t xml:space="preserve">   The history of classification in chemistry dates back to at least</w:t>
      </w:r>
      <w:r>
        <w:t xml:space="preserve"> </w:t>
      </w:r>
      <w:r>
        <w:t xml:space="preserve">the middle of the last century. The Chemical Fragmentation Coding system</w:t>
      </w:r>
      <w:r>
        <w:t xml:space="preserve"> </w:t>
      </w:r>
      <w:r>
        <w:t xml:space="preserve">developed by Derwent World Patent Index (DWPI) in 1963. Chemical</w:t>
      </w:r>
      <w:r>
        <w:t xml:space="preserve"> </w:t>
      </w:r>
      <w:r>
        <w:t xml:space="preserve">classification like Gene Ontology (GO)</w:t>
      </w:r>
      <w:r>
        <w:t xml:space="preserve"> </w:t>
      </w:r>
      <w:r>
        <w:t xml:space="preserve">[</w:t>
      </w:r>
      <w:hyperlink w:anchor="ref-2000g">
        <w:r>
          <w:rPr>
            <w:rStyle w:val="24"/>
          </w:rPr>
          <w:t xml:space="preserve">38</w:t>
        </w:r>
      </w:hyperlink>
      <w:r>
        <w:t xml:space="preserve">]</w:t>
      </w:r>
      <w:r>
        <w:t xml:space="preserve">, has been proposed, more</w:t>
      </w:r>
      <w:r>
        <w:t xml:space="preserve"> </w:t>
      </w:r>
      <w:r>
        <w:t xml:space="preserve">systematically, organizing with taxonomy and ontology in recent years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39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ClassyFire is increasingly used for compound annotation either in mass dataset</w:t>
      </w:r>
      <w:r>
        <w:t xml:space="preserve"> </w:t>
      </w:r>
      <w:r>
        <w:t xml:space="preserve">analysis or not due to its computation available and systematicness</w:t>
      </w:r>
      <w:r>
        <w:t xml:space="preserve"> </w:t>
      </w:r>
      <w:r>
        <w:t xml:space="preserve">[</w:t>
      </w:r>
      <w:hyperlink w:anchor="ref-2019bt">
        <w:r>
          <w:rPr>
            <w:rStyle w:val="24"/>
          </w:rPr>
          <w:t xml:space="preserve">40</w:t>
        </w:r>
      </w:hyperlink>
      <w:r>
        <w:t xml:space="preserve">–</w:t>
      </w:r>
      <w:hyperlink w:anchor="ref-2022al">
        <w:r>
          <w:rPr>
            <w:rStyle w:val="24"/>
          </w:rPr>
          <w:t xml:space="preserve">48</w:t>
        </w:r>
      </w:hyperlink>
      <w:r>
        <w:t xml:space="preserve">]</w:t>
      </w:r>
      <w:r>
        <w:t xml:space="preserve">. The</w:t>
      </w:r>
      <w:r>
        <w:t xml:space="preserve"> </w:t>
      </w:r>
      <w:r>
        <w:t xml:space="preserve">taxonomy and ontology for chemistry is beneficial. For example, a hierarchical</w:t>
      </w:r>
      <w:r>
        <w:t xml:space="preserve"> </w:t>
      </w:r>
      <w:r>
        <w:t xml:space="preserve">classification-based method, termed Qemistree, was proposed to address chemical</w:t>
      </w:r>
      <w:r>
        <w:t xml:space="preserve"> </w:t>
      </w:r>
      <w:r>
        <w:t xml:space="preserve">relationships at a dataset-wide level</w:t>
      </w:r>
      <w:r>
        <w:t xml:space="preserve"> </w:t>
      </w:r>
      <w:r>
        <w:t xml:space="preserve">[</w:t>
      </w:r>
      <w:hyperlink w:anchor="ref-2021b">
        <w:r>
          <w:rPr>
            <w:rStyle w:val="24"/>
          </w:rPr>
          <w:t xml:space="preserve">45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 Untargeted metabolomics emerged to profile cellular and organismal</w:t>
      </w:r>
      <w:r>
        <w:t xml:space="preserve"> </w:t>
      </w:r>
      <w:r>
        <w:t xml:space="preserve">metabolism without prior knowledge dependence</w:t>
      </w:r>
      <w:r>
        <w:t xml:space="preserve"> </w:t>
      </w:r>
      <w:r>
        <w:t xml:space="preserve">[</w:t>
      </w:r>
      <w:hyperlink w:anchor="ref-2016aq">
        <w:r>
          <w:rPr>
            <w:rStyle w:val="24"/>
          </w:rPr>
          <w:t xml:space="preserve">49</w:t>
        </w:r>
      </w:hyperlink>
      <w:r>
        <w:t xml:space="preserve">,</w:t>
      </w:r>
      <w:hyperlink w:anchor="ref-2017at">
        <w:r>
          <w:rPr>
            <w:rStyle w:val="24"/>
          </w:rPr>
          <w:t xml:space="preserve">50</w:t>
        </w:r>
      </w:hyperlink>
      <w:r>
        <w:t xml:space="preserve">]</w:t>
      </w:r>
      <w:r>
        <w:t xml:space="preserve">. Researchers</w:t>
      </w:r>
      <w:r>
        <w:t xml:space="preserve"> </w:t>
      </w:r>
      <w:r>
        <w:t xml:space="preserve">with the help of statistical methodologies from thousands of features screen</w:t>
      </w:r>
      <w:r>
        <w:t xml:space="preserve"> </w:t>
      </w:r>
      <w:r>
        <w:t xml:space="preserve">out biomarker, towards pharmaceutical, physiological or pathological mechanisms</w:t>
      </w:r>
      <w:r>
        <w:t xml:space="preserve"> </w:t>
      </w:r>
      <w:r>
        <w:t xml:space="preserve">[</w:t>
      </w:r>
      <w:hyperlink w:anchor="ref-2016ar">
        <w:r>
          <w:rPr>
            <w:rStyle w:val="24"/>
          </w:rPr>
          <w:t xml:space="preserve">51</w:t>
        </w:r>
      </w:hyperlink>
      <w:r>
        <w:t xml:space="preserve">,</w:t>
      </w:r>
      <w:hyperlink w:anchor="ref-2016ao">
        <w:r>
          <w:rPr>
            <w:rStyle w:val="24"/>
          </w:rPr>
          <w:t xml:space="preserve">52</w:t>
        </w:r>
      </w:hyperlink>
      <w:r>
        <w:t xml:space="preserve">]</w:t>
      </w:r>
      <w:r>
        <w:t xml:space="preserve">. These statistical approaches involved classical statistic</w:t>
      </w:r>
      <w:r>
        <w:t xml:space="preserve"> </w:t>
      </w:r>
      <w:r>
        <w:t xml:space="preserve">and artificial intelligence (e.g., random forests)</w:t>
      </w:r>
      <w:r>
        <w:t xml:space="preserve"> </w:t>
      </w:r>
      <w:r>
        <w:t xml:space="preserve">[</w:t>
      </w:r>
      <w:hyperlink w:anchor="ref-2019bv">
        <w:r>
          <w:rPr>
            <w:rStyle w:val="24"/>
          </w:rPr>
          <w:t xml:space="preserve">53</w:t>
        </w:r>
      </w:hyperlink>
      <w:r>
        <w:t xml:space="preserve">,</w:t>
      </w:r>
      <w:hyperlink w:anchor="ref-2021de">
        <w:r>
          <w:rPr>
            <w:rStyle w:val="24"/>
          </w:rPr>
          <w:t xml:space="preserve">54</w:t>
        </w:r>
      </w:hyperlink>
      <w:r>
        <w:t xml:space="preserve">]</w:t>
      </w:r>
      <w:r>
        <w:t xml:space="preserve">. Both</w:t>
      </w:r>
      <w:r>
        <w:t xml:space="preserve"> </w:t>
      </w:r>
      <w:r>
        <w:t xml:space="preserve">approaches were impossible to avoid specific biases, owing to the complexity of</w:t>
      </w:r>
      <w:r>
        <w:t xml:space="preserve"> </w:t>
      </w:r>
      <w:r>
        <w:t xml:space="preserve">feature set or algorithmic stability</w:t>
      </w:r>
      <w:r>
        <w:t xml:space="preserve"> </w:t>
      </w:r>
      <w:r>
        <w:t xml:space="preserve">[</w:t>
      </w:r>
      <w:hyperlink w:anchor="ref-2017i">
        <w:r>
          <w:rPr>
            <w:rStyle w:val="24"/>
          </w:rPr>
          <w:t xml:space="preserve">13</w:t>
        </w:r>
      </w:hyperlink>
      <w:r>
        <w:t xml:space="preserve">]</w:t>
      </w:r>
      <w:r>
        <w:t xml:space="preserve">. Further, evaluation in per</w:t>
      </w:r>
      <w:r>
        <w:t xml:space="preserve"> </w:t>
      </w:r>
      <w:r>
        <w:t xml:space="preserve">feature level seemed incapable of profiling systematic effects in metabolites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55</w:t>
        </w:r>
      </w:hyperlink>
      <w:r>
        <w:t xml:space="preserve">]</w:t>
      </w:r>
      <w:r>
        <w:t xml:space="preserve">. In this view, analyzing at chemical classified</w:t>
      </w:r>
      <w:r>
        <w:t xml:space="preserve"> </w:t>
      </w:r>
      <w:r>
        <w:t xml:space="preserve">level may be a comprehensive settlement. However, we can not neglect the</w:t>
      </w:r>
      <w:r>
        <w:t xml:space="preserve"> </w:t>
      </w:r>
      <w:r>
        <w:t xml:space="preserve">differences of metabolites at the same classified level. For example,</w:t>
      </w:r>
      <w:r>
        <w:t xml:space="preserve"> </w:t>
      </w:r>
      <w:r>
        <w:t xml:space="preserve">small-molecules belonging to</w:t>
      </w:r>
      <w:r>
        <w:t xml:space="preserve"> </w:t>
      </w:r>
      <w:r>
        <w:t xml:space="preserve">‘</w:t>
      </w:r>
      <w:r>
        <w:t xml:space="preserve">Indoles and derivatives</w:t>
      </w:r>
      <w:r>
        <w:t xml:space="preserve">’</w:t>
      </w:r>
      <w:r>
        <w:t xml:space="preserve"> </w:t>
      </w:r>
      <w:r>
        <w:t xml:space="preserve">harbour structural</w:t>
      </w:r>
      <w:r>
        <w:t xml:space="preserve"> </w:t>
      </w:r>
      <w:r>
        <w:t xml:space="preserve">dependent affection on aryl hydrocarbon receptor (AHR)</w:t>
      </w:r>
      <w:r>
        <w:t xml:space="preserve"> </w:t>
      </w:r>
      <w:r>
        <w:t xml:space="preserve">[</w:t>
      </w:r>
      <w:hyperlink w:anchor="ref-2019c">
        <w:r>
          <w:rPr>
            <w:rStyle w:val="24"/>
          </w:rPr>
          <w:t xml:space="preserve">56</w:t>
        </w:r>
      </w:hyperlink>
      <w:r>
        <w:t xml:space="preserve">]</w:t>
      </w:r>
      <w:r>
        <w:t xml:space="preserve">. Different</w:t>
      </w:r>
      <w:r>
        <w:t xml:space="preserve"> </w:t>
      </w:r>
      <w:r>
        <w:t xml:space="preserve">structural characteristics may lead to diverse activities. The settlement for</w:t>
      </w:r>
      <w:r>
        <w:t xml:space="preserve"> </w:t>
      </w:r>
      <w:r>
        <w:t xml:space="preserve">that is integrating either</w:t>
      </w:r>
      <w:r>
        <w:t xml:space="preserve"> </w:t>
      </w:r>
      <w:r>
        <w:t xml:space="preserve">‘</w:t>
      </w:r>
      <w:r>
        <w:t xml:space="preserve">per feature</w:t>
      </w:r>
      <w:r>
        <w:t xml:space="preserve">’</w:t>
      </w:r>
      <w:r>
        <w:t xml:space="preserve"> </w:t>
      </w:r>
      <w:r>
        <w:t xml:space="preserve">level statistic or classified level</w:t>
      </w:r>
      <w:r>
        <w:t xml:space="preserve"> </w:t>
      </w:r>
      <w:r>
        <w:t xml:space="preserve">assessment.</w:t>
      </w:r>
    </w:p>
    <w:p>
      <w:pPr>
        <w:pStyle w:val="3"/>
      </w:pPr>
      <w:r>
        <w:t xml:space="preserve">   In addition to chemical classifying and statistical analysis,</w:t>
      </w:r>
      <w:r>
        <w:t xml:space="preserve"> </w:t>
      </w:r>
      <w:r>
        <w:t xml:space="preserve">clustering visualization was another popular tool for untargeted mass</w:t>
      </w:r>
      <w:r>
        <w:t xml:space="preserve"> </w:t>
      </w:r>
      <w:r>
        <w:t xml:space="preserve">spectrometry data analysis. For over a decade, Global Natural Products Social</w:t>
      </w:r>
      <w:r>
        <w:t xml:space="preserve"> </w:t>
      </w:r>
      <w:r>
        <w:t xml:space="preserve">Molecular Networking (GNPS) developed as such a popular tool. Depending on</w:t>
      </w:r>
      <w:r>
        <w:t xml:space="preserve"> </w:t>
      </w:r>
      <w:r>
        <w:t xml:space="preserve">fragmentation spectra similarity, structural annotations are propagated via</w:t>
      </w:r>
      <w:r>
        <w:t xml:space="preserve"> </w:t>
      </w:r>
      <w:r>
        <w:t xml:space="preserve">network-based method</w:t>
      </w:r>
      <w:r>
        <w:t xml:space="preserve"> </w:t>
      </w:r>
      <w:r>
        <w:t xml:space="preserve">[</w:t>
      </w:r>
      <w:hyperlink w:anchor="ref-2012a">
        <w:r>
          <w:rPr>
            <w:rStyle w:val="24"/>
          </w:rPr>
          <w:t xml:space="preserve">57</w:t>
        </w:r>
      </w:hyperlink>
      <w:r>
        <w:t xml:space="preserve">–</w:t>
      </w:r>
      <w:hyperlink w:anchor="ref-2021d">
        <w:r>
          <w:rPr>
            <w:rStyle w:val="24"/>
          </w:rPr>
          <w:t xml:space="preserve">61</w:t>
        </w:r>
      </w:hyperlink>
      <w:r>
        <w:t xml:space="preserve">]</w:t>
      </w:r>
      <w:r>
        <w:t xml:space="preserve">. Unfortunately,</w:t>
      </w:r>
      <w:r>
        <w:t xml:space="preserve"> </w:t>
      </w:r>
      <w:r>
        <w:t xml:space="preserve">molecular networking is a highly spectral similarity dependent method instead</w:t>
      </w:r>
      <w:r>
        <w:t xml:space="preserve"> </w:t>
      </w:r>
      <w:r>
        <w:t xml:space="preserve">of compounds structural or classified similarity. For example, Flavonoids were</w:t>
      </w:r>
      <w:r>
        <w:t xml:space="preserve"> </w:t>
      </w:r>
      <w:r>
        <w:t xml:space="preserve">expected to be clustered together as its specific class and structural</w:t>
      </w:r>
      <w:r>
        <w:t xml:space="preserve"> </w:t>
      </w:r>
      <w:r>
        <w:t xml:space="preserve">similarity. However, in previous research, it has been reported that some</w:t>
      </w:r>
      <w:r>
        <w:t xml:space="preserve"> </w:t>
      </w:r>
      <w:r>
        <w:t xml:space="preserve">Flavonoids happened to be absent from the cluster of many Flavonoids compounds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55</w:t>
        </w:r>
      </w:hyperlink>
      <w:r>
        <w:t xml:space="preserve">]</w:t>
      </w:r>
      <w:r>
        <w:t xml:space="preserve">. In this context, visualization in a classified</w:t>
      </w:r>
      <w:r>
        <w:t xml:space="preserve"> </w:t>
      </w:r>
      <w:r>
        <w:t xml:space="preserve">perspective is a better choice for untargeted mass spectra dataset. Earlier in</w:t>
      </w:r>
      <w:r>
        <w:t xml:space="preserve"> </w:t>
      </w:r>
      <w:r>
        <w:t xml:space="preserve">2012, molecular networking was proposed with visualization for mass data</w:t>
      </w:r>
      <w:r>
        <w:t xml:space="preserve"> </w:t>
      </w:r>
      <w:r>
        <w:t xml:space="preserve">analysis for the first time</w:t>
      </w:r>
      <w:r>
        <w:t xml:space="preserve"> </w:t>
      </w:r>
      <w:r>
        <w:t xml:space="preserve">[</w:t>
      </w:r>
      <w:hyperlink w:anchor="ref-2012a">
        <w:r>
          <w:rPr>
            <w:rStyle w:val="24"/>
          </w:rPr>
          <w:t xml:space="preserve">57</w:t>
        </w:r>
      </w:hyperlink>
      <w:r>
        <w:t xml:space="preserve">]</w:t>
      </w:r>
      <w:r>
        <w:t xml:space="preserve">. At that time,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 for</w:t>
      </w:r>
      <w:r>
        <w:t xml:space="preserve"> </w:t>
      </w:r>
      <w:r>
        <w:t xml:space="preserve">predicting compound classification by fragmentation spectra were not available.</w:t>
      </w:r>
      <w:r>
        <w:t xml:space="preserve"> </w:t>
      </w:r>
      <w:r>
        <w:t xml:space="preserve">Nowadays, with the development of automatic classified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tools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39</w:t>
        </w:r>
      </w:hyperlink>
      <w:r>
        <w:t xml:space="preserve">,</w:t>
      </w:r>
      <w:hyperlink w:anchor="ref-duhrkop_systematic_2021">
        <w:r>
          <w:rPr>
            <w:rStyle w:val="24"/>
          </w:rPr>
          <w:t xml:space="preserve">55</w:t>
        </w:r>
      </w:hyperlink>
      <w:r>
        <w:t xml:space="preserve">]</w:t>
      </w:r>
      <w:r>
        <w:t xml:space="preserve">, it is time for a revolution of the</w:t>
      </w:r>
      <w:r>
        <w:t xml:space="preserve"> </w:t>
      </w:r>
      <w:r>
        <w:t xml:space="preserve">visualization strategy. With higher confidence in classified level.</w:t>
      </w:r>
    </w:p>
    <w:p>
      <w:pPr>
        <w:pStyle w:val="3"/>
      </w:pPr>
      <w:r>
        <w:t xml:space="preserve">   For above consideration, we proposed a comprehensive analysis</w:t>
      </w:r>
      <w:r>
        <w:t xml:space="preserve"> </w:t>
      </w:r>
      <w:r>
        <w:t xml:space="preserve">workflow, named MCnebula, for untargeted LC-MS/MS dataset analysis. For the</w:t>
      </w:r>
      <w:r>
        <w:t xml:space="preserve"> </w:t>
      </w:r>
      <w:r>
        <w:t xml:space="preserve">first time, MCnebula integrated an abundance-based classes (ABC) selection</w:t>
      </w:r>
      <w:r>
        <w:t xml:space="preserve"> </w:t>
      </w:r>
      <w:r>
        <w:t xml:space="preserve">algorithm for chemical classes selection. The ABC selection algorithm: first,</w:t>
      </w:r>
      <w:r>
        <w:t xml:space="preserve"> </w:t>
      </w:r>
      <w:r>
        <w:t xml:space="preserve">applied an initial filtering to thousands of chemical classes based on the</w:t>
      </w:r>
      <w:r>
        <w:t xml:space="preserve"> </w:t>
      </w:r>
      <w:r>
        <w:t xml:space="preserve">predicted probability; regarded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as a whole, examined the number</w:t>
      </w:r>
      <w:r>
        <w:t xml:space="preserve"> </w:t>
      </w:r>
      <w:r>
        <w:t xml:space="preserve">and abundance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each chemical classification (classification at</w:t>
      </w:r>
      <w:r>
        <w:t xml:space="preserve"> </w:t>
      </w:r>
      <w:r>
        <w:t xml:space="preserve">different levels, classification of sub-structure and dominant structure), and</w:t>
      </w:r>
      <w:r>
        <w:t xml:space="preserve"> </w:t>
      </w:r>
      <w:r>
        <w:t xml:space="preserve">then selected representative classes; these chemical classes were followed by</w:t>
      </w:r>
      <w:r>
        <w:t xml:space="preserve"> </w:t>
      </w:r>
      <w:r>
        <w:t xml:space="preserve">goodness assessment (about identification of its classified compounds) and</w:t>
      </w:r>
      <w:r>
        <w:t xml:space="preserve"> </w:t>
      </w:r>
      <w:r>
        <w:t xml:space="preserve">identicality assessment (the extent to which these chemical classes are</w:t>
      </w:r>
      <w:r>
        <w:t xml:space="preserve"> </w:t>
      </w:r>
      <w:r>
        <w:t xml:space="preserve">distinguished from each other in the context of MS/MS spectra). The final</w:t>
      </w:r>
      <w:r>
        <w:t xml:space="preserve"> </w:t>
      </w:r>
      <w:r>
        <w:t xml:space="preserve">chemical classes would be serve to the subsequent analysis: visualized as</w:t>
      </w:r>
      <w:r>
        <w:t xml:space="preserve"> </w:t>
      </w:r>
      <w:r>
        <w:t xml:space="preserve">Child-Nebulae and focus on these chemical classes (Nebulae) for biomarker</w:t>
      </w:r>
      <w:r>
        <w:t xml:space="preserve"> </w:t>
      </w:r>
      <w:r>
        <w:t xml:space="preserve">finding or chemistry discovery.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depend on statistic analysis</w:t>
      </w:r>
      <w:r>
        <w:t xml:space="preserve"> </w:t>
      </w:r>
      <w:r>
        <w:t xml:space="preserve">could be set as tracer to discover more homology compounds of chemical</w:t>
      </w:r>
      <w:r>
        <w:t xml:space="preserve"> </w:t>
      </w:r>
      <w:r>
        <w:t xml:space="preserve">structure or spectral similarity or chemical class. MCnebula can be used to</w:t>
      </w:r>
      <w:r>
        <w:t xml:space="preserve"> </w:t>
      </w:r>
      <w:r>
        <w:t xml:space="preserve">explore unknown compounds because the identification module of MCnebula</w:t>
      </w:r>
      <w:r>
        <w:t xml:space="preserve"> </w:t>
      </w:r>
      <w:r>
        <w:t xml:space="preserve">utilized the cutting-edge technology of SIRIUS software</w:t>
      </w:r>
      <w:r>
        <w:t xml:space="preserve"> </w:t>
      </w:r>
      <w:r>
        <w:t xml:space="preserve">[</w:t>
      </w:r>
      <w:hyperlink w:anchor="ref-duhrkop_searching_2015">
        <w:r>
          <w:rPr>
            <w:rStyle w:val="24"/>
          </w:rPr>
          <w:t xml:space="preserve">31</w:t>
        </w:r>
      </w:hyperlink>
      <w:r>
        <w:t xml:space="preserve">,</w:t>
      </w:r>
      <w:hyperlink w:anchor="ref-duhrkop_sirius_2019">
        <w:r>
          <w:rPr>
            <w:rStyle w:val="24"/>
          </w:rPr>
          <w:t xml:space="preserve">36</w:t>
        </w:r>
      </w:hyperlink>
      <w:r>
        <w:t xml:space="preserve">,</w:t>
      </w:r>
      <w:hyperlink w:anchor="ref-duhrkop_systematic_2021">
        <w:r>
          <w:rPr>
            <w:rStyle w:val="24"/>
          </w:rPr>
          <w:t xml:space="preserve">55</w:t>
        </w:r>
      </w:hyperlink>
      <w:r>
        <w:t xml:space="preserve">,</w:t>
      </w:r>
      <w:hyperlink w:anchor="ref-bocker_sirius_2009">
        <w:r>
          <w:rPr>
            <w:rStyle w:val="24"/>
          </w:rPr>
          <w:t xml:space="preserve">62</w:t>
        </w:r>
      </w:hyperlink>
      <w:r>
        <w:t xml:space="preserve">–</w:t>
      </w:r>
      <w:hyperlink w:anchor="ref-ludwig_database-independent_2020">
        <w:r>
          <w:rPr>
            <w:rStyle w:val="24"/>
          </w:rPr>
          <w:t xml:space="preserve">64</w:t>
        </w:r>
      </w:hyperlink>
      <w:r>
        <w:t xml:space="preserve">]</w:t>
      </w:r>
      <w:r>
        <w:t xml:space="preserve">, which exceeds the</w:t>
      </w:r>
      <w:r>
        <w:t xml:space="preserve"> </w:t>
      </w:r>
      <w:r>
        <w:t xml:space="preserve">limitations of spectral library matching. MCnebula has been implemented in the</w:t>
      </w:r>
      <w:r>
        <w:t xml:space="preserve"> </w:t>
      </w:r>
      <w:r>
        <w:t xml:space="preserve">R language, which means that it can be easily integrated into the diverse</w:t>
      </w:r>
      <w:r>
        <w:t xml:space="preserve"> </w:t>
      </w:r>
      <w:r>
        <w:t xml:space="preserve">biological analysis workflow of R. MCnebula (MCnebula2) was written primarily</w:t>
      </w:r>
      <w:r>
        <w:t xml:space="preserve"> </w:t>
      </w:r>
      <w:r>
        <w:t xml:space="preserve">in S4 system of object-oriented programming. This allows all data for one</w:t>
      </w:r>
      <w:r>
        <w:t xml:space="preserve"> </w:t>
      </w:r>
      <w:r>
        <w:t xml:space="preserve">analysis to be concentrated in one object from initial initiation to the end of</w:t>
      </w:r>
      <w:r>
        <w:t xml:space="preserve"> </w:t>
      </w:r>
      <w:r>
        <w:t xml:space="preserve">the analysis, facilitating data management and reproducible analysis. In</w:t>
      </w:r>
      <w:r>
        <w:t xml:space="preserve"> </w:t>
      </w:r>
      <w:r>
        <w:t xml:space="preserve">addition to the MCnebula (MCnebula2 package included tools such as ABC</w:t>
      </w:r>
      <w:r>
        <w:t xml:space="preserve"> </w:t>
      </w:r>
      <w:r>
        <w:t xml:space="preserve">selection algorithm, Nebula visualization, statistical analysis, and output</w:t>
      </w:r>
      <w:r>
        <w:t xml:space="preserve"> </w:t>
      </w:r>
      <w:r>
        <w:t xml:space="preserve">report etc.), we also provide an additional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 for downstream</w:t>
      </w:r>
      <w:r>
        <w:t xml:space="preserve"> </w:t>
      </w:r>
      <w:r>
        <w:t xml:space="preserve">analysis, which contains all the analysis tools used in this study, including:</w:t>
      </w:r>
      <w:r>
        <w:t xml:space="preserve"> </w:t>
      </w:r>
      <w:r>
        <w:t xml:space="preserve">pathway enrichment analysis, heat map clustering analysis, spectral</w:t>
      </w:r>
      <w:r>
        <w:t xml:space="preserve"> </w:t>
      </w:r>
      <w:r>
        <w:t xml:space="preserve">visualization analysis, chemical information query, etc. Downstream analysis</w:t>
      </w:r>
      <w:r>
        <w:t xml:space="preserve"> </w:t>
      </w:r>
      <w:r>
        <w:t xml:space="preserve">of untargeted LC/MS-MS is complex and varies from data to data. The additional</w:t>
      </w:r>
      <w:r>
        <w:t xml:space="preserve"> </w:t>
      </w:r>
      <w:r>
        <w:t xml:space="preserve">tools in exMCnebula2 package could provide a prototype for the expanded</w:t>
      </w:r>
      <w:r>
        <w:t xml:space="preserve"> </w:t>
      </w:r>
      <w:r>
        <w:t xml:space="preserve">application of MCnebula.</w:t>
      </w:r>
    </w:p>
    <w:p>
      <w:pPr>
        <w:pStyle w:val="3"/>
      </w:pPr>
      <w:r>
        <w:t xml:space="preserve">   In this article, two datasets were applied to MCnebula in order to</w:t>
      </w:r>
      <w:r>
        <w:t xml:space="preserve"> </w:t>
      </w:r>
      <w:r>
        <w:t xml:space="preserve">demonstrate the broad utility of our method. One was a human-derived serum</w:t>
      </w:r>
      <w:r>
        <w:t xml:space="preserve"> </w:t>
      </w:r>
      <w:r>
        <w:t xml:space="preserve">dataset that correlated with mortality risk profiling of staphylococcus aureus</w:t>
      </w:r>
      <w:r>
        <w:t xml:space="preserve"> </w:t>
      </w:r>
      <w:r>
        <w:t xml:space="preserve">Bacteremia (SaB); the other was a plant-derived herbal dataset that related to</w:t>
      </w:r>
      <w:r>
        <w:t xml:space="preserve"> </w:t>
      </w:r>
      <w:r>
        <w:t xml:space="preserve">the processing of herbal medicine.</w:t>
      </w:r>
    </w:p>
    <w:bookmarkEnd w:id="24"/>
    <w:bookmarkStart w:id="28" w:name="results"/>
    <w:p>
      <w:pPr>
        <w:pStyle w:val="2"/>
      </w:pPr>
      <w:r>
        <w:t xml:space="preserve">Results</w:t>
      </w:r>
    </w:p>
    <w:bookmarkStart w:id="25" w:name="overview"/>
    <w:p>
      <w:pPr>
        <w:pStyle w:val="4"/>
      </w:pPr>
      <w:r>
        <w:t xml:space="preserve">Overview</w:t>
      </w:r>
    </w:p>
    <w:p>
      <w:pPr>
        <w:pStyle w:val="38"/>
      </w:pPr>
      <w:r>
        <w:t xml:space="preserve">   The MCnebula workflow was dedicated to analyzing LC-MS/MS datasets</w:t>
      </w:r>
      <w:r>
        <w:t xml:space="preserve"> </w:t>
      </w:r>
      <w:r>
        <w:t xml:space="preserve">from the beginning, i.e. starting from the raw data obtained from the sample</w:t>
      </w:r>
      <w:r>
        <w:t xml:space="preserve"> </w:t>
      </w:r>
      <w:r>
        <w:t xml:space="preserve">and going through the various stages of analysis to obtain a complete analysis</w:t>
      </w:r>
      <w:r>
        <w:t xml:space="preserve"> </w:t>
      </w:r>
      <w:r>
        <w:t xml:space="preserve">report (Fig. 1). The analysis process followed</w:t>
      </w:r>
      <w:r>
        <w:t xml:space="preserve"> </w:t>
      </w:r>
      <w:r>
        <w:t xml:space="preserve">the general MCnebula analysis templates, from filtering candidates of chemical</w:t>
      </w:r>
      <w:r>
        <w:t xml:space="preserve"> </w:t>
      </w:r>
      <w:r>
        <w:t xml:space="preserve">formula, structural formulae, chemical classes, to creating visual Nebulae; it</w:t>
      </w:r>
      <w:r>
        <w:t xml:space="preserve"> </w:t>
      </w:r>
      <w:r>
        <w:t xml:space="preserve">also allowed for custom advanced analysis, with the help of chemical class</w:t>
      </w:r>
      <w:r>
        <w:t xml:space="preserve"> </w:t>
      </w:r>
      <w:r>
        <w:t xml:space="preserve">focused Nebulae, to perform statistic analysis, features selection, focus on</w:t>
      </w:r>
      <w:r>
        <w:t xml:space="preserve"> </w:t>
      </w:r>
      <w:r>
        <w:t xml:space="preserve">critical metabolites (compounds) and their structural characteristics, pathway</w:t>
      </w:r>
      <w:r>
        <w:t xml:space="preserve"> </w:t>
      </w:r>
      <w:r>
        <w:t xml:space="preserve">enrichment, querying compound synonyms, etc. We evaluated workflow of MCnebula</w:t>
      </w:r>
      <w:r>
        <w:t xml:space="preserve"> </w:t>
      </w:r>
      <w:r>
        <w:t xml:space="preserve">in function with other popular public available methods. In terms of the</w:t>
      </w:r>
      <w:r>
        <w:t xml:space="preserve"> </w:t>
      </w:r>
      <w:r>
        <w:t xml:space="preserve">evaluation of our chosen indicators which cover identification, classifying,</w:t>
      </w:r>
      <w:r>
        <w:t xml:space="preserve"> </w:t>
      </w:r>
      <w:r>
        <w:t xml:space="preserve">etc., MCnebula has a wider scope of applicability. (Tab.</w:t>
      </w:r>
      <w:r>
        <w:t xml:space="preserve"> </w:t>
      </w:r>
      <w:r>
        <w:t xml:space="preserve">S1)</w:t>
      </w:r>
    </w:p>
    <w:bookmarkEnd w:id="25"/>
    <w:bookmarkStart w:id="26" w:name="method-evaluation"/>
    <w:p>
      <w:pPr>
        <w:pStyle w:val="4"/>
      </w:pPr>
      <w:r>
        <w:t xml:space="preserve">Method evaluation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Classified accuracy.</w:t>
      </w:r>
      <w:r>
        <w:t xml:space="preserve"> </w:t>
      </w:r>
      <w:r>
        <w:t xml:space="preserve">We used a public available reference</w:t>
      </w:r>
      <w:r>
        <w:t xml:space="preserve"> </w:t>
      </w:r>
      <w:r>
        <w:t xml:space="preserve">spectral library to assess the accuracy of classifying of MCnebula. The direct</w:t>
      </w:r>
      <w:r>
        <w:t xml:space="preserve"> </w:t>
      </w:r>
      <w:r>
        <w:t xml:space="preserve">use of such a reference spectral library may lead to over-fitting during the</w:t>
      </w:r>
      <w:r>
        <w:t xml:space="preserve"> </w:t>
      </w:r>
      <w:r>
        <w:t xml:space="preserve">evaluation. We have taken the approach of simulating noise to eliminate this</w:t>
      </w:r>
      <w:r>
        <w:t xml:space="preserve"> </w:t>
      </w:r>
      <w:r>
        <w:t xml:space="preserve">consequence. Simulating noise, i.e., adding invalid noisy data to the reference</w:t>
      </w:r>
      <w:r>
        <w:t xml:space="preserve"> </w:t>
      </w:r>
      <w:r>
        <w:t xml:space="preserve">spectrum or numerically shifting the existing data, also simulates data</w:t>
      </w:r>
      <w:r>
        <w:t xml:space="preserve"> </w:t>
      </w:r>
      <w:r>
        <w:t xml:space="preserve">acquisition similar to a real scenario: due to the different acquisition</w:t>
      </w:r>
      <w:r>
        <w:t xml:space="preserve"> </w:t>
      </w:r>
      <w:r>
        <w:t xml:space="preserve">conditions, the spectral data in the real case will be more noisy compared to</w:t>
      </w:r>
      <w:r>
        <w:t xml:space="preserve"> </w:t>
      </w:r>
      <w:r>
        <w:t xml:space="preserve">the reference spectrum. By adding noise to the reference spectral library, we</w:t>
      </w:r>
      <w:r>
        <w:t xml:space="preserve"> </w:t>
      </w:r>
      <w:r>
        <w:t xml:space="preserve">now have three datasets for evaluation (origin, medium noise and high noise</w:t>
      </w:r>
      <w:r>
        <w:t xml:space="preserve"> </w:t>
      </w:r>
      <w:r>
        <w:t xml:space="preserve">dataset) (commonly 7524 compounds (spectra)). All three datasets were analyzed</w:t>
      </w:r>
      <w:r>
        <w:t xml:space="preserve"> </w:t>
      </w:r>
      <w:r>
        <w:t xml:space="preserve">using MCnebula. Due to the richness of the compounds in the reference spectra,</w:t>
      </w:r>
      <w:r>
        <w:t xml:space="preserve"> </w:t>
      </w:r>
      <w:r>
        <w:t xml:space="preserve">for the origin dataset, we obtained a total of 152 chemical classes (each with</w:t>
      </w:r>
      <w:r>
        <w:t xml:space="preserve"> </w:t>
      </w:r>
      <w:r>
        <w:t xml:space="preserve">a corresponding compounds to be evaluated) via using ABC selection algorithm.</w:t>
      </w:r>
      <w:r>
        <w:t xml:space="preserve"> </w:t>
      </w:r>
      <w:r>
        <w:t xml:space="preserve">These 152 chemical classes include both chemical classes refined on the basis</w:t>
      </w:r>
      <w:r>
        <w:t xml:space="preserve"> </w:t>
      </w:r>
      <w:r>
        <w:t xml:space="preserve">of dominant structures and chemical classes refined on the basis of</w:t>
      </w:r>
      <w:r>
        <w:t xml:space="preserve"> </w:t>
      </w:r>
      <w:r>
        <w:t xml:space="preserve">substructures. To facilitate comparison with other methods, we selected only</w:t>
      </w:r>
      <w:r>
        <w:t xml:space="preserve"> </w:t>
      </w:r>
      <w:r>
        <w:t xml:space="preserve">chemical classes that are likely to be dominant structures for evaluation.</w:t>
      </w:r>
      <w:r>
        <w:t xml:space="preserve"> </w:t>
      </w:r>
      <w:r>
        <w:t xml:space="preserve">There were 37 such chemical classes that were selected for evaluation.</w:t>
      </w:r>
    </w:p>
    <w:p>
      <w:pPr>
        <w:pStyle w:val="3"/>
      </w:pPr>
      <w:r>
        <w:t xml:space="preserve">   In order to evaluate MCnebula more objectively, we chose an</w:t>
      </w:r>
      <w:r>
        <w:t xml:space="preserve"> </w:t>
      </w:r>
      <w:r>
        <w:t xml:space="preserve">existing method as a benchmark method for parallel comparison. We finally chose</w:t>
      </w:r>
      <w:r>
        <w:t xml:space="preserve"> </w:t>
      </w:r>
      <w:r>
        <w:t xml:space="preserve">the molecular networking provided by GNPS (Global Natural Products Social</w:t>
      </w:r>
      <w:r>
        <w:t xml:space="preserve"> </w:t>
      </w:r>
      <w:r>
        <w:t xml:space="preserve">Molecular Networking) as the benchmark method because we considered that it is</w:t>
      </w:r>
      <w:r>
        <w:t xml:space="preserve"> </w:t>
      </w:r>
      <w:r>
        <w:t xml:space="preserve">also a visual analysis method that has been popular among chemists for a long</w:t>
      </w:r>
      <w:r>
        <w:t xml:space="preserve"> </w:t>
      </w:r>
      <w:r>
        <w:t xml:space="preserve">time. In GNPS, the workflow of Feature-based molecular networking (FBMN)</w:t>
      </w:r>
      <w:r>
        <w:t xml:space="preserve"> </w:t>
      </w:r>
      <w:r>
        <w:t xml:space="preserve">combined with MolNetEnhancer provides a way to classify compounds present in</w:t>
      </w:r>
      <w:r>
        <w:t xml:space="preserve"> </w:t>
      </w:r>
      <w:r>
        <w:t xml:space="preserve">spectral data. This is a traditional classified method, which first identifies</w:t>
      </w:r>
      <w:r>
        <w:t xml:space="preserve"> </w:t>
      </w:r>
      <w:r>
        <w:t xml:space="preserve">the exact chemical structure based on spectral data, and then determines the</w:t>
      </w:r>
      <w:r>
        <w:t xml:space="preserve"> </w:t>
      </w:r>
      <w:r>
        <w:t xml:space="preserve">chemical class based on the chemical structure. We uploaded the three datasets</w:t>
      </w:r>
      <w:r>
        <w:t xml:space="preserve"> </w:t>
      </w:r>
      <w:r>
        <w:t xml:space="preserve">to the GNPS server and then obtained the results and used them for evaluation.</w:t>
      </w:r>
      <w:r>
        <w:t xml:space="preserve"> </w:t>
      </w:r>
      <w:r>
        <w:t xml:space="preserve">For origin dataset, GNPS resulted in a total of 44 chemical classes (parallel</w:t>
      </w:r>
      <w:r>
        <w:t xml:space="preserve"> </w:t>
      </w:r>
      <w:r>
        <w:t xml:space="preserve">to MCnebula, with at least 50 compounds per chemical class).</w:t>
      </w:r>
    </w:p>
    <w:p>
      <w:pPr>
        <w:pStyle w:val="3"/>
      </w:pPr>
      <w:r>
        <w:t xml:space="preserve">   There were 19 common classes in total. These classes were selected</w:t>
      </w:r>
      <w:r>
        <w:t xml:space="preserve"> </w:t>
      </w:r>
      <w:r>
        <w:t xml:space="preserve">to compare MCnebula and GNPS in parallel in terms of classified number,</w:t>
      </w:r>
      <w:r>
        <w:t xml:space="preserve"> </w:t>
      </w:r>
      <w:r>
        <w:t xml:space="preserve">stability, and relative false rate. For the classified number, MCnebula</w:t>
      </w:r>
      <w:r>
        <w:t xml:space="preserve"> </w:t>
      </w:r>
      <w:r>
        <w:t xml:space="preserve">outperformed GNPS in three dataset (MCnebula: 199, 178, 160; GNPS: 162, 95, 81)</w:t>
      </w:r>
      <w:r>
        <w:t xml:space="preserve"> </w:t>
      </w:r>
      <w:r>
        <w:t xml:space="preserve">(Fig. 2a). For the stability of the</w:t>
      </w:r>
      <w:r>
        <w:t xml:space="preserve"> </w:t>
      </w:r>
      <w:r>
        <w:t xml:space="preserve">classifying after adding noise, MCnebula outperformed GNPS in two dataset</w:t>
      </w:r>
      <w:r>
        <w:t xml:space="preserve"> </w:t>
      </w:r>
      <w:r>
        <w:t xml:space="preserve">(MCnebula: 10.5%, 19.8%; GNPS: 41.7%, 50.1%) (Fig.</w:t>
      </w:r>
      <w:r>
        <w:t xml:space="preserve"> </w:t>
      </w:r>
      <w:r>
        <w:t xml:space="preserve">2a). For the last indicator, to assess the</w:t>
      </w:r>
      <w:r>
        <w:t xml:space="preserve"> </w:t>
      </w:r>
      <w:r>
        <w:t xml:space="preserve">performance of classifying, it combined the level of the stability to calculate</w:t>
      </w:r>
      <w:r>
        <w:t xml:space="preserve"> </w:t>
      </w:r>
      <w:r>
        <w:t xml:space="preserve">the relative false rate, rather than the absolute false rate. The relative</w:t>
      </w:r>
      <w:r>
        <w:t xml:space="preserve"> </w:t>
      </w:r>
      <w:r>
        <w:t xml:space="preserve">false rate better simulated the actual application to LC-MS/MS analysis, since</w:t>
      </w:r>
      <w:r>
        <w:t xml:space="preserve"> </w:t>
      </w:r>
      <w:r>
        <w:t xml:space="preserve">the actual spectral data contains not only noise but also many unknown</w:t>
      </w:r>
      <w:r>
        <w:t xml:space="preserve"> </w:t>
      </w:r>
      <w:r>
        <w:t xml:space="preserve">compounds that cannot be identified by spectral matching. In this context,</w:t>
      </w:r>
      <w:r>
        <w:t xml:space="preserve"> </w:t>
      </w:r>
      <w:r>
        <w:t xml:space="preserve">MCnebula outperformed the GNPS in the evaluation of the relative false rate in</w:t>
      </w:r>
      <w:r>
        <w:t xml:space="preserve"> </w:t>
      </w:r>
      <w:r>
        <w:t xml:space="preserve">three dataset (MCnebula: 30.2%, 32.9%, 32.6%; GNPS: 51.9%, 48.8%, 47.6%) (Fig.</w:t>
      </w:r>
      <w:r>
        <w:t xml:space="preserve"> </w:t>
      </w:r>
      <w:r>
        <w:t xml:space="preserve">2a). In addition to the three indicators</w:t>
      </w:r>
      <w:r>
        <w:t xml:space="preserve"> </w:t>
      </w:r>
      <w:r>
        <w:t xml:space="preserve">mentioned above, we also compared MCnebula and GNPS at the individual level for</w:t>
      </w:r>
      <w:r>
        <w:t xml:space="preserve"> </w:t>
      </w:r>
      <w:r>
        <w:t xml:space="preserve">the 19 chemical classes (Fig. 2b).</w:t>
      </w:r>
      <w:r>
        <w:t xml:space="preserve"> </w:t>
      </w:r>
      <w:r>
        <w:t xml:space="preserve">Remarkably, MCnebula was more stable to noise than GNPS.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Identified accuracy.</w:t>
      </w:r>
      <w:r>
        <w:t xml:space="preserve"> </w:t>
      </w:r>
      <w:r>
        <w:t xml:space="preserve">Using MCnebula workflow, the origin</w:t>
      </w:r>
      <w:r>
        <w:t xml:space="preserve"> </w:t>
      </w:r>
      <w:r>
        <w:t xml:space="preserve">dataset containing 8057 compounds (precursor ions m/z &lt; 800), all of these</w:t>
      </w:r>
      <w:r>
        <w:t xml:space="preserve"> </w:t>
      </w:r>
      <w:r>
        <w:t xml:space="preserve">compounds were predicted with chemical molecular formulae, and of these, 6610</w:t>
      </w:r>
      <w:r>
        <w:t xml:space="preserve"> </w:t>
      </w:r>
      <w:r>
        <w:t xml:space="preserve">compounds were predicted with chemical structure. These chemical structure</w:t>
      </w:r>
      <w:r>
        <w:t xml:space="preserve"> </w:t>
      </w:r>
      <w:r>
        <w:t xml:space="preserve">were evaluated for accuracy in a classified context. For the 37 chemical</w:t>
      </w:r>
      <w:r>
        <w:t xml:space="preserve"> </w:t>
      </w:r>
      <w:r>
        <w:t xml:space="preserve">classes (Fig. 2c), the average false rate</w:t>
      </w:r>
      <w:r>
        <w:t xml:space="preserve"> </w:t>
      </w:r>
      <w:r>
        <w:t xml:space="preserve">of identification was 37%; the average identified compounds number was 156.</w:t>
      </w:r>
      <w:r>
        <w:t xml:space="preserve"> </w:t>
      </w:r>
      <w:r>
        <w:t xml:space="preserve">Among them, most of the identified false rate were between 30% to 40%, however,</w:t>
      </w:r>
      <w:r>
        <w:t xml:space="preserve"> </w:t>
      </w:r>
      <w:r>
        <w:t xml:space="preserve">some classes were quite low, such as</w:t>
      </w:r>
      <w:r>
        <w:t xml:space="preserve"> </w:t>
      </w:r>
      <w:r>
        <w:t xml:space="preserve">‘</w:t>
      </w:r>
      <w:r>
        <w:t xml:space="preserve">Long-chain fatty acids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Lignans,</w:t>
      </w:r>
      <w:r>
        <w:t xml:space="preserve"> </w:t>
      </w:r>
      <w:r>
        <w:t xml:space="preserve">neolignans and related compounds</w:t>
      </w:r>
      <w:r>
        <w:t xml:space="preserve">’</w:t>
      </w:r>
      <w:r>
        <w:t xml:space="preserve">. The reliability of the predicted chemical</w:t>
      </w:r>
      <w:r>
        <w:t xml:space="preserve"> </w:t>
      </w:r>
      <w:r>
        <w:t xml:space="preserve">structure can be assessed in terms of a score. Tanimoto similarity provides</w:t>
      </w:r>
      <w:r>
        <w:t xml:space="preserve"> </w:t>
      </w:r>
      <w:r>
        <w:t xml:space="preserve">such a score for each predicted chemical structure (it provides the matching</w:t>
      </w:r>
      <w:r>
        <w:t xml:space="preserve"> </w:t>
      </w:r>
      <w:r>
        <w:t xml:space="preserve">degree of chemical fingerprints with structures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36</w:t>
        </w:r>
      </w:hyperlink>
      <w:r>
        <w:t xml:space="preserve">]</w:t>
      </w:r>
      <w:r>
        <w:t xml:space="preserve">). When</w:t>
      </w:r>
      <w:r>
        <w:t xml:space="preserve"> </w:t>
      </w:r>
      <w:r>
        <w:t xml:space="preserve">Tanimoto similarity sets the cutoff value to 0.5, the average false rate of</w:t>
      </w:r>
      <w:r>
        <w:t xml:space="preserve"> </w:t>
      </w:r>
      <w:r>
        <w:t xml:space="preserve">identification was 29.4%; the average identified compounds number was 139 (Fig.</w:t>
      </w:r>
      <w:r>
        <w:t xml:space="preserve"> </w:t>
      </w:r>
      <w:r>
        <w:t xml:space="preserve">2c). Above we evaluated the accuracy of</w:t>
      </w:r>
      <w:r>
        <w:t xml:space="preserve"> </w:t>
      </w:r>
      <w:r>
        <w:t xml:space="preserve">the identification of compounds in each chemical class obtained by MCnebula. It</w:t>
      </w:r>
      <w:r>
        <w:t xml:space="preserve"> </w:t>
      </w:r>
      <w:r>
        <w:t xml:space="preserve">should be noted that MCnebula itself does not contain any module for</w:t>
      </w:r>
      <w:r>
        <w:t xml:space="preserve"> </w:t>
      </w:r>
      <w:r>
        <w:t xml:space="preserve">identification, it only utilized the top scoring candidate from the SIRIUS</w:t>
      </w:r>
      <w:r>
        <w:t xml:space="preserve"> </w:t>
      </w:r>
      <w:r>
        <w:t xml:space="preserve">predicted results for annotation. For more evaluation on identification please</w:t>
      </w:r>
      <w:r>
        <w:t xml:space="preserve"> </w:t>
      </w:r>
      <w:r>
        <w:t xml:space="preserve">refer to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36</w:t>
        </w:r>
      </w:hyperlink>
      <w:r>
        <w:t xml:space="preserve">]</w:t>
      </w:r>
      <w:r>
        <w:t xml:space="preserve">.</w:t>
      </w:r>
    </w:p>
    <w:bookmarkEnd w:id="26"/>
    <w:bookmarkStart w:id="27" w:name="data-analysis"/>
    <w:p>
      <w:pPr>
        <w:pStyle w:val="4"/>
      </w:pPr>
      <w:r>
        <w:t xml:space="preserve">Data analysis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Serum metabolic analysis.</w:t>
      </w:r>
      <w:r>
        <w:t xml:space="preserve"> </w:t>
      </w:r>
      <w:r>
        <w:t xml:space="preserve">To illustrate the application of</w:t>
      </w:r>
      <w:r>
        <w:t xml:space="preserve"> </w:t>
      </w:r>
      <w:r>
        <w:t xml:space="preserve">MCnebula in metabolism, we re-analyzed the serum data from Wozniak et al.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65</w:t>
        </w:r>
      </w:hyperlink>
      <w:r>
        <w:t xml:space="preserve">]</w:t>
      </w:r>
      <w:r>
        <w:t xml:space="preserve">. The serum samples were collected from patients with</w:t>
      </w:r>
      <w:r>
        <w:t xml:space="preserve"> </w:t>
      </w:r>
      <w:r>
        <w:rPr>
          <w:iCs/>
          <w:i/>
        </w:rPr>
        <w:t xml:space="preserve">Staphylococcus</w:t>
      </w:r>
      <w:r>
        <w:rPr>
          <w:iCs/>
          <w:i/>
        </w:rPr>
        <w:t xml:space="preserve"> </w:t>
      </w:r>
      <w:r>
        <w:rPr>
          <w:iCs/>
          <w:i/>
        </w:rPr>
        <w:t xml:space="preserve">aureus</w:t>
      </w:r>
      <w:r>
        <w:t xml:space="preserve"> </w:t>
      </w:r>
      <w:r>
        <w:t xml:space="preserve">bacteremia (SaB) or not and healthy volunteers. Overall, the samples</w:t>
      </w:r>
      <w:r>
        <w:t xml:space="preserve"> </w:t>
      </w:r>
      <w:r>
        <w:t xml:space="preserve">were divided into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control groups, involving NN (non-hospital,</w:t>
      </w:r>
      <w:r>
        <w:t xml:space="preserve"> </w:t>
      </w:r>
      <w:r>
        <w:t xml:space="preserve">non-infected) and HN (hospital, non-infected);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infection groups,</w:t>
      </w:r>
      <w:r>
        <w:t xml:space="preserve"> </w:t>
      </w:r>
      <w:r>
        <w:t xml:space="preserve">involving HS (hospital, survival), HM (hospital, mortality).</w:t>
      </w:r>
    </w:p>
    <w:p>
      <w:pPr>
        <w:pStyle w:val="3"/>
      </w:pPr>
      <w:r>
        <w:t xml:space="preserve">   A total of 7680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while running with LC-MS</w:t>
      </w:r>
      <w:r>
        <w:t xml:space="preserve"> </w:t>
      </w:r>
      <w:r>
        <w:t xml:space="preserve">preprocessing on the serum dataset. After predicting the compounds by MS/MS</w:t>
      </w:r>
      <w:r>
        <w:t xml:space="preserve"> </w:t>
      </w:r>
      <w:r>
        <w:t xml:space="preserve">spectra (with SIRIUS software), subsequent analysis was performed using</w:t>
      </w:r>
      <w:r>
        <w:t xml:space="preserve"> </w:t>
      </w:r>
      <w:r>
        <w:t xml:space="preserve">MCnebula. Of these, 6501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molecular formula and</w:t>
      </w:r>
      <w:r>
        <w:t xml:space="preserve"> </w:t>
      </w:r>
      <w:r>
        <w:t xml:space="preserve">further, 3449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annotated with chemical structure. Using ABC</w:t>
      </w:r>
      <w:r>
        <w:t xml:space="preserve"> </w:t>
      </w:r>
      <w:r>
        <w:t xml:space="preserve">selection algorithm: more than one thousand chemical classes were filtered out</w:t>
      </w:r>
      <w:r>
        <w:t xml:space="preserve"> </w:t>
      </w:r>
      <w:r>
        <w:t xml:space="preserve">in module of</w:t>
      </w:r>
      <w:r>
        <w:t xml:space="preserve"> </w:t>
      </w:r>
      <w:r>
        <w:t xml:space="preserve">‘</w:t>
      </w:r>
      <w:r>
        <w:t xml:space="preserve">inner filter</w:t>
      </w:r>
      <w:r>
        <w:t xml:space="preserve">’</w:t>
      </w:r>
      <w:r>
        <w:t xml:space="preserve"> </w:t>
      </w:r>
      <w:r>
        <w:t xml:space="preserve">(see method section of ABC selection algorithm);</w:t>
      </w:r>
      <w:r>
        <w:t xml:space="preserve"> </w:t>
      </w:r>
      <w:r>
        <w:t xml:space="preserve">508 chemical classes were filtered out while performing</w:t>
      </w:r>
      <w:r>
        <w:t xml:space="preserve"> </w:t>
      </w:r>
      <w:r>
        <w:t xml:space="preserve">‘</w:t>
      </w:r>
      <w:r>
        <w:t xml:space="preserve">cross filter</w:t>
      </w:r>
      <w:r>
        <w:t xml:space="preserve">’</w:t>
      </w:r>
      <w:r>
        <w:t xml:space="preserve">; for the</w:t>
      </w:r>
      <w:r>
        <w:t xml:space="preserve"> </w:t>
      </w:r>
      <w:r>
        <w:t xml:space="preserve">remaining 41 chemical classes, 19 chemical classes were manually filtered out;</w:t>
      </w:r>
      <w:r>
        <w:t xml:space="preserve"> </w:t>
      </w:r>
      <w:r>
        <w:t xml:space="preserve">the final 22 chemical classes make up the Nebula-Index, and these chemical</w:t>
      </w:r>
      <w:r>
        <w:t xml:space="preserve"> </w:t>
      </w:r>
      <w:r>
        <w:t xml:space="preserve">classes would be visualized as Child-Nebulae. It is worth mentioning that the</w:t>
      </w:r>
      <w:r>
        <w:t xml:space="preserve"> </w:t>
      </w:r>
      <w:r>
        <w:t xml:space="preserve">filtered out 527 (508 + 19) chemical classes could be re-added to the analysis.</w:t>
      </w:r>
      <w:r>
        <w:t xml:space="preserve"> </w:t>
      </w:r>
      <w:r>
        <w:t xml:space="preserve">Herein, with the basic workflow of MCnebula, Parent-Nebula and Child-Nebulae</w:t>
      </w:r>
      <w:r>
        <w:t xml:space="preserve"> </w:t>
      </w:r>
      <w:r>
        <w:t xml:space="preserve">were obtained (Fig. S1, Fig.</w:t>
      </w:r>
      <w:r>
        <w:t xml:space="preserve"> </w:t>
      </w:r>
      <w:r>
        <w:t xml:space="preserve">S2). By interrogating Child-Nebulae, we had a</w:t>
      </w:r>
      <w:r>
        <w:t xml:space="preserve"> </w:t>
      </w:r>
      <w:r>
        <w:t xml:space="preserve">basic insight into the chemical classes contained in the serum dataset. To mine</w:t>
      </w:r>
      <w:r>
        <w:t xml:space="preserve"> </w:t>
      </w:r>
      <w:r>
        <w:t xml:space="preserve">more information from Child-Nebulae: we performed a binary comparison of HS and</w:t>
      </w:r>
      <w:r>
        <w:t xml:space="preserve"> </w:t>
      </w:r>
      <w:r>
        <w:t xml:space="preserve">HM groups, ranking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according to Q-value (adjusted P-value); the top</w:t>
      </w:r>
      <w:r>
        <w:t xml:space="preserve"> </w:t>
      </w:r>
      <w:r>
        <w:t xml:space="preserve">50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set as</w:t>
      </w:r>
      <w:r>
        <w:t xml:space="preserve"> </w:t>
      </w:r>
      <w:r>
        <w:t xml:space="preserve">‘</w:t>
      </w:r>
      <w:r>
        <w:t xml:space="preserve">tracers</w:t>
      </w:r>
      <w:r>
        <w:t xml:space="preserve">’</w:t>
      </w:r>
      <w:r>
        <w:t xml:space="preserve"> </w:t>
      </w:r>
      <w:r>
        <w:t xml:space="preserve">to mark them in Child-Nebulae (Fig.</w:t>
      </w:r>
      <w:r>
        <w:t xml:space="preserve"> </w:t>
      </w:r>
      <w:r>
        <w:t xml:space="preserve">3). By combining the features selection</w:t>
      </w:r>
      <w:r>
        <w:t xml:space="preserve"> </w:t>
      </w:r>
      <w:r>
        <w:t xml:space="preserve">algorithm about Q-value, the chemical classes exhibited in Child-Nebulae were</w:t>
      </w:r>
      <w:r>
        <w:t xml:space="preserve"> </w:t>
      </w:r>
      <w:r>
        <w:t xml:space="preserve">reduced. The log</w:t>
      </w:r>
      <w:r>
        <w:rPr>
          <w:vertAlign w:val="subscript"/>
        </w:rPr>
        <w:t xml:space="preserve">2</w:t>
      </w:r>
      <w:r>
        <w:t xml:space="preserve">(Fold Change) (log</w:t>
      </w:r>
      <w:r>
        <w:rPr>
          <w:vertAlign w:val="subscript"/>
        </w:rPr>
        <w:t xml:space="preserve">2</w:t>
      </w:r>
      <w:r>
        <w:t xml:space="preserve">(FC)) quantification for the HM versus</w:t>
      </w:r>
      <w:r>
        <w:t xml:space="preserve"> </w:t>
      </w:r>
      <w:r>
        <w:t xml:space="preserve">HS groups was visualized in Child-Nebulae (Fig.</w:t>
      </w:r>
      <w:r>
        <w:t xml:space="preserve"> </w:t>
      </w:r>
      <w:r>
        <w:t xml:space="preserve">S3). In Fig.</w:t>
      </w:r>
      <w:r>
        <w:t xml:space="preserve"> </w:t>
      </w:r>
      <w:r>
        <w:t xml:space="preserve">S3, the overall level of</w:t>
      </w:r>
      <w:r>
        <w:t xml:space="preserve"> </w:t>
      </w:r>
      <w:r>
        <w:t xml:space="preserve">‘</w:t>
      </w:r>
      <w:r>
        <w:t xml:space="preserve">Bile acids, alcohols</w:t>
      </w:r>
      <w:r>
        <w:t xml:space="preserve"> </w:t>
      </w:r>
      <w:r>
        <w:t xml:space="preserve">and derivatives</w:t>
      </w:r>
      <w:r>
        <w:t xml:space="preserve">’</w:t>
      </w:r>
      <w:r>
        <w:t xml:space="preserve"> </w:t>
      </w:r>
      <w:r>
        <w:t xml:space="preserve">(BAs) class and</w:t>
      </w:r>
      <w:r>
        <w:t xml:space="preserve"> </w:t>
      </w:r>
      <w:r>
        <w:t xml:space="preserve">‘</w:t>
      </w:r>
      <w:r>
        <w:t xml:space="preserve">Acyl carnitines</w:t>
      </w:r>
      <w:r>
        <w:t xml:space="preserve">’</w:t>
      </w:r>
      <w:r>
        <w:t xml:space="preserve"> </w:t>
      </w:r>
      <w:r>
        <w:t xml:space="preserve">(ACs) (Fig.</w:t>
      </w:r>
      <w:r>
        <w:t xml:space="preserve"> </w:t>
      </w:r>
      <w:r>
        <w:t xml:space="preserve">4a and b) class increased remarkably, while the</w:t>
      </w:r>
      <w:r>
        <w:t xml:space="preserve"> </w:t>
      </w:r>
      <w:r>
        <w:t xml:space="preserve">overall level of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class decreased remarkably.</w:t>
      </w:r>
      <w:r>
        <w:t xml:space="preserve"> </w:t>
      </w:r>
      <w:r>
        <w:t xml:space="preserve">Indeed, BAs, ACs and LPCs were reported associated with liver dysfunction,</w:t>
      </w:r>
      <w:r>
        <w:t xml:space="preserve"> </w:t>
      </w:r>
      <w:r>
        <w:t xml:space="preserve">imbalance of intestinal microphylactic homeostasis, and mortality risk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65</w:t>
        </w:r>
      </w:hyperlink>
      <w:r>
        <w:t xml:space="preserve">–</w:t>
      </w:r>
      <w:hyperlink w:anchor="ref-2016at">
        <w:r>
          <w:rPr>
            <w:rStyle w:val="24"/>
          </w:rPr>
          <w:t xml:space="preserve">67</w:t>
        </w:r>
      </w:hyperlink>
      <w:r>
        <w:t xml:space="preserve">]</w:t>
      </w:r>
      <w:r>
        <w:t xml:space="preserve">. By deep annotation of Child-Nebula, all three</w:t>
      </w:r>
      <w:r>
        <w:t xml:space="preserve"> </w:t>
      </w:r>
      <w:r>
        <w:t xml:space="preserve">classes of compounds have similar structural parent nuclei, and their levels in</w:t>
      </w:r>
      <w:r>
        <w:t xml:space="preserve"> </w:t>
      </w:r>
      <w:r>
        <w:t xml:space="preserve">the NN, HN, HS, and HM groups are similar (Fig. 4c,</w:t>
      </w:r>
      <w:r>
        <w:t xml:space="preserve"> </w:t>
      </w:r>
      <w:r>
        <w:t xml:space="preserve">Fig. S4). Subsequently, we performed cluster heat</w:t>
      </w:r>
      <w:r>
        <w:t xml:space="preserve"> </w:t>
      </w:r>
      <w:r>
        <w:t xml:space="preserve">map analysis and pathway enrichment analysis on the compounds of these three</w:t>
      </w:r>
      <w:r>
        <w:t xml:space="preserve"> </w:t>
      </w:r>
      <w:r>
        <w:t xml:space="preserve">classes.</w:t>
      </w:r>
    </w:p>
    <w:p>
      <w:pPr>
        <w:pStyle w:val="3"/>
      </w:pPr>
      <w:r>
        <w:t xml:space="preserve">   As shown in the clustering heat map (Fig.</w:t>
      </w:r>
      <w:r>
        <w:t xml:space="preserve"> </w:t>
      </w:r>
      <w:r>
        <w:t xml:space="preserve">5), the control group of ACs and BAs were remarkably</w:t>
      </w:r>
      <w:r>
        <w:t xml:space="preserve"> </w:t>
      </w:r>
      <w:r>
        <w:t xml:space="preserve">separated from the infection group, which implied the infection relevance of</w:t>
      </w:r>
      <w:r>
        <w:t xml:space="preserve"> </w:t>
      </w:r>
      <w:r>
        <w:t xml:space="preserve">ACs and BAs to SaB. In contrast, LPCs did not show remarkable SaB infection</w:t>
      </w:r>
      <w:r>
        <w:t xml:space="preserve"> </w:t>
      </w:r>
      <w:r>
        <w:t xml:space="preserve">relevance or mortality relevance, probably owing to the general consistency of</w:t>
      </w:r>
      <w:r>
        <w:t xml:space="preserve"> </w:t>
      </w:r>
      <w:r>
        <w:t xml:space="preserve">this class of compounds for SaB disease. We performed pathway enrichment</w:t>
      </w:r>
      <w:r>
        <w:t xml:space="preserve"> </w:t>
      </w:r>
      <w:r>
        <w:t xml:space="preserve">analysis for these three classes of significant compounds (HS versus HM group,</w:t>
      </w:r>
      <w:r>
        <w:t xml:space="preserve"> </w:t>
      </w:r>
      <w:r>
        <w:t xml:space="preserve">Q-value &lt; 0.05). The results of BAs showed that four compounds exhibited</w:t>
      </w:r>
      <w:r>
        <w:t xml:space="preserve"> </w:t>
      </w:r>
      <w:r>
        <w:t xml:space="preserve">metabolic pathways associated with</w:t>
      </w:r>
      <w:r>
        <w:t xml:space="preserve"> </w:t>
      </w:r>
      <w:r>
        <w:t xml:space="preserve">‘</w:t>
      </w:r>
      <w:r>
        <w:t xml:space="preserve">Bile secretion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Cholesterol metabolism</w:t>
      </w:r>
      <w:r>
        <w:t xml:space="preserve">’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Primary bile acid biosynthesis</w:t>
      </w:r>
      <w:r>
        <w:t xml:space="preserve">’</w:t>
      </w:r>
      <w:r>
        <w:t xml:space="preserve"> </w:t>
      </w:r>
      <w:r>
        <w:t xml:space="preserve">etc (Fig.</w:t>
      </w:r>
      <w:r>
        <w:t xml:space="preserve"> </w:t>
      </w:r>
      <w:r>
        <w:t xml:space="preserve">S5b). Among them, βGCS was a class of compounds</w:t>
      </w:r>
      <w:r>
        <w:t xml:space="preserve"> </w:t>
      </w:r>
      <w:r>
        <w:t xml:space="preserve">with the same parent nucleus. The results for LPCs suggested that compounds</w:t>
      </w:r>
      <w:r>
        <w:t xml:space="preserve"> </w:t>
      </w:r>
      <w:r>
        <w:t xml:space="preserve">with similar parent nucleus structure of LPCs implied association with a series</w:t>
      </w:r>
      <w:r>
        <w:t xml:space="preserve"> </w:t>
      </w:r>
      <w:r>
        <w:t xml:space="preserve">of downstream pathways (Fig. S5c).</w:t>
      </w:r>
      <w:r>
        <w:t xml:space="preserve"> </w:t>
      </w:r>
      <w:r>
        <w:t xml:space="preserve">The significant compounds of ACs were not enriched in the pathway. But, A</w:t>
      </w:r>
      <w:r>
        <w:t xml:space="preserve"> </w:t>
      </w:r>
      <w:r>
        <w:t xml:space="preserve">fundamental role of ACs in tuning the switch between the glucose and fatty acid</w:t>
      </w:r>
      <w:r>
        <w:t xml:space="preserve"> </w:t>
      </w:r>
      <w:r>
        <w:t xml:space="preserve">metabolism was reviewed</w:t>
      </w:r>
      <w:r>
        <w:t xml:space="preserve"> </w:t>
      </w:r>
      <w:r>
        <w:t xml:space="preserve">[</w:t>
      </w:r>
      <w:hyperlink w:anchor="ref-2018bi">
        <w:r>
          <w:rPr>
            <w:rStyle w:val="24"/>
          </w:rPr>
          <w:t xml:space="preserve">68</w:t>
        </w:r>
      </w:hyperlink>
      <w:r>
        <w:t xml:space="preserve">]</w:t>
      </w:r>
      <w:r>
        <w:t xml:space="preserve">. Their function implemented via</w:t>
      </w:r>
      <w:r>
        <w:t xml:space="preserve"> </w:t>
      </w:r>
      <w:r>
        <w:t xml:space="preserve">bi-directional transport of acyl moieties Between cytosol and mitochondria</w:t>
      </w:r>
      <w:r>
        <w:t xml:space="preserve"> </w:t>
      </w:r>
      <w:r>
        <w:t xml:space="preserve">(Fig. S5a).</w:t>
      </w:r>
    </w:p>
    <w:p>
      <w:pPr>
        <w:pStyle w:val="3"/>
      </w:pPr>
      <w:r>
        <w:t xml:space="preserve">   In research of Wozniak et al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65</w:t>
        </w:r>
      </w:hyperlink>
      <w:r>
        <w:t xml:space="preserve">]</w:t>
      </w:r>
      <w:r>
        <w:t xml:space="preserve">, five ACs compounds were</w:t>
      </w:r>
      <w:r>
        <w:t xml:space="preserve"> </w:t>
      </w:r>
      <w:r>
        <w:t xml:space="preserve">identified. In addition, four top metabolites</w:t>
      </w:r>
      <w:r>
        <w:t xml:space="preserve"> </w:t>
      </w:r>
      <w:r>
        <w:t xml:space="preserve">(2-Hexadecanoylthio-1-Ethylphosphorylcholine (HEPC); sphingosine-1-phosphate</w:t>
      </w:r>
      <w:r>
        <w:t xml:space="preserve"> </w:t>
      </w:r>
      <w:r>
        <w:t xml:space="preserve">(S1P); decanoyl-carnitine; L-Thyroxine (T4)) were also identified. In our</w:t>
      </w:r>
      <w:r>
        <w:t xml:space="preserve"> </w:t>
      </w:r>
      <w:r>
        <w:t xml:space="preserve">reanalysis, all identifications were in line except for HEPC (see</w:t>
      </w:r>
      <w:r>
        <w:t xml:space="preserve"> </w:t>
      </w:r>
      <w:r>
        <w:t xml:space="preserve">‘</w:t>
      </w:r>
      <w:r>
        <w:t xml:space="preserve">Data and</w:t>
      </w:r>
      <w:r>
        <w:t xml:space="preserve"> </w:t>
      </w:r>
      <w:r>
        <w:t xml:space="preserve">code availability</w:t>
      </w:r>
      <w:r>
        <w:t xml:space="preserve">’</w:t>
      </w:r>
      <w:r>
        <w:t xml:space="preserve"> </w:t>
      </w:r>
      <w:r>
        <w:t xml:space="preserve">section for the report of serum dataset analysis). In our</w:t>
      </w:r>
      <w:r>
        <w:t xml:space="preserve"> </w:t>
      </w:r>
      <w:r>
        <w:t xml:space="preserve">re-analysis,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 </w:t>
      </w:r>
      <w:r>
        <w:t xml:space="preserve">was identified as</w:t>
      </w:r>
      <w:r>
        <w:t xml:space="preserve"> </w:t>
      </w:r>
      <w:r>
        <w:t xml:space="preserve">1-pentadecanoyl-sn-glycero-3-phosphocholine (LPC15:0) or its stereoisomers.</w:t>
      </w:r>
      <w:r>
        <w:t xml:space="preserve"> </w:t>
      </w:r>
      <w:r>
        <w:t xml:space="preserve">Indeed, HEPC and LPC15:0 are quite similar in structure, but distinct in</w:t>
      </w:r>
      <w:r>
        <w:t xml:space="preserve"> </w:t>
      </w:r>
      <w:r>
        <w:t xml:space="preserve">element constitution (corresponding to 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5</w:t>
      </w:r>
      <w:r>
        <w:t xml:space="preserve">PS and C</w:t>
      </w:r>
      <w:r>
        <w:rPr>
          <w:vertAlign w:val="subscript"/>
        </w:rPr>
        <w:t xml:space="preserve">23</w:t>
      </w:r>
      <w:r>
        <w:t xml:space="preserve">H</w:t>
      </w:r>
      <w:r>
        <w:rPr>
          <w:vertAlign w:val="subscript"/>
        </w:rPr>
        <w:t xml:space="preserve">48</w:t>
      </w:r>
      <w:r>
        <w:t xml:space="preserve">NO</w:t>
      </w:r>
      <w:r>
        <w:rPr>
          <w:vertAlign w:val="subscript"/>
        </w:rPr>
        <w:t xml:space="preserve">7</w:t>
      </w:r>
      <w:r>
        <w:t xml:space="preserve">P</w:t>
      </w:r>
      <w:r>
        <w:t xml:space="preserve"> </w:t>
      </w:r>
      <w:r>
        <w:t xml:space="preserve">respectively). They were clearly distinct in terms of chemical classification.</w:t>
      </w:r>
      <w:r>
        <w:t xml:space="preserve"> </w:t>
      </w:r>
      <w:r>
        <w:t xml:space="preserve">HEPC belong to</w:t>
      </w:r>
      <w:r>
        <w:t xml:space="preserve"> </w:t>
      </w:r>
      <w:r>
        <w:t xml:space="preserve">‘</w:t>
      </w:r>
      <w:r>
        <w:t xml:space="preserve">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Organic nitrogen compounds</w:t>
      </w:r>
      <w:r>
        <w:t xml:space="preserve">’</w:t>
      </w:r>
      <w:r>
        <w:t xml:space="preserve"> </w:t>
      </w:r>
      <w:r>
        <w:t xml:space="preserve">(superclass) family, whereas LPC15:0 belong to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(level 5) from</w:t>
      </w:r>
      <w:r>
        <w:t xml:space="preserve"> </w:t>
      </w:r>
      <w:r>
        <w:t xml:space="preserve">‘</w:t>
      </w:r>
      <w:r>
        <w:t xml:space="preserve">Lipids and lipid-like molecules</w:t>
      </w:r>
      <w:r>
        <w:t xml:space="preserve">’</w:t>
      </w:r>
      <w:r>
        <w:t xml:space="preserve"> </w:t>
      </w:r>
      <w:r>
        <w:t xml:space="preserve">family. As a part of MCnebula</w:t>
      </w:r>
      <w:r>
        <w:t xml:space="preserve"> </w:t>
      </w:r>
      <w:r>
        <w:t xml:space="preserve">workflow, sulfur element is detectable for SIRIUS in isotopes pattern with high</w:t>
      </w:r>
      <w:r>
        <w:t xml:space="preserve"> </w:t>
      </w:r>
      <w:r>
        <w:t xml:space="preserve">mass accuracy</w:t>
      </w:r>
      <w:r>
        <w:t xml:space="preserve"> </w:t>
      </w:r>
      <w:r>
        <w:t xml:space="preserve">[</w:t>
      </w:r>
      <w:hyperlink w:anchor="ref-bocker_sirius_2009">
        <w:r>
          <w:rPr>
            <w:rStyle w:val="24"/>
          </w:rPr>
          <w:t xml:space="preserve">62</w:t>
        </w:r>
      </w:hyperlink>
      <w:r>
        <w:t xml:space="preserve">]</w:t>
      </w:r>
      <w:r>
        <w:t xml:space="preserve">. However, for the MS/MS spectra of</w:t>
      </w:r>
      <w:r>
        <w:t xml:space="preserve"> </w:t>
      </w:r>
      <w:r>
        <w:t xml:space="preserve">‘</w:t>
      </w:r>
      <w:r>
        <w:t xml:space="preserve">HEPC</w:t>
      </w:r>
      <w:r>
        <w:t xml:space="preserve">’</w:t>
      </w:r>
      <w:r>
        <w:t xml:space="preserve">,</w:t>
      </w:r>
      <w:r>
        <w:t xml:space="preserve"> </w:t>
      </w:r>
      <w:r>
        <w:t xml:space="preserve">there was no candidate formula that harbouring sulfur element. Overall, we</w:t>
      </w:r>
      <w:r>
        <w:t xml:space="preserve"> </w:t>
      </w:r>
      <w:r>
        <w:t xml:space="preserve">identified more compounds with the MCnebula workflow and many of the results</w:t>
      </w:r>
      <w:r>
        <w:t xml:space="preserve"> </w:t>
      </w:r>
      <w:r>
        <w:t xml:space="preserve">were in line with the analysis of Wozniak et al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65</w:t>
        </w:r>
      </w:hyperlink>
      <w:r>
        <w:t xml:space="preserve">]</w:t>
      </w:r>
      <w:r>
        <w:t xml:space="preserve">. All identified</w:t>
      </w:r>
      <w:r>
        <w:t xml:space="preserve"> </w:t>
      </w:r>
      <w:r>
        <w:t xml:space="preserve">compounds were collated in Tab. S2</w:t>
      </w:r>
      <w:r>
        <w:t xml:space="preserve"> </w:t>
      </w:r>
      <w:r>
        <w:t xml:space="preserve">(filtered with Tanimoto similarity &gt; 0.5 and de-duplicated with the first</w:t>
      </w:r>
      <w:r>
        <w:t xml:space="preserve"> </w:t>
      </w:r>
      <w:r>
        <w:t xml:space="preserve">hash block of InChIKey (molecular skeleton)).</w:t>
      </w:r>
      <w:r>
        <w:t xml:space="preserve"> </w:t>
      </w:r>
      <w:r>
        <w:t xml:space="preserve">The compounds (top 50 of EFS and MWU) that were not successfully identified via</w:t>
      </w:r>
      <w:r>
        <w:t xml:space="preserve"> </w:t>
      </w:r>
      <w:r>
        <w:t xml:space="preserve">spectral library matching by Wozniak et al. but were identified by our MCnebula</w:t>
      </w:r>
      <w:r>
        <w:t xml:space="preserve"> </w:t>
      </w:r>
      <w:r>
        <w:t xml:space="preserve">workflow for molecular formula or chemical structure were additionally</w:t>
      </w:r>
      <w:r>
        <w:t xml:space="preserve"> </w:t>
      </w:r>
      <w:r>
        <w:t xml:space="preserve">collated (Tab. S3).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Herbal medicine analysis.</w:t>
      </w:r>
      <w:r>
        <w:t xml:space="preserve"> </w:t>
      </w:r>
      <w:r>
        <w:rPr>
          <w:iCs/>
          <w:i/>
        </w:rPr>
        <w:t xml:space="preserve">Eucommia ulmoides Oliv.</w:t>
      </w:r>
      <w:r>
        <w:t xml:space="preserve"> </w:t>
      </w:r>
      <w:r>
        <w:t xml:space="preserve">(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r>
        <w:t xml:space="preserve">)</w:t>
      </w:r>
      <w:r>
        <w:t xml:space="preserve"> </w:t>
      </w:r>
      <w:r>
        <w:t xml:space="preserve">[</w:t>
      </w:r>
      <w:hyperlink w:anchor="ref-2021n">
        <w:r>
          <w:rPr>
            <w:rStyle w:val="24"/>
          </w:rPr>
          <w:t xml:space="preserve">69</w:t>
        </w:r>
      </w:hyperlink>
      <w:r>
        <w:t xml:space="preserve">]</w:t>
      </w:r>
      <w:r>
        <w:t xml:space="preserve">, as a traditional Chinese medicine (TCM), after being</w:t>
      </w:r>
      <w:r>
        <w:t xml:space="preserve"> </w:t>
      </w:r>
      <w:r>
        <w:t xml:space="preserve">processed with saline water, was applied to the treatment of renal diseases for</w:t>
      </w:r>
      <w:r>
        <w:t xml:space="preserve"> </w:t>
      </w:r>
      <w:r>
        <w:t xml:space="preserve">a long time in China. Due to its complex composition, discovering chemical</w:t>
      </w:r>
      <w:r>
        <w:t xml:space="preserve"> </w:t>
      </w:r>
      <w:r>
        <w:t xml:space="preserve">changes during processing (such as processed with saline water) is challenging.</w:t>
      </w:r>
      <w:r>
        <w:t xml:space="preserve"> </w:t>
      </w:r>
      <w:r>
        <w:t xml:space="preserve">MCnebula was instructive for addressing this challenge. With the help of ABC</w:t>
      </w:r>
      <w:r>
        <w:t xml:space="preserve"> </w:t>
      </w:r>
      <w:r>
        <w:t xml:space="preserve">selection algorithm, the 29 chemical classes representing the richness of</w:t>
      </w:r>
      <w:r>
        <w:t xml:space="preserve"> </w:t>
      </w:r>
      <w:r>
        <w:t xml:space="preserve">composition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were obtained. Two groups of quantification data</w:t>
      </w:r>
      <w:r>
        <w:t xml:space="preserve"> </w:t>
      </w:r>
      <w:r>
        <w:t xml:space="preserve">were performed with binary comparison. The top 20 features (Top20) were</w:t>
      </w:r>
      <w:r>
        <w:t xml:space="preserve"> </w:t>
      </w:r>
      <w:r>
        <w:t xml:space="preserve">selected using function</w:t>
      </w:r>
      <w:r>
        <w:t xml:space="preserve"> </w:t>
      </w:r>
      <w:r>
        <w:t xml:space="preserve">‘</w:t>
      </w:r>
      <w:r>
        <w:t xml:space="preserve">select_features</w:t>
      </w:r>
      <w:r>
        <w:t xml:space="preserve">’</w:t>
      </w:r>
      <w:r>
        <w:t xml:space="preserve"> </w:t>
      </w:r>
      <w:r>
        <w:t xml:space="preserve">(|Log</w:t>
      </w:r>
      <w:r>
        <w:rPr>
          <w:vertAlign w:val="subscript"/>
        </w:rPr>
        <w:t xml:space="preserve">2</w:t>
      </w:r>
      <w:r>
        <w:t xml:space="preserve">(Fold change)| &gt; 0.3,</w:t>
      </w:r>
      <w:r>
        <w:t xml:space="preserve"> </w:t>
      </w:r>
      <w:r>
        <w:t xml:space="preserve">Q-value &lt; 0.05, Tanimoto similarity &gt; 0.5) and were traced in</w:t>
      </w:r>
      <w:r>
        <w:t xml:space="preserve"> </w:t>
      </w:r>
      <w:r>
        <w:t xml:space="preserve">Child-Nebulae (Fig. S6). We used MCnebula</w:t>
      </w:r>
      <w:r>
        <w:t xml:space="preserve"> </w:t>
      </w:r>
      <w:r>
        <w:t xml:space="preserve">to draw the mirrored MS/MS and extracted ions chromatography (EIC) plots of the</w:t>
      </w:r>
      <w:r>
        <w:t xml:space="preserve"> </w:t>
      </w:r>
      <w:r>
        <w:t xml:space="preserve">Top20 (Fig. S7 and S8).</w:t>
      </w:r>
      <w:r>
        <w:t xml:space="preserve"> </w:t>
      </w:r>
      <w:r>
        <w:t xml:space="preserve">According to Fig. S8, we speculated that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1785, and 2321 were newly generated compounds because the peak area</w:t>
      </w:r>
      <w:r>
        <w:t xml:space="preserve"> </w:t>
      </w:r>
      <w:r>
        <w:t xml:space="preserve">levels before the processing were almost zero compared to after the processing.</w:t>
      </w:r>
      <w:r>
        <w:t xml:space="preserve"> </w:t>
      </w:r>
      <w:r>
        <w:t xml:space="preserve">Their chemical structures were shown in Fig. S7. Among</w:t>
      </w:r>
      <w:r>
        <w:t xml:space="preserve"> </w:t>
      </w:r>
      <w:r>
        <w:t xml:space="preserve">them,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has a higher probability of correct</w:t>
      </w:r>
      <w:r>
        <w:t xml:space="preserve"> </w:t>
      </w:r>
      <w:r>
        <w:t xml:space="preserve">identification (Tanimoto similarity: 0.69). Based on Fig.</w:t>
      </w:r>
      <w:r>
        <w:t xml:space="preserve"> </w:t>
      </w:r>
      <w:r>
        <w:t xml:space="preserve">S6, we knew that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of ID 1642 belongs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 </w:t>
      </w:r>
      <w:r>
        <w:t xml:space="preserve">(IAD), the others were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(DE; ID</w:t>
      </w:r>
      <w:r>
        <w:t xml:space="preserve"> </w:t>
      </w:r>
      <w:r>
        <w:t xml:space="preserve">1785) and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(PAP; ID 2321). We annotated in</w:t>
      </w:r>
      <w:r>
        <w:t xml:space="preserve"> </w:t>
      </w:r>
      <w:r>
        <w:t xml:space="preserve">depth of the Child-Nebulae of IAD, DE and PAP respectively. The locations of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1642, 1785 and 2321 in the Child-Nebulae were interrogated</w:t>
      </w:r>
      <w:r>
        <w:t xml:space="preserve"> </w:t>
      </w:r>
      <w:r>
        <w:t xml:space="preserve">(Fig. S9a, b, and c). Only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</w:t>
      </w:r>
      <w:r>
        <w:t xml:space="preserve"> </w:t>
      </w:r>
      <w:r>
        <w:t xml:space="preserve">1642 had neighboring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 identified chemical structures (ID</w:t>
      </w:r>
      <w:r>
        <w:t xml:space="preserve"> </w:t>
      </w:r>
      <w:r>
        <w:t xml:space="preserve">2110 and ID 854) had similar parent nuclei.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ID 2110 and ID</w:t>
      </w:r>
      <w:r>
        <w:t xml:space="preserve"> </w:t>
      </w:r>
      <w:r>
        <w:t xml:space="preserve">854 were well been identified with chemical structure (Tanimoto similarity:</w:t>
      </w:r>
      <w:r>
        <w:t xml:space="preserve"> </w:t>
      </w:r>
      <w:r>
        <w:t xml:space="preserve">0.69 and 0.7 respectively) (Fig. S9d, e, and f);</w:t>
      </w:r>
      <w:r>
        <w:t xml:space="preserve"> </w:t>
      </w:r>
      <w:r>
        <w:t xml:space="preserve">their levels of peak area were decreased and increased after the processing.</w:t>
      </w:r>
      <w:r>
        <w:t xml:space="preserve"> </w:t>
      </w:r>
      <w:r>
        <w:t xml:space="preserve">Based on the chemical structures shown in Fig. S9d</w:t>
      </w:r>
      <w:r>
        <w:t xml:space="preserve"> </w:t>
      </w:r>
      <w:r>
        <w:t xml:space="preserve">and e, we speculated that the compound of ID 2110 was partially converted to</w:t>
      </w:r>
      <w:r>
        <w:t xml:space="preserve"> </w:t>
      </w:r>
      <w:r>
        <w:t xml:space="preserve">the compound of ID 854 after the processing, which may involve chemical changes</w:t>
      </w:r>
      <w:r>
        <w:t xml:space="preserve"> </w:t>
      </w:r>
      <w:r>
        <w:t xml:space="preserve">such as dehydration and rearrangement. Such speculation explained the</w:t>
      </w:r>
      <w:r>
        <w:t xml:space="preserve"> </w:t>
      </w:r>
      <w:r>
        <w:t xml:space="preserve">alteration of the levels of peak area. In addition, the increasing in the level</w:t>
      </w:r>
      <w:r>
        <w:t xml:space="preserve"> </w:t>
      </w:r>
      <w:r>
        <w:t xml:space="preserve">of the compound of ID 1642 (its spectra were shown in Fig.</w:t>
      </w:r>
      <w:r>
        <w:t xml:space="preserve"> </w:t>
      </w:r>
      <w:r>
        <w:t xml:space="preserve">S7 and S8) may also be</w:t>
      </w:r>
      <w:r>
        <w:t xml:space="preserve"> </w:t>
      </w:r>
      <w:r>
        <w:t xml:space="preserve">associated with the reduction of the compound with ID 2110.</w:t>
      </w:r>
    </w:p>
    <w:p>
      <w:pPr>
        <w:pStyle w:val="3"/>
      </w:pPr>
      <w:r>
        <w:t xml:space="preserve">   The methods of MCnebula we have demonstrated for discovering</w:t>
      </w:r>
      <w:r>
        <w:t xml:space="preserve"> </w:t>
      </w:r>
      <w:r>
        <w:t xml:space="preserve">significant compounds and discovering chemical changes can be applied to</w:t>
      </w:r>
      <w:r>
        <w:t xml:space="preserve"> </w:t>
      </w:r>
      <w:r>
        <w:t xml:space="preserve">explore more compounds in Tab. S4, but we</w:t>
      </w:r>
      <w:r>
        <w:t xml:space="preserve"> </w:t>
      </w:r>
      <w:r>
        <w:t xml:space="preserve">would not expand on this description here.</w:t>
      </w:r>
    </w:p>
    <w:bookmarkEnd w:id="27"/>
    <w:bookmarkEnd w:id="28"/>
    <w:bookmarkStart w:id="29" w:name="discussion"/>
    <w:p>
      <w:pPr>
        <w:pStyle w:val="2"/>
      </w:pPr>
      <w:r>
        <w:t xml:space="preserve">Discussion</w:t>
      </w:r>
    </w:p>
    <w:p>
      <w:pPr>
        <w:pStyle w:val="38"/>
      </w:pPr>
      <w:r>
        <w:t xml:space="preserve">   The analysis of untargeted LC-MS/MS data is challenging because of</w:t>
      </w:r>
      <w:r>
        <w:t xml:space="preserve"> </w:t>
      </w:r>
      <w:r>
        <w:t xml:space="preserve">its large data volume and the unknown nature of the potential information as</w:t>
      </w:r>
      <w:r>
        <w:t xml:space="preserve"> </w:t>
      </w:r>
      <w:r>
        <w:t xml:space="preserve">well as the limited size of the current reference spectral library. Researchers</w:t>
      </w:r>
      <w:r>
        <w:t xml:space="preserve"> </w:t>
      </w:r>
      <w:r>
        <w:t xml:space="preserve">often need to map out critical compounds from this black box to advance to the</w:t>
      </w:r>
      <w:r>
        <w:t xml:space="preserve"> </w:t>
      </w:r>
      <w:r>
        <w:t xml:space="preserve">next step in biology, but this process was time consuming. We developed</w:t>
      </w:r>
      <w:r>
        <w:t xml:space="preserve"> </w:t>
      </w:r>
      <w:r>
        <w:t xml:space="preserve">MCnebula to advance this process. MCnebula assists researchers in focusing on</w:t>
      </w:r>
      <w:r>
        <w:t xml:space="preserve"> </w:t>
      </w:r>
      <w:r>
        <w:t xml:space="preserve">potential critical compounds by combining full-spectrum identification with</w:t>
      </w:r>
      <w:r>
        <w:t xml:space="preserve"> </w:t>
      </w:r>
      <w:r>
        <w:t xml:space="preserve">machine prediction, visualization of sub-nebulae in a multi-dimensional view,</w:t>
      </w:r>
      <w:r>
        <w:t xml:space="preserve"> </w:t>
      </w:r>
      <w:r>
        <w:t xml:space="preserve">and statistical analysis to track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find analogues. The ABC</w:t>
      </w:r>
      <w:r>
        <w:t xml:space="preserve"> </w:t>
      </w:r>
      <w:r>
        <w:t xml:space="preserve">selection algorithm can summarize a representative chemical class in a dataset</w:t>
      </w:r>
      <w:r>
        <w:t xml:space="preserve"> </w:t>
      </w:r>
      <w:r>
        <w:t xml:space="preserve">and obtain the features to that class, so that the overall direction of the</w:t>
      </w:r>
      <w:r>
        <w:t xml:space="preserve"> </w:t>
      </w:r>
      <w:r>
        <w:t xml:space="preserve">study is not biased; it is an effective guarantee for statistical analysis to</w:t>
      </w:r>
      <w:r>
        <w:t xml:space="preserve"> </w:t>
      </w:r>
      <w:r>
        <w:t xml:space="preserve">produce top features for tracing analysis. Because the results of statistical</w:t>
      </w:r>
      <w:r>
        <w:t xml:space="preserve"> </w:t>
      </w:r>
      <w:r>
        <w:t xml:space="preserve">analysis may be biased, filtering on the basis of chemical classes can prevent</w:t>
      </w:r>
      <w:r>
        <w:t xml:space="preserve"> </w:t>
      </w:r>
      <w:r>
        <w:t xml:space="preserve">bias. The Child-Nebula mapped on the basis of the chemical classes obtained by</w:t>
      </w:r>
      <w:r>
        <w:t xml:space="preserve"> </w:t>
      </w:r>
      <w:r>
        <w:t xml:space="preserve">the ABC selection algorithm makes it visualizing the huge untargeted dataset as</w:t>
      </w:r>
      <w:r>
        <w:t xml:space="preserve"> </w:t>
      </w:r>
      <w:r>
        <w:t xml:space="preserve">a single graph. It is important to stress that the parameters of the ABC</w:t>
      </w:r>
      <w:r>
        <w:t xml:space="preserve"> </w:t>
      </w:r>
      <w:r>
        <w:t xml:space="preserve">selection algorithm are subjectively adjustable and they should be determined</w:t>
      </w:r>
      <w:r>
        <w:t xml:space="preserve"> </w:t>
      </w:r>
      <w:r>
        <w:t xml:space="preserve">according to the richness of the chemical class of the studied object. In</w:t>
      </w:r>
      <w:r>
        <w:t xml:space="preserve"> </w:t>
      </w:r>
      <w:r>
        <w:t xml:space="preserve">general, our default parameters used to acquire the chemical classes that are</w:t>
      </w:r>
      <w:r>
        <w:t xml:space="preserve"> </w:t>
      </w:r>
      <w:r>
        <w:t xml:space="preserve">abundant in variety in the dataset and filter out those that are too large or</w:t>
      </w:r>
      <w:r>
        <w:t xml:space="preserve"> </w:t>
      </w:r>
      <w:r>
        <w:t xml:space="preserve">too small in conceptual scope.</w:t>
      </w:r>
    </w:p>
    <w:p>
      <w:pPr>
        <w:pStyle w:val="3"/>
      </w:pPr>
      <w:r>
        <w:t xml:space="preserve">   For identification, spectral library matching is still the</w:t>
      </w:r>
      <w:r>
        <w:t xml:space="preserve"> </w:t>
      </w:r>
      <w:r>
        <w:t xml:space="preserve">mainstay of MS/MS data analysis because of its high accuracy. The general</w:t>
      </w:r>
      <w:r>
        <w:t xml:space="preserve"> </w:t>
      </w:r>
      <w:r>
        <w:t xml:space="preserve">classifying of compounds is also based on it, i.e., the chemical structure is</w:t>
      </w:r>
      <w:r>
        <w:t xml:space="preserve"> </w:t>
      </w:r>
      <w:r>
        <w:t xml:space="preserve">first identified by spectral matching, and then its chemical class is evaluated</w:t>
      </w:r>
      <w:r>
        <w:t xml:space="preserve"> </w:t>
      </w:r>
      <w:r>
        <w:t xml:space="preserve">based on the chemical structure. However, the classifying technique (CANOPUS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55</w:t>
        </w:r>
      </w:hyperlink>
      <w:r>
        <w:t xml:space="preserve">]</w:t>
      </w:r>
      <w:r>
        <w:t xml:space="preserve">) incorporated in MCnebula bypassed the step of first</w:t>
      </w:r>
      <w:r>
        <w:t xml:space="preserve"> </w:t>
      </w:r>
      <w:r>
        <w:t xml:space="preserve">identifying the chemical structure and predicted the possible chemical class</w:t>
      </w:r>
      <w:r>
        <w:t xml:space="preserve"> </w:t>
      </w:r>
      <w:r>
        <w:t xml:space="preserve">even if the exact chemical structure was not known. MCnebula combined this</w:t>
      </w:r>
      <w:r>
        <w:t xml:space="preserve"> </w:t>
      </w:r>
      <w:r>
        <w:t xml:space="preserve">cutting-edge technology with ABC selection algorithm and visualization of</w:t>
      </w:r>
      <w:r>
        <w:t xml:space="preserve"> </w:t>
      </w:r>
      <w:r>
        <w:t xml:space="preserve">Child-Nebulae to make it possible to explore unknown compounds. We have</w:t>
      </w:r>
      <w:r>
        <w:t xml:space="preserve"> </w:t>
      </w:r>
      <w:r>
        <w:t xml:space="preserve">compared the classifying method of MCnebula with GNPS of which method relies on</w:t>
      </w:r>
      <w:r>
        <w:t xml:space="preserve"> </w:t>
      </w:r>
      <w:r>
        <w:t xml:space="preserve">chemical structure identification. Since we choose the reference spectral</w:t>
      </w:r>
      <w:r>
        <w:t xml:space="preserve"> </w:t>
      </w:r>
      <w:r>
        <w:t xml:space="preserve">data, which was included in the matching library of GNPS, for the origin</w:t>
      </w:r>
      <w:r>
        <w:t xml:space="preserve"> </w:t>
      </w:r>
      <w:r>
        <w:t xml:space="preserve">dataset, the classifying method of MCnebula was not as good as GNPS in terms of</w:t>
      </w:r>
      <w:r>
        <w:t xml:space="preserve"> </w:t>
      </w:r>
      <w:r>
        <w:t xml:space="preserve">accuracy and the classified number. However, when different levels of noise</w:t>
      </w:r>
      <w:r>
        <w:t xml:space="preserve"> </w:t>
      </w:r>
      <w:r>
        <w:t xml:space="preserve">were added, the number of classified compounds of GNPS decreased remarkably</w:t>
      </w:r>
      <w:r>
        <w:t xml:space="preserve"> </w:t>
      </w:r>
      <w:r>
        <w:t xml:space="preserve">compared to the stable performance of MCnebula. For the actual acquired MS/MS</w:t>
      </w:r>
      <w:r>
        <w:t xml:space="preserve"> </w:t>
      </w:r>
      <w:r>
        <w:t xml:space="preserve">spectra, they were often not as good as the reference spectra and contained</w:t>
      </w:r>
      <w:r>
        <w:t xml:space="preserve"> </w:t>
      </w:r>
      <w:r>
        <w:t xml:space="preserve">some noise. This means that the conditions we evaluate are actually present.</w:t>
      </w:r>
      <w:r>
        <w:t xml:space="preserve"> </w:t>
      </w:r>
      <w:r>
        <w:t xml:space="preserve">Using MCnebula can avoid failure to classify due to noise. At the end of the</w:t>
      </w:r>
      <w:r>
        <w:t xml:space="preserve"> </w:t>
      </w:r>
      <w:r>
        <w:t xml:space="preserve">evaluation, we examined the accuracy of the MCnebula identification, although</w:t>
      </w:r>
      <w:r>
        <w:t xml:space="preserve"> </w:t>
      </w:r>
      <w:r>
        <w:t xml:space="preserve">its identification technologies belongs to SIRIUS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36</w:t>
        </w:r>
      </w:hyperlink>
      <w:r>
        <w:t xml:space="preserve">]</w:t>
      </w:r>
      <w:r>
        <w:t xml:space="preserve">, and</w:t>
      </w:r>
      <w:r>
        <w:t xml:space="preserve"> </w:t>
      </w:r>
      <w:r>
        <w:t xml:space="preserve">we confirmed that the accuracy of its identification fluctuated around 70%.</w:t>
      </w:r>
    </w:p>
    <w:p>
      <w:pPr>
        <w:pStyle w:val="3"/>
      </w:pPr>
      <w:r>
        <w:t xml:space="preserve">   We used serum metabolomics data to illustrate that MCnebula can be</w:t>
      </w:r>
      <w:r>
        <w:t xml:space="preserve"> </w:t>
      </w:r>
      <w:r>
        <w:t xml:space="preserve">used for pathway spotting and Biomarker discovery. Most of our identification</w:t>
      </w:r>
      <w:r>
        <w:t xml:space="preserve"> </w:t>
      </w:r>
      <w:r>
        <w:t xml:space="preserve">were in line with that of Wozniak et al., except that we identified more</w:t>
      </w:r>
      <w:r>
        <w:t xml:space="preserve"> </w:t>
      </w:r>
      <w:r>
        <w:t xml:space="preserve">metabolites that beyond the scope of spectral library matching. Three of the</w:t>
      </w:r>
      <w:r>
        <w:t xml:space="preserve"> </w:t>
      </w:r>
      <w:r>
        <w:t xml:space="preserve">four top metabolites identified by Wozniak et al. were consistent in our</w:t>
      </w:r>
      <w:r>
        <w:t xml:space="preserve"> </w:t>
      </w:r>
      <w:r>
        <w:t xml:space="preserve">re-identification, leaving one controversial. ACs compounds mentioned by</w:t>
      </w:r>
      <w:r>
        <w:t xml:space="preserve"> </w:t>
      </w:r>
      <w:r>
        <w:t xml:space="preserve">Wozniak et al. for their correlation with SaB disease were also re-identified</w:t>
      </w:r>
      <w:r>
        <w:t xml:space="preserve"> </w:t>
      </w:r>
      <w:r>
        <w:t xml:space="preserve">in our study. Wozniak et al. used a joint approach of Ensemble Feature</w:t>
      </w:r>
      <w:r>
        <w:t xml:space="preserve"> </w:t>
      </w:r>
      <w:r>
        <w:t xml:space="preserve">Selection (EFS) and Mann-Whitney U (MWU) tests to screen top metabolites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65</w:t>
        </w:r>
      </w:hyperlink>
      <w:r>
        <w:t xml:space="preserve">]</w:t>
      </w:r>
      <w:r>
        <w:t xml:space="preserve">. It should be added that when we compared the 50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obtained by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integrated in MCnebula with the top</w:t>
      </w:r>
      <w:r>
        <w:t xml:space="preserve"> </w:t>
      </w:r>
      <w:r>
        <w:t xml:space="preserve">50 metabolites (top 50 of EFS and 50 of MWU) obtained by the joint method of W et</w:t>
      </w:r>
      <w:r>
        <w:t xml:space="preserve"> </w:t>
      </w:r>
      <w:r>
        <w:t xml:space="preserve">al., we found a total of 37 overlaps, including the key metabolite of</w:t>
      </w:r>
      <w:r>
        <w:t xml:space="preserve"> </w:t>
      </w:r>
      <w:r>
        <w:t xml:space="preserve">L-Thyroxine in the study of W et al. 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can differ depending on</w:t>
      </w:r>
      <w:r>
        <w:t xml:space="preserve"> </w:t>
      </w:r>
      <w:r>
        <w:t xml:space="preserve">the feature selection algorithm. The reliability of the</w:t>
      </w:r>
      <w:r>
        <w:t xml:space="preserve"> </w:t>
      </w:r>
      <w:r>
        <w:t xml:space="preserve">‘</w:t>
      </w:r>
      <w:r>
        <w:t xml:space="preserve">binary comparison</w:t>
      </w:r>
      <w:r>
        <w:t xml:space="preserve">’</w:t>
      </w:r>
      <w:r>
        <w:t xml:space="preserve"> </w:t>
      </w:r>
      <w:r>
        <w:t xml:space="preserve">method is indirectly illustrated by our ranked results with those of Wozniak et</w:t>
      </w:r>
      <w:r>
        <w:t xml:space="preserve"> </w:t>
      </w:r>
      <w:r>
        <w:t xml:space="preserve">al. In addition to the consistent parts, with MCnebula, we have more findings</w:t>
      </w:r>
      <w:r>
        <w:t xml:space="preserve"> </w:t>
      </w:r>
      <w:r>
        <w:t xml:space="preserve">about other chemical classes associated with SaB disease. We discovered</w:t>
      </w:r>
      <w:r>
        <w:t xml:space="preserve"> </w:t>
      </w:r>
      <w:r>
        <w:t xml:space="preserve">additional classes, i.e. 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and</w:t>
      </w:r>
      <w:r>
        <w:t xml:space="preserve"> </w:t>
      </w:r>
      <w:r>
        <w:t xml:space="preserve">‘</w:t>
      </w:r>
      <w:r>
        <w:t xml:space="preserve">Bile acids,</w:t>
      </w:r>
      <w:r>
        <w:t xml:space="preserve"> </w:t>
      </w:r>
      <w:r>
        <w:t xml:space="preserve">alcohols and derivatives</w:t>
      </w:r>
      <w:r>
        <w:t xml:space="preserve">’</w:t>
      </w:r>
      <w:r>
        <w:t xml:space="preserve"> </w:t>
      </w:r>
      <w:r>
        <w:t xml:space="preserve">(BAs), that were not concerned in previous study.</w:t>
      </w:r>
      <w:r>
        <w:t xml:space="preserve"> </w:t>
      </w:r>
      <w:r>
        <w:t xml:space="preserve">Previously, LPCs have been extensively investigated in the context of</w:t>
      </w:r>
      <w:r>
        <w:t xml:space="preserve"> </w:t>
      </w:r>
      <w:r>
        <w:t xml:space="preserve">inflammation and atherosclerosis development</w:t>
      </w:r>
      <w:r>
        <w:t xml:space="preserve"> </w:t>
      </w:r>
      <w:r>
        <w:t xml:space="preserve">[</w:t>
      </w:r>
      <w:hyperlink w:anchor="ref-2016at">
        <w:r>
          <w:rPr>
            <w:rStyle w:val="24"/>
          </w:rPr>
          <w:t xml:space="preserve">67</w:t>
        </w:r>
      </w:hyperlink>
      <w:r>
        <w:t xml:space="preserve">,</w:t>
      </w:r>
      <w:hyperlink w:anchor="ref-2020cv">
        <w:r>
          <w:rPr>
            <w:rStyle w:val="24"/>
          </w:rPr>
          <w:t xml:space="preserve">70</w:t>
        </w:r>
      </w:hyperlink>
      <w:r>
        <w:t xml:space="preserve">–</w:t>
      </w:r>
      <w:hyperlink w:anchor="ref-2003n">
        <w:r>
          <w:rPr>
            <w:rStyle w:val="24"/>
          </w:rPr>
          <w:t xml:space="preserve">72</w:t>
        </w:r>
      </w:hyperlink>
      <w:r>
        <w:t xml:space="preserve">]</w:t>
      </w:r>
      <w:r>
        <w:t xml:space="preserve">. In a recent review</w:t>
      </w:r>
      <w:r>
        <w:t xml:space="preserve"> </w:t>
      </w:r>
      <w:r>
        <w:t xml:space="preserve">[</w:t>
      </w:r>
      <w:hyperlink w:anchor="ref-2020cv">
        <w:r>
          <w:rPr>
            <w:rStyle w:val="24"/>
          </w:rPr>
          <w:t xml:space="preserve">70</w:t>
        </w:r>
      </w:hyperlink>
      <w:r>
        <w:t xml:space="preserve">]</w:t>
      </w:r>
      <w:r>
        <w:t xml:space="preserve">, the complex roles of LPCs in vascular</w:t>
      </w:r>
      <w:r>
        <w:t xml:space="preserve"> </w:t>
      </w:r>
      <w:r>
        <w:t xml:space="preserve">inflammation have been well described, involving the context-dependent pro- or</w:t>
      </w:r>
      <w:r>
        <w:t xml:space="preserve"> </w:t>
      </w:r>
      <w:r>
        <w:t xml:space="preserve">anti-inflammatory action, impact in innate immune cells and adaptive immune</w:t>
      </w:r>
      <w:r>
        <w:t xml:space="preserve"> </w:t>
      </w:r>
      <w:r>
        <w:t xml:space="preserve">system, etc. Decreasing level of LPCs was associated with wild range of</w:t>
      </w:r>
      <w:r>
        <w:t xml:space="preserve"> </w:t>
      </w:r>
      <w:r>
        <w:t xml:space="preserve">diseases of increasing mortality risk</w:t>
      </w:r>
      <w:r>
        <w:t xml:space="preserve"> </w:t>
      </w:r>
      <w:r>
        <w:t xml:space="preserve">[</w:t>
      </w:r>
      <w:hyperlink w:anchor="ref-2016at">
        <w:r>
          <w:rPr>
            <w:rStyle w:val="24"/>
          </w:rPr>
          <w:t xml:space="preserve">67</w:t>
        </w:r>
      </w:hyperlink>
      <w:r>
        <w:t xml:space="preserve">]</w:t>
      </w:r>
      <w:r>
        <w:t xml:space="preserve">. The investigation of spesis</w:t>
      </w:r>
      <w:r>
        <w:t xml:space="preserve"> </w:t>
      </w:r>
      <w:r>
        <w:t xml:space="preserve">indicated LPCs concentrations in blood were established correlation with severe</w:t>
      </w:r>
      <w:r>
        <w:t xml:space="preserve"> </w:t>
      </w:r>
      <w:r>
        <w:t xml:space="preserve">sepsis or septic shock</w:t>
      </w:r>
      <w:r>
        <w:t xml:space="preserve"> </w:t>
      </w:r>
      <w:r>
        <w:t xml:space="preserve">[</w:t>
      </w:r>
      <w:hyperlink w:anchor="ref-2014ao">
        <w:r>
          <w:rPr>
            <w:rStyle w:val="24"/>
          </w:rPr>
          <w:t xml:space="preserve">71</w:t>
        </w:r>
      </w:hyperlink>
      <w:r>
        <w:t xml:space="preserve">]</w:t>
      </w:r>
      <w:r>
        <w:t xml:space="preserve">. LPCs was reported inversely correlate with</w:t>
      </w:r>
      <w:r>
        <w:t xml:space="preserve"> </w:t>
      </w:r>
      <w:r>
        <w:t xml:space="preserve">mortality in sepsis patients</w:t>
      </w:r>
      <w:r>
        <w:t xml:space="preserve"> </w:t>
      </w:r>
      <w:r>
        <w:t xml:space="preserve">[</w:t>
      </w:r>
      <w:hyperlink w:anchor="ref-2003n">
        <w:r>
          <w:rPr>
            <w:rStyle w:val="24"/>
          </w:rPr>
          <w:t xml:space="preserve">72</w:t>
        </w:r>
      </w:hyperlink>
      <w:r>
        <w:t xml:space="preserve">]</w:t>
      </w:r>
      <w:r>
        <w:t xml:space="preserve">. BAs’ disorder implied a liver</w:t>
      </w:r>
      <w:r>
        <w:t xml:space="preserve"> </w:t>
      </w:r>
      <w:r>
        <w:t xml:space="preserve">dysfunction and imbalance of intestinal microphylactic homeostasis</w:t>
      </w:r>
      <w:r>
        <w:t xml:space="preserve"> </w:t>
      </w:r>
      <w:r>
        <w:t xml:space="preserve">[</w:t>
      </w:r>
      <w:hyperlink w:anchor="ref-2021dg">
        <w:r>
          <w:rPr>
            <w:rStyle w:val="24"/>
          </w:rPr>
          <w:t xml:space="preserve">73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The chemical multiversity of BAs, which were discovered in the BAs’</w:t>
      </w:r>
      <w:r>
        <w:t xml:space="preserve"> </w:t>
      </w:r>
      <w:r>
        <w:t xml:space="preserve">child-nebula, were determined by the intestinal microbiome and allowed for a</w:t>
      </w:r>
      <w:r>
        <w:t xml:space="preserve"> </w:t>
      </w:r>
      <w:r>
        <w:t xml:space="preserve">complex regulation of adaptive responses in host. In our study, the level of</w:t>
      </w:r>
      <w:r>
        <w:t xml:space="preserve"> </w:t>
      </w:r>
      <w:r>
        <w:t xml:space="preserve">BAs showed higher correlation with SaB infection than ACs. The decreased level</w:t>
      </w:r>
      <w:r>
        <w:t xml:space="preserve"> </w:t>
      </w:r>
      <w:r>
        <w:t xml:space="preserve">of LPCs suggested a mortality risk of SaB infection. From LPCs to BAs,</w:t>
      </w:r>
      <w:r>
        <w:t xml:space="preserve"> </w:t>
      </w:r>
      <w:r>
        <w:t xml:space="preserve">steroids related classes,</w:t>
      </w:r>
      <w:r>
        <w:t xml:space="preserve"> </w:t>
      </w:r>
      <w:r>
        <w:t xml:space="preserve">‘</w:t>
      </w:r>
      <w:r>
        <w:t xml:space="preserve">Lineolic acids and derivatives</w:t>
      </w:r>
      <w:r>
        <w:t xml:space="preserve">’</w:t>
      </w:r>
      <w:r>
        <w:t xml:space="preserve">, and other fatty</w:t>
      </w:r>
      <w:r>
        <w:t xml:space="preserve"> </w:t>
      </w:r>
      <w:r>
        <w:t xml:space="preserve">acids related classes, showed that liver played a central role in SaB infection</w:t>
      </w:r>
      <w:r>
        <w:t xml:space="preserve"> </w:t>
      </w:r>
      <w:r>
        <w:t xml:space="preserve">and mortality. Liver X receptors (LXRs) harboured pivotal roles in the</w:t>
      </w:r>
      <w:r>
        <w:t xml:space="preserve"> </w:t>
      </w:r>
      <w:r>
        <w:t xml:space="preserve">transcriptional control of lipid metabolism</w:t>
      </w:r>
      <w:r>
        <w:t xml:space="preserve"> </w:t>
      </w:r>
      <w:r>
        <w:t xml:space="preserve">[</w:t>
      </w:r>
      <w:hyperlink w:anchor="ref-2018bd">
        <w:r>
          <w:rPr>
            <w:rStyle w:val="24"/>
          </w:rPr>
          <w:t xml:space="preserve">74</w:t>
        </w:r>
      </w:hyperlink>
      <w:r>
        <w:t xml:space="preserve">]</w:t>
      </w:r>
      <w:r>
        <w:t xml:space="preserve">. LXRs modulate membrane</w:t>
      </w:r>
      <w:r>
        <w:t xml:space="preserve"> </w:t>
      </w:r>
      <w:r>
        <w:t xml:space="preserve">phospholipid composition through activation of lysophosphatidylcholine</w:t>
      </w:r>
      <w:r>
        <w:t xml:space="preserve"> </w:t>
      </w:r>
      <w:r>
        <w:t xml:space="preserve">acyltransferase 3 (LPCAT3), which directly related to LPCs</w:t>
      </w:r>
      <w:r>
        <w:t xml:space="preserve"> </w:t>
      </w:r>
      <w:r>
        <w:t xml:space="preserve">[</w:t>
      </w:r>
      <w:hyperlink w:anchor="ref-2021di">
        <w:r>
          <w:rPr>
            <w:rStyle w:val="24"/>
          </w:rPr>
          <w:t xml:space="preserve">75</w:t>
        </w:r>
      </w:hyperlink>
      <w:r>
        <w:t xml:space="preserve">]</w:t>
      </w:r>
      <w:r>
        <w:t xml:space="preserve">. The above</w:t>
      </w:r>
      <w:r>
        <w:t xml:space="preserve"> </w:t>
      </w:r>
      <w:r>
        <w:t xml:space="preserve">classes showed correlation with LXRs</w:t>
      </w:r>
      <w:r>
        <w:t xml:space="preserve"> </w:t>
      </w:r>
      <w:r>
        <w:t xml:space="preserve">[</w:t>
      </w:r>
      <w:hyperlink w:anchor="ref-2018bd">
        <w:r>
          <w:rPr>
            <w:rStyle w:val="24"/>
          </w:rPr>
          <w:t xml:space="preserve">74</w:t>
        </w:r>
      </w:hyperlink>
      <w:r>
        <w:t xml:space="preserve">]</w:t>
      </w:r>
      <w:r>
        <w:t xml:space="preserve">. Unfortunately, LXRs’s specific</w:t>
      </w:r>
      <w:r>
        <w:t xml:space="preserve"> </w:t>
      </w:r>
      <w:r>
        <w:t xml:space="preserve">role in SaB infection or mortality has not been documented and beyond the scope</w:t>
      </w:r>
      <w:r>
        <w:t xml:space="preserve"> </w:t>
      </w:r>
      <w:r>
        <w:t xml:space="preserve">of this research.</w:t>
      </w:r>
    </w:p>
    <w:p>
      <w:pPr>
        <w:pStyle w:val="3"/>
      </w:pPr>
      <w:r>
        <w:t xml:space="preserve">   In herbal dataset analysis, we showed a quick identification and</w:t>
      </w:r>
      <w:r>
        <w:t xml:space="preserve"> </w:t>
      </w:r>
      <w:r>
        <w:t xml:space="preserve">exploration of chemical changes in Child-Nebulae with a scope of chemical</w:t>
      </w:r>
      <w:r>
        <w:t xml:space="preserve"> </w:t>
      </w:r>
      <w:r>
        <w:t xml:space="preserve">classes. The main components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were lignans, iridoids,</w:t>
      </w:r>
      <w:r>
        <w:t xml:space="preserve"> </w:t>
      </w:r>
      <w:r>
        <w:t xml:space="preserve">phenolics, flavonoids, steroid and terpenoids</w:t>
      </w:r>
      <w:r>
        <w:t xml:space="preserve"> </w:t>
      </w:r>
      <w:r>
        <w:t xml:space="preserve">[</w:t>
      </w:r>
      <w:hyperlink w:anchor="ref-2021bi">
        <w:r>
          <w:rPr>
            <w:rStyle w:val="24"/>
          </w:rPr>
          <w:t xml:space="preserve">76</w:t>
        </w:r>
      </w:hyperlink>
      <w:r>
        <w:t xml:space="preserve">]</w:t>
      </w:r>
      <w:r>
        <w:t xml:space="preserve">. In our study, the</w:t>
      </w:r>
      <w:r>
        <w:t xml:space="preserve"> </w:t>
      </w:r>
      <w:r>
        <w:t xml:space="preserve">chemical classes obtained by ABC selection algorithm include</w:t>
      </w:r>
      <w:r>
        <w:t xml:space="preserve"> </w:t>
      </w:r>
      <w:r>
        <w:t xml:space="preserve">‘</w:t>
      </w:r>
      <w:r>
        <w:t xml:space="preserve">Lignans,</w:t>
      </w:r>
      <w:r>
        <w:t xml:space="preserve"> </w:t>
      </w:r>
      <w:r>
        <w:t xml:space="preserve">neolignans and related compounds</w:t>
      </w:r>
      <w:r>
        <w:t xml:space="preserve">’</w:t>
      </w:r>
      <w:r>
        <w:t xml:space="preserve"> </w:t>
      </w:r>
      <w:r>
        <w:t xml:space="preserve">(LNARC) and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 </w:t>
      </w:r>
      <w:r>
        <w:t xml:space="preserve">(IAD),</w:t>
      </w:r>
      <w:r>
        <w:t xml:space="preserve"> </w:t>
      </w:r>
      <w:r>
        <w:t xml:space="preserve">as well as</w:t>
      </w:r>
      <w:r>
        <w:t xml:space="preserve"> </w:t>
      </w:r>
      <w:r>
        <w:t xml:space="preserve">‘</w:t>
      </w:r>
      <w:r>
        <w:t xml:space="preserve">Monoterpenoids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Terpene glycosides</w:t>
      </w:r>
      <w:r>
        <w:t xml:space="preserve">’</w:t>
      </w:r>
      <w:r>
        <w:t xml:space="preserve">; the flavonoids were</w:t>
      </w:r>
      <w:r>
        <w:t xml:space="preserve"> </w:t>
      </w:r>
      <w:r>
        <w:t xml:space="preserve">covered by</w:t>
      </w:r>
      <w:r>
        <w:t xml:space="preserve"> </w:t>
      </w:r>
      <w:r>
        <w:t xml:space="preserve">‘</w:t>
      </w:r>
      <w:r>
        <w:t xml:space="preserve">Phenylpropanoids and polyketides</w:t>
      </w:r>
      <w:r>
        <w:t xml:space="preserve">’</w:t>
      </w:r>
      <w:r>
        <w:t xml:space="preserve"> </w:t>
      </w:r>
      <w:r>
        <w:t xml:space="preserve">(PAP)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39</w:t>
        </w:r>
      </w:hyperlink>
      <w:r>
        <w:t xml:space="preserve">]</w:t>
      </w:r>
      <w:r>
        <w:t xml:space="preserve"> </w:t>
      </w:r>
      <w:r>
        <w:t xml:space="preserve">and phenolics may</w:t>
      </w:r>
      <w:r>
        <w:t xml:space="preserve"> </w:t>
      </w:r>
      <w:r>
        <w:t xml:space="preserve">found in</w:t>
      </w:r>
      <w:r>
        <w:t xml:space="preserve"> </w:t>
      </w:r>
      <w:r>
        <w:t xml:space="preserve">‘</w:t>
      </w:r>
      <w:r>
        <w:t xml:space="preserve">Methoxyphenols</w:t>
      </w:r>
      <w:r>
        <w:t xml:space="preserve">’</w:t>
      </w:r>
      <w:r>
        <w:t xml:space="preserve">. The flavonoids were similar to the steroids and were</w:t>
      </w:r>
      <w:r>
        <w:t xml:space="preserve"> </w:t>
      </w:r>
      <w:r>
        <w:t xml:space="preserve">not retained in selected results as</w:t>
      </w:r>
      <w:r>
        <w:t xml:space="preserve"> </w:t>
      </w:r>
      <w:r>
        <w:t xml:space="preserve">‘</w:t>
      </w:r>
      <w:r>
        <w:t xml:space="preserve">Flavonoides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Steroids and steroid</w:t>
      </w:r>
      <w:r>
        <w:t xml:space="preserve"> </w:t>
      </w:r>
      <w:r>
        <w:t xml:space="preserve">derivatives</w:t>
      </w:r>
      <w:r>
        <w:t xml:space="preserve">’</w:t>
      </w:r>
      <w:r>
        <w:t xml:space="preserve">, because they were not as abundant in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(bark) as</w:t>
      </w:r>
      <w:r>
        <w:t xml:space="preserve"> </w:t>
      </w:r>
      <w:r>
        <w:t xml:space="preserve">LNARC and IAD. Many of the compounds we identified in chemical classes of</w:t>
      </w:r>
      <w:r>
        <w:t xml:space="preserve"> </w:t>
      </w:r>
      <w:r>
        <w:t xml:space="preserve">LNARC and IAD (Tab. S2) have been reported</w:t>
      </w:r>
      <w:r>
        <w:t xml:space="preserve"> </w:t>
      </w:r>
      <w:r>
        <w:t xml:space="preserve">in previous research about LC-MS/MS analysis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[</w:t>
      </w:r>
      <w:hyperlink w:anchor="ref-2014w">
        <w:r>
          <w:rPr>
            <w:rStyle w:val="24"/>
          </w:rPr>
          <w:t xml:space="preserve">77</w:t>
        </w:r>
      </w:hyperlink>
      <w:r>
        <w:t xml:space="preserve">–</w:t>
      </w:r>
      <w:hyperlink w:anchor="ref-2021bt">
        <w:r>
          <w:rPr>
            <w:rStyle w:val="24"/>
          </w:rPr>
          <w:t xml:space="preserve">82</w:t>
        </w:r>
      </w:hyperlink>
      <w:r>
        <w:t xml:space="preserve">]</w:t>
      </w:r>
      <w:r>
        <w:t xml:space="preserve">. We obtained top features based on</w:t>
      </w:r>
      <w:r>
        <w:t xml:space="preserve"> </w:t>
      </w:r>
      <w:r>
        <w:t xml:space="preserve">statistical comparison of the changes in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quantification levels</w:t>
      </w:r>
      <w:r>
        <w:t xml:space="preserve"> </w:t>
      </w:r>
      <w:r>
        <w:t xml:space="preserve">before and after processing. One of the compounds that changed significantly or</w:t>
      </w:r>
      <w:r>
        <w:t xml:space="preserve"> </w:t>
      </w:r>
      <w:r>
        <w:t xml:space="preserve">even was newly produced (ID: 1642) was traced into the Child-Nebulae. We then</w:t>
      </w:r>
      <w:r>
        <w:t xml:space="preserve"> </w:t>
      </w:r>
      <w:r>
        <w:t xml:space="preserve">hypothesized that it was related to two structurally similar compounds by</w:t>
      </w:r>
      <w:r>
        <w:t xml:space="preserve"> </w:t>
      </w:r>
      <w:r>
        <w:t xml:space="preserve">transformation. The application of MCnebula in the analysis of plant-derived</w:t>
      </w:r>
      <w:r>
        <w:t xml:space="preserve"> </w:t>
      </w:r>
      <w:r>
        <w:t xml:space="preserve">compounds was illustrated with this example of quick identification and</w:t>
      </w:r>
      <w:r>
        <w:t xml:space="preserve"> </w:t>
      </w:r>
      <w:r>
        <w:t xml:space="preserve">exploration of chemical changes. In contrast to reference spectral library for</w:t>
      </w:r>
      <w:r>
        <w:t xml:space="preserve"> </w:t>
      </w:r>
      <w:r>
        <w:t xml:space="preserve">human-derived metabolites, which are more likely to be commercially valuable,</w:t>
      </w:r>
      <w:r>
        <w:t xml:space="preserve"> </w:t>
      </w:r>
      <w:r>
        <w:t xml:space="preserve">the spectra for plant-derived compounds was more scarce. Although some</w:t>
      </w:r>
      <w:r>
        <w:t xml:space="preserve"> </w:t>
      </w:r>
      <w:r>
        <w:t xml:space="preserve">specific database of plant-derived compounds have been constructed</w:t>
      </w:r>
      <w:r>
        <w:t xml:space="preserve"> </w:t>
      </w:r>
      <w:r>
        <w:t xml:space="preserve">[</w:t>
      </w:r>
      <w:hyperlink w:anchor="ref-2012ac">
        <w:r>
          <w:rPr>
            <w:rStyle w:val="24"/>
          </w:rPr>
          <w:t xml:space="preserve">15</w:t>
        </w:r>
      </w:hyperlink>
      <w:r>
        <w:t xml:space="preserve">,</w:t>
      </w:r>
      <w:hyperlink w:anchor="ref-2015ak">
        <w:r>
          <w:rPr>
            <w:rStyle w:val="24"/>
          </w:rPr>
          <w:t xml:space="preserve">16</w:t>
        </w:r>
      </w:hyperlink>
      <w:r>
        <w:t xml:space="preserve">]</w:t>
      </w:r>
      <w:r>
        <w:t xml:space="preserve">, there were lack of enough fragmentation spectra for comprehensive</w:t>
      </w:r>
      <w:r>
        <w:t xml:space="preserve"> </w:t>
      </w:r>
      <w:r>
        <w:t xml:space="preserve">library match. With the help of MCnebula, mostly via retrieving structural</w:t>
      </w:r>
      <w:r>
        <w:t xml:space="preserve"> </w:t>
      </w:r>
      <w:r>
        <w:t xml:space="preserve">libraries, a rapid and reliable resolution of complex compositions of</w:t>
      </w:r>
      <w:r>
        <w:t xml:space="preserve"> </w:t>
      </w:r>
      <w:r>
        <w:t xml:space="preserve">plant-derived can be achieved.</w:t>
      </w:r>
    </w:p>
    <w:p>
      <w:pPr>
        <w:pStyle w:val="3"/>
      </w:pPr>
      <w:r>
        <w:t xml:space="preserve">   In this article, due to limited space, few examples demonstrated</w:t>
      </w:r>
      <w:r>
        <w:t xml:space="preserve"> </w:t>
      </w:r>
      <w:r>
        <w:t xml:space="preserve">MCnebula application. Indeed, MCnebula has a great potential in the field of</w:t>
      </w:r>
      <w:r>
        <w:t xml:space="preserve"> </w:t>
      </w:r>
      <w:r>
        <w:t xml:space="preserve">chemistry, pharmacy and medicine. The latter, beyond this article, e.g.,</w:t>
      </w:r>
      <w:r>
        <w:t xml:space="preserve"> </w:t>
      </w:r>
      <w:r>
        <w:t xml:space="preserve">fields of application include natural products, foodomics, environmental</w:t>
      </w:r>
      <w:r>
        <w:t xml:space="preserve"> </w:t>
      </w:r>
      <w:r>
        <w:t xml:space="preserve">research etc. As an integrated visualization method, MCnebula possibly be more</w:t>
      </w:r>
      <w:r>
        <w:t xml:space="preserve"> </w:t>
      </w:r>
      <w:r>
        <w:t xml:space="preserve">popular with biologists or chemists. MCnebula has been proposed and</w:t>
      </w:r>
      <w:r>
        <w:t xml:space="preserve"> </w:t>
      </w:r>
      <w:r>
        <w:t xml:space="preserve">implemented in the R language with package MCnebula. In the future, its</w:t>
      </w:r>
      <w:r>
        <w:t xml:space="preserve"> </w:t>
      </w:r>
      <w:r>
        <w:t xml:space="preserve">methods and application will be extensively expanded.</w:t>
      </w:r>
    </w:p>
    <w:bookmarkEnd w:id="29"/>
    <w:bookmarkStart w:id="41" w:name="methods"/>
    <w:p>
      <w:pPr>
        <w:pStyle w:val="2"/>
      </w:pPr>
      <w:r>
        <w:t xml:space="preserve">Methods</w:t>
      </w:r>
    </w:p>
    <w:bookmarkStart w:id="31" w:name="mcnebula-algorithm"/>
    <w:p>
      <w:pPr>
        <w:pStyle w:val="4"/>
      </w:pPr>
      <w:r>
        <w:t xml:space="preserve">MCnebula algorithm</w:t>
      </w:r>
    </w:p>
    <w:p>
      <w:pPr>
        <w:pStyle w:val="38"/>
      </w:pPr>
      <w:r>
        <w:rPr>
          <w:bCs/>
          <w:b/>
        </w:rPr>
        <w:t xml:space="preserve">Overall consideration</w:t>
      </w:r>
      <w:r>
        <w:t xml:space="preserve"> </w:t>
      </w:r>
      <w:r>
        <w:t xml:space="preserve">We knew that the analysis of untargeted LC-MS/MS</w:t>
      </w:r>
      <w:r>
        <w:t xml:space="preserve"> </w:t>
      </w:r>
      <w:r>
        <w:t xml:space="preserve">dataset generally begin with feature detection. It detected</w:t>
      </w:r>
      <w:r>
        <w:t xml:space="preserve"> </w:t>
      </w:r>
      <w:r>
        <w:t xml:space="preserve">‘</w:t>
      </w:r>
      <w:r>
        <w:t xml:space="preserve">peaks</w:t>
      </w:r>
      <w:r>
        <w:t xml:space="preserve">’</w:t>
      </w:r>
      <w:r>
        <w:t xml:space="preserve"> </w:t>
      </w:r>
      <w:r>
        <w:t xml:space="preserve">as features</w:t>
      </w:r>
      <w:r>
        <w:t xml:space="preserve"> </w:t>
      </w:r>
      <w:r>
        <w:t xml:space="preserve">in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(MASS level 1) data. Each feature may represents a compound, and</w:t>
      </w:r>
      <w:r>
        <w:t xml:space="preserve"> </w:t>
      </w:r>
      <w:r>
        <w:t xml:space="preserve">assigned with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(MASS level 2) spectra. The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spectra was used to find</w:t>
      </w:r>
      <w:r>
        <w:t xml:space="preserve"> </w:t>
      </w:r>
      <w:r>
        <w:t xml:space="preserve">out the compound identity. The difficulty lied in annotating these features to</w:t>
      </w:r>
      <w:r>
        <w:t xml:space="preserve"> </w:t>
      </w:r>
      <w:r>
        <w:t xml:space="preserve">discover their compound identity, mining out meaningful information, so as to</w:t>
      </w:r>
      <w:r>
        <w:t xml:space="preserve"> </w:t>
      </w:r>
      <w:r>
        <w:t xml:space="preserve">serve further biological research. In addition, the untargeted LC-MS/MS</w:t>
      </w:r>
      <w:r>
        <w:t xml:space="preserve"> </w:t>
      </w:r>
      <w:r>
        <w:t xml:space="preserve">dataset was general a huge dataset, which leads to time-consuming analysis of</w:t>
      </w:r>
      <w:r>
        <w:t xml:space="preserve"> </w:t>
      </w:r>
      <w:r>
        <w:t xml:space="preserve">the whole process. Herein, a classified visualization method, called MCnebula,</w:t>
      </w:r>
      <w:r>
        <w:t xml:space="preserve"> </w:t>
      </w:r>
      <w:r>
        <w:t xml:space="preserve">was used for addressing these difficulty.</w:t>
      </w:r>
    </w:p>
    <w:p>
      <w:pPr>
        <w:pStyle w:val="3"/>
      </w:pPr>
      <w:r>
        <w:t xml:space="preserve">The MCnebula package itself did not contain any part of molecular formula</w:t>
      </w:r>
      <w:r>
        <w:t xml:space="preserve"> </w:t>
      </w:r>
      <w:r>
        <w:t xml:space="preserve">prediction, structure prediction and chemical prediction of compounds, so the</w:t>
      </w:r>
      <w:r>
        <w:t xml:space="preserve"> </w:t>
      </w:r>
      <w:r>
        <w:t xml:space="preserve">accuracy of these parts was not involved. Currently, MCnebula performed</w:t>
      </w:r>
      <w:r>
        <w:t xml:space="preserve"> </w:t>
      </w:r>
      <w:r>
        <w:t xml:space="preserve">downstream analysis by extracting the prediction data from SIRIUS project. The</w:t>
      </w:r>
      <w:r>
        <w:t xml:space="preserve"> </w:t>
      </w:r>
      <w:r>
        <w:t xml:space="preserve">core of MCnebula was its chemical classes filtering algorithm, called</w:t>
      </w:r>
      <w:r>
        <w:t xml:space="preserve"> </w:t>
      </w:r>
      <w:r>
        <w:t xml:space="preserve">abundance-based classes (ABC) selection algorithm. To explain the ABC selection</w:t>
      </w:r>
      <w:r>
        <w:t xml:space="preserve"> </w:t>
      </w:r>
      <w:r>
        <w:t xml:space="preserve">algorithm in details, we need to begin with MS/MS spectral analysis and</w:t>
      </w:r>
      <w:r>
        <w:t xml:space="preserve"> </w:t>
      </w:r>
      <w:r>
        <w:t xml:space="preserve">identification of compounds.</w:t>
      </w:r>
    </w:p>
    <w:p>
      <w:pPr>
        <w:pStyle w:val="3"/>
      </w:pPr>
      <w:r>
        <w:rPr>
          <w:bCs/>
          <w:b/>
        </w:rPr>
        <w:t xml:space="preserve">Chemical structure and formula.</w:t>
      </w:r>
      <w:r>
        <w:t xml:space="preserve"> </w:t>
      </w:r>
      <w:r>
        <w:t xml:space="preserve">The analysis of MS/MS spectrum was a</w:t>
      </w:r>
      <w:r>
        <w:t xml:space="preserve"> </w:t>
      </w:r>
      <w:r>
        <w:t xml:space="preserve">process of inference and prediction. For example, we speculated the</w:t>
      </w:r>
      <w:r>
        <w:t xml:space="preserve"> </w:t>
      </w:r>
      <w:r>
        <w:t xml:space="preserve">composition of elements based on the molecular weight of MS</w:t>
      </w:r>
      <w:r>
        <w:rPr>
          <w:vertAlign w:val="superscript"/>
        </w:rPr>
        <w:t xml:space="preserve">1</w:t>
      </w:r>
      <w:r>
        <w:t xml:space="preserve">; combined with</w:t>
      </w:r>
      <w:r>
        <w:t xml:space="preserve"> </w:t>
      </w:r>
      <w:r>
        <w:t xml:space="preserve">the possible fragmentation pattern of MS</w:t>
      </w:r>
      <w:r>
        <w:rPr>
          <w:vertAlign w:val="superscript"/>
        </w:rPr>
        <w:t xml:space="preserve">2</w:t>
      </w:r>
      <w:r>
        <w:t xml:space="preserve"> </w:t>
      </w:r>
      <w:r>
        <w:t xml:space="preserve">spectrum, we speculated the</w:t>
      </w:r>
      <w:r>
        <w:t xml:space="preserve"> </w:t>
      </w:r>
      <w:r>
        <w:t xml:space="preserve">potential molecular formula of a compound; finally, we look for the exact</w:t>
      </w:r>
      <w:r>
        <w:t xml:space="preserve"> </w:t>
      </w:r>
      <w:r>
        <w:t xml:space="preserve">compound from the compound structure database. Sometimes, this process is full</w:t>
      </w:r>
      <w:r>
        <w:t xml:space="preserve"> </w:t>
      </w:r>
      <w:r>
        <w:t xml:space="preserve">of uncertainty, because there are too many factors that affect the reliability</w:t>
      </w:r>
      <w:r>
        <w:t xml:space="preserve"> </w:t>
      </w:r>
      <w:r>
        <w:t xml:space="preserve">of MS/MS data and the correctness of inference. It can be assumed that there</w:t>
      </w:r>
      <w:r>
        <w:t xml:space="preserve"> </w:t>
      </w:r>
      <w:r>
        <w:t xml:space="preserve">are complex candidates for the potential chemical molecular formula, chemical</w:t>
      </w:r>
      <w:r>
        <w:t xml:space="preserve"> </w:t>
      </w:r>
      <w:r>
        <w:t xml:space="preserve">structure and chemical class behind MS/MS spectrum. Suppose we had these data</w:t>
      </w:r>
      <w:r>
        <w:t xml:space="preserve"> </w:t>
      </w:r>
      <w:r>
        <w:t xml:space="preserve">of candidates now, MCnebula extracted these candidates and obtained the unique</w:t>
      </w:r>
      <w:r>
        <w:t xml:space="preserve"> </w:t>
      </w:r>
      <w:r>
        <w:t xml:space="preserve">molecular formula and chemical structure for each MS/MS spectrum based on the</w:t>
      </w:r>
      <w:r>
        <w:t xml:space="preserve"> </w:t>
      </w:r>
      <w:r>
        <w:t xml:space="preserve">highest score of chemical structure prediction; in this process, as most</w:t>
      </w:r>
      <w:r>
        <w:t xml:space="preserve"> </w:t>
      </w:r>
      <w:r>
        <w:t xml:space="preserve">algorithms do, we make a choice based on the score, and only select the result</w:t>
      </w:r>
      <w:r>
        <w:t xml:space="preserve"> </w:t>
      </w:r>
      <w:r>
        <w:t xml:space="preserve">of highest score.</w:t>
      </w:r>
    </w:p>
    <w:p>
      <w:pPr>
        <w:pStyle w:val="3"/>
      </w:pPr>
      <w:r>
        <w:rPr>
          <w:bCs/>
          <w:b/>
        </w:rPr>
        <w:t xml:space="preserve">Establish reference upon top candidate</w:t>
      </w:r>
      <w:r>
        <w:t xml:space="preserve"> </w:t>
      </w:r>
      <w:r>
        <w:t xml:space="preserve">We predicted a potential</w:t>
      </w:r>
      <w:r>
        <w:t xml:space="preserve"> </w:t>
      </w:r>
      <w:r>
        <w:t xml:space="preserve">compound represented by LC-MS/MS spectrum, and obtained the candidates of</w:t>
      </w:r>
      <w:r>
        <w:t xml:space="preserve"> </w:t>
      </w:r>
      <w:r>
        <w:t xml:space="preserve">chemical molecular formula, structure and chemical class. These candidates</w:t>
      </w:r>
      <w:r>
        <w:t xml:space="preserve"> </w:t>
      </w:r>
      <w:r>
        <w:t xml:space="preserve">include both positive and negative results: for chemical molecular formula and</w:t>
      </w:r>
      <w:r>
        <w:t xml:space="preserve"> </w:t>
      </w:r>
      <w:r>
        <w:t xml:space="preserve">chemical structure, the positive prediction was unique; for chemical class,</w:t>
      </w:r>
      <w:r>
        <w:t xml:space="preserve"> </w:t>
      </w:r>
      <w:r>
        <w:t xml:space="preserve">multiple positive predictions that belong to various classification were</w:t>
      </w:r>
      <w:r>
        <w:t xml:space="preserve"> </w:t>
      </w:r>
      <w:r>
        <w:t xml:space="preserve">involved. We did not know the exact negative and positive. Normally, we</w:t>
      </w:r>
      <w:r>
        <w:t xml:space="preserve"> </w:t>
      </w:r>
      <w:r>
        <w:t xml:space="preserve">ranked and filtered these according to the scores. There were numerous scores,</w:t>
      </w:r>
      <w:r>
        <w:t xml:space="preserve"> </w:t>
      </w:r>
      <w:r>
        <w:t xml:space="preserve">for isotopes, for mass error, for structural similarity, for chemical</w:t>
      </w:r>
      <w:r>
        <w:t xml:space="preserve"> </w:t>
      </w:r>
      <w:r>
        <w:t xml:space="preserve">classes… Which score selected to rank candidates depends on the purpose of</w:t>
      </w:r>
      <w:r>
        <w:t xml:space="preserve"> </w:t>
      </w:r>
      <w:r>
        <w:t xml:space="preserve">research. Such as:</w:t>
      </w:r>
    </w:p>
    <w:p>
      <w:pPr>
        <w:numPr>
          <w:ilvl w:val="0"/>
          <w:numId w:val="1001"/>
        </w:numPr>
      </w:pPr>
      <w:r>
        <w:t xml:space="preserve">To find out the chemical structure mostly be positive, ranking the candidates</w:t>
      </w:r>
      <w:r>
        <w:t xml:space="preserve"> </w:t>
      </w:r>
      <w:r>
        <w:t xml:space="preserve">by structural score.</w:t>
      </w:r>
    </w:p>
    <w:p>
      <w:pPr>
        <w:numPr>
          <w:ilvl w:val="0"/>
          <w:numId w:val="1001"/>
        </w:numPr>
      </w:pPr>
      <w:r>
        <w:t xml:space="preserve">To determine whether the potential compound may be of a certain chemical</w:t>
      </w:r>
      <w:r>
        <w:t xml:space="preserve"> </w:t>
      </w:r>
      <w:r>
        <w:t xml:space="preserve">classes, ranking the candidates by the classified score.</w:t>
      </w:r>
    </w:p>
    <w:p>
      <w:pPr>
        <w:pStyle w:val="38"/>
      </w:pPr>
      <w:r>
        <w:t xml:space="preserve">Ether by functions in MCnebula of</w:t>
      </w:r>
      <w:r>
        <w:t xml:space="preserve"> </w:t>
      </w:r>
      <w:r>
        <w:t xml:space="preserve">‘</w:t>
      </w:r>
      <w:r>
        <w:t xml:space="preserve">filter_formula()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filter_structure()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filter_ppcp()</w:t>
      </w:r>
      <w:r>
        <w:t xml:space="preserve">’</w:t>
      </w:r>
      <w:r>
        <w:t xml:space="preserve">, the candidate with top score can be obtained. However, for</w:t>
      </w:r>
      <w:r>
        <w:t xml:space="preserve"> </w:t>
      </w:r>
      <w:r>
        <w:t xml:space="preserve">the three module (formula, structure, classes), sometimes their top score</w:t>
      </w:r>
      <w:r>
        <w:t xml:space="preserve"> </w:t>
      </w:r>
      <w:r>
        <w:t xml:space="preserve">candidates were not in line with each other. That was, their top score towards</w:t>
      </w:r>
      <w:r>
        <w:t xml:space="preserve"> </w:t>
      </w:r>
      <w:r>
        <w:t xml:space="preserve">different chemical molecular formulas. To find out the corresponding data in</w:t>
      </w:r>
      <w:r>
        <w:t xml:space="preserve"> </w:t>
      </w:r>
      <w:r>
        <w:t xml:space="preserve">other modules,</w:t>
      </w:r>
      <w:r>
        <w:t xml:space="preserve"> </w:t>
      </w:r>
      <w:r>
        <w:t xml:space="preserve">‘</w:t>
      </w:r>
      <w:r>
        <w:t xml:space="preserve">create_reference()</w:t>
      </w:r>
      <w:r>
        <w:t xml:space="preserve">’</w:t>
      </w:r>
      <w:r>
        <w:t xml:space="preserve"> </w:t>
      </w:r>
      <w:r>
        <w:t xml:space="preserve">should be performed to establish the</w:t>
      </w:r>
      <w:r>
        <w:t xml:space="preserve"> </w:t>
      </w:r>
      <w:r>
        <w:t xml:space="preserve">‘</w:t>
      </w:r>
      <w:r>
        <w:t xml:space="preserve">specific candidate</w:t>
      </w:r>
      <w:r>
        <w:t xml:space="preserve">’</w:t>
      </w:r>
      <w:r>
        <w:t xml:space="preserve"> </w:t>
      </w:r>
      <w:r>
        <w:t xml:space="preserve">as reference for subsequent data integrating.</w:t>
      </w:r>
    </w:p>
    <w:p>
      <w:pPr>
        <w:pStyle w:val="3"/>
      </w:pPr>
      <w:r>
        <w:t xml:space="preserve">Above, we talked about chemical molecular formula, chemical structural formula</w:t>
      </w:r>
      <w:r>
        <w:t xml:space="preserve"> </w:t>
      </w:r>
      <w:r>
        <w:t xml:space="preserve">and chemical classes. We obtained the unique chemical molecular formula and</w:t>
      </w:r>
      <w:r>
        <w:t xml:space="preserve"> </w:t>
      </w:r>
      <w:r>
        <w:t xml:space="preserve">chemical structure formula for reference by scoring and ranking. But for</w:t>
      </w:r>
      <w:r>
        <w:t xml:space="preserve"> </w:t>
      </w:r>
      <w:r>
        <w:t xml:space="preserve">chemical classes, we can’t adopt such a simple way to get things done.</w:t>
      </w:r>
    </w:p>
    <w:p>
      <w:pPr>
        <w:pStyle w:val="3"/>
      </w:pPr>
      <w:r>
        <w:rPr>
          <w:bCs/>
          <w:b/>
        </w:rPr>
        <w:t xml:space="preserve">Chemical classification.</w:t>
      </w:r>
      <w:r>
        <w:t xml:space="preserve"> </w:t>
      </w:r>
      <w:r>
        <w:t xml:space="preserve">Chemical classification is a complex system.</w:t>
      </w:r>
      <w:r>
        <w:t xml:space="preserve"> </w:t>
      </w:r>
      <w:r>
        <w:t xml:space="preserve">Here, we only discuss the structure based chemo taxonomy system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39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because the MS/MS spectrum is more indicative of the structure of compounds</w:t>
      </w:r>
      <w:r>
        <w:t xml:space="preserve"> </w:t>
      </w:r>
      <w:r>
        <w:t xml:space="preserve">than biological activity and other information.</w:t>
      </w:r>
    </w:p>
    <w:p>
      <w:pPr>
        <w:pStyle w:val="3"/>
      </w:pPr>
      <w:r>
        <w:t xml:space="preserve">According to the division of the overall structure and local structure of</w:t>
      </w:r>
      <w:r>
        <w:t xml:space="preserve"> </w:t>
      </w:r>
      <w:r>
        <w:t xml:space="preserve">compounds, we can call the structural characteristics as the dominant structure</w:t>
      </w:r>
      <w:r>
        <w:t xml:space="preserve"> </w:t>
      </w:r>
      <w:r>
        <w:t xml:space="preserve">and substructure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39</w:t>
        </w:r>
      </w:hyperlink>
      <w:r>
        <w:t xml:space="preserve">]</w:t>
      </w:r>
      <w:r>
        <w:t xml:space="preserve">. Correspondingly, in the chemical classification</w:t>
      </w:r>
      <w:r>
        <w:t xml:space="preserve"> </w:t>
      </w:r>
      <w:r>
        <w:t xml:space="preserve">system, we can not only classify according to the dominant structure, but also</w:t>
      </w:r>
      <w:r>
        <w:t xml:space="preserve"> </w:t>
      </w:r>
      <w:r>
        <w:t xml:space="preserve">classify according to the substructure. The chemical classification based on</w:t>
      </w:r>
      <w:r>
        <w:t xml:space="preserve"> </w:t>
      </w:r>
      <w:r>
        <w:t xml:space="preserve">the dominant structure of compounds is easy to understand, because we generally</w:t>
      </w:r>
      <w:r>
        <w:t xml:space="preserve"> </w:t>
      </w:r>
      <w:r>
        <w:t xml:space="preserve">define it in this way. For example, we will classify Taxifolin as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,</w:t>
      </w:r>
      <w:r>
        <w:t xml:space="preserve"> </w:t>
      </w:r>
      <w:r>
        <w:t xml:space="preserve">not</w:t>
      </w:r>
      <w:r>
        <w:t xml:space="preserve"> </w:t>
      </w:r>
      <w:r>
        <w:t xml:space="preserve">‘</w:t>
      </w:r>
      <w:r>
        <w:t xml:space="preserve">phenols</w:t>
      </w:r>
      <w:r>
        <w:t xml:space="preserve">’</w:t>
      </w:r>
      <w:r>
        <w:t xml:space="preserve">, although its local structure has a substructure of</w:t>
      </w:r>
      <w:r>
        <w:t xml:space="preserve"> </w:t>
      </w:r>
      <w:r>
        <w:t xml:space="preserve">‘</w:t>
      </w:r>
      <w:r>
        <w:t xml:space="preserve">phenol</w:t>
      </w:r>
      <w:r>
        <w:t xml:space="preserve">’</w:t>
      </w:r>
      <w:r>
        <w:t xml:space="preserve">. We</w:t>
      </w:r>
      <w:r>
        <w:t xml:space="preserve"> </w:t>
      </w:r>
      <w:r>
        <w:t xml:space="preserve">hope to classify a compound by its dominant structure rather than substructure,</w:t>
      </w:r>
      <w:r>
        <w:t xml:space="preserve"> </w:t>
      </w:r>
      <w:r>
        <w:t xml:space="preserve">because such classify is more concise and contains more information. However,</w:t>
      </w:r>
      <w:r>
        <w:t xml:space="preserve"> </w:t>
      </w:r>
      <w:r>
        <w:t xml:space="preserve">in the process of MS/MS spectral analysis, we sometimes can only make chemical</w:t>
      </w:r>
      <w:r>
        <w:t xml:space="preserve"> </w:t>
      </w:r>
      <w:r>
        <w:t xml:space="preserve">classification based on the substructure of compounds, which may be due to:</w:t>
      </w:r>
      <w:r>
        <w:t xml:space="preserve"> </w:t>
      </w:r>
      <w:r>
        <w:t xml:space="preserve">uncertainty in the process of structural analysis; it may be an unknown</w:t>
      </w:r>
      <w:r>
        <w:t xml:space="preserve"> </w:t>
      </w:r>
      <w:r>
        <w:t xml:space="preserve">compound; MS/MS spectral fragment information is insufficient. In this case,</w:t>
      </w:r>
      <w:r>
        <w:t xml:space="preserve"> </w:t>
      </w:r>
      <w:r>
        <w:t xml:space="preserve">it was necessary for us to classify the compounds with the aid of substructure</w:t>
      </w:r>
      <w:r>
        <w:t xml:space="preserve"> </w:t>
      </w:r>
      <w:r>
        <w:t xml:space="preserve">information, otherwise we had no knowledge of the compounds for which we cannot</w:t>
      </w:r>
      <w:r>
        <w:t xml:space="preserve"> </w:t>
      </w:r>
      <w:r>
        <w:t xml:space="preserve">obtain dominant structure information.</w:t>
      </w:r>
    </w:p>
    <w:p>
      <w:pPr>
        <w:pStyle w:val="3"/>
      </w:pPr>
      <w:r>
        <w:t xml:space="preserve">We should also be clear about the complexity of another aspect of chemo</w:t>
      </w:r>
      <w:r>
        <w:t xml:space="preserve"> </w:t>
      </w:r>
      <w:r>
        <w:t xml:space="preserve">taxonomy, i.e., the hierarchy of classification. This was easy to understand.</w:t>
      </w:r>
      <w:r>
        <w:t xml:space="preserve"> </w:t>
      </w:r>
      <w:r>
        <w:t xml:space="preserve">For example,</w:t>
      </w:r>
      <w:r>
        <w:t xml:space="preserve"> </w:t>
      </w:r>
      <w:r>
        <w:t xml:space="preserve">‘</w:t>
      </w:r>
      <w:r>
        <w:t xml:space="preserve">Flavones</w:t>
      </w:r>
      <w:r>
        <w:t xml:space="preserve">’</w:t>
      </w:r>
      <w:r>
        <w:t xml:space="preserve"> </w:t>
      </w:r>
      <w:r>
        <w:t xml:space="preserve">belongs to its superior,</w:t>
      </w:r>
      <w:r>
        <w:t xml:space="preserve"> </w:t>
      </w:r>
      <w:r>
        <w:t xml:space="preserve">‘</w:t>
      </w:r>
      <w:r>
        <w:t xml:space="preserve">Flavonoids</w:t>
      </w:r>
      <w:r>
        <w:t xml:space="preserve">’</w:t>
      </w:r>
      <w:r>
        <w:t xml:space="preserve">; its next higher</w:t>
      </w:r>
      <w:r>
        <w:t xml:space="preserve"> </w:t>
      </w:r>
      <w:r>
        <w:t xml:space="preserve">level,</w:t>
      </w:r>
      <w:r>
        <w:t xml:space="preserve"> </w:t>
      </w:r>
      <w:r>
        <w:t xml:space="preserve">‘</w:t>
      </w:r>
      <w:r>
        <w:t xml:space="preserve">Phynylpropanoids and polyketides</w:t>
      </w:r>
      <w:r>
        <w:t xml:space="preserve">’</w:t>
      </w:r>
      <w:r>
        <w:t xml:space="preserve">; the further upward classification is</w:t>
      </w:r>
      <w:r>
        <w:t xml:space="preserve"> </w:t>
      </w:r>
      <w:r>
        <w:t xml:space="preserve">‘</w:t>
      </w:r>
      <w:r>
        <w:t xml:space="preserve">organic compounds</w:t>
      </w:r>
      <w:r>
        <w:t xml:space="preserve">’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ABC selection.</w:t>
      </w:r>
      <w:r>
        <w:t xml:space="preserve"> </w:t>
      </w:r>
      <w:r>
        <w:t xml:space="preserve">The above section discusses the inferential prediction of</w:t>
      </w:r>
      <w:r>
        <w:t xml:space="preserve"> </w:t>
      </w:r>
      <w:r>
        <w:t xml:space="preserve">individual MS/MS spectrum. In the untargeted LC-MS/MS dataset, each feature</w:t>
      </w:r>
      <w:r>
        <w:t xml:space="preserve"> </w:t>
      </w:r>
      <w:r>
        <w:t xml:space="preserve">has a corresponding MS/MS spectrum, and there are thousands of features in</w:t>
      </w:r>
      <w:r>
        <w:t xml:space="preserve"> </w:t>
      </w:r>
      <w:r>
        <w:t xml:space="preserve">total. The ABC selection algorithm regards all features as a whole, examined</w:t>
      </w:r>
      <w:r>
        <w:t xml:space="preserve"> </w:t>
      </w:r>
      <w:r>
        <w:t xml:space="preserve">the number and abundance of features of each chemical classification</w:t>
      </w:r>
      <w:r>
        <w:t xml:space="preserve"> </w:t>
      </w:r>
      <w:r>
        <w:t xml:space="preserve">(classification at different levels, classification of substructure and</w:t>
      </w:r>
      <w:r>
        <w:t xml:space="preserve"> </w:t>
      </w:r>
      <w:r>
        <w:t xml:space="preserve">dominant structure), and then selected representative classes (mainly screening</w:t>
      </w:r>
      <w:r>
        <w:t xml:space="preserve"> </w:t>
      </w:r>
      <w:r>
        <w:t xml:space="preserve">the classes according to the number or abundance range of features) to serve</w:t>
      </w:r>
      <w:r>
        <w:t xml:space="preserve"> </w:t>
      </w:r>
      <w:r>
        <w:t xml:space="preserve">the subsequent analysis (Fig. 6).</w:t>
      </w:r>
    </w:p>
    <w:p>
      <w:pPr>
        <w:numPr>
          <w:ilvl w:val="0"/>
          <w:numId w:val="1002"/>
        </w:numPr>
      </w:pPr>
      <w:r>
        <w:t xml:space="preserve">Create Stardust Classes (Inner filter).</w:t>
      </w:r>
      <w:r>
        <w:t xml:space="preserve"> </w:t>
      </w:r>
      <w:r>
        <w:t xml:space="preserve">The posterior probability of classification prediction (PPCP) data belonged</w:t>
      </w:r>
      <w:r>
        <w:t xml:space="preserve"> </w:t>
      </w:r>
      <w:r>
        <w:t xml:space="preserve">to each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 When performing the filtering, only simple threshold</w:t>
      </w:r>
      <w:r>
        <w:t xml:space="preserve"> </w:t>
      </w:r>
      <w:r>
        <w:t xml:space="preserve">conditions or absolute conditions were set to filter the chemical classes;</w:t>
      </w:r>
      <w:r>
        <w:t xml:space="preserve"> </w:t>
      </w:r>
      <w:r>
        <w:t xml:space="preserve">there was no crossover between the different attributes and no crossover</w:t>
      </w:r>
      <w:r>
        <w:t xml:space="preserve"> </w:t>
      </w:r>
      <w:r>
        <w:t xml:space="preserve">between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Therefore, we considered this as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filtering.</w:t>
      </w:r>
    </w:p>
    <w:p>
      <w:pPr>
        <w:numPr>
          <w:ilvl w:val="0"/>
          <w:numId w:val="1002"/>
        </w:numPr>
      </w:pPr>
      <w:r>
        <w:t xml:space="preserve">Cross filter Stardust Classes.</w:t>
      </w:r>
      <w:r>
        <w:t xml:space="preserve"> </w:t>
      </w:r>
      <w:r>
        <w:t xml:space="preserve">The data of the chemical classes and their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i.e.</w:t>
      </w:r>
      <w:r>
        <w:t xml:space="preserve"> </w:t>
      </w:r>
      <w:r>
        <w:t xml:space="preserve">Stardust Classes data, were combined and then grouped upon the chemical</w:t>
      </w:r>
      <w:r>
        <w:t xml:space="preserve"> </w:t>
      </w:r>
      <w:r>
        <w:t xml:space="preserve">classes. After grouping, each chemical class had a certain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When filtering, statistics may be performed on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data</w:t>
      </w:r>
      <w:r>
        <w:t xml:space="preserve"> </w:t>
      </w:r>
      <w:r>
        <w:t xml:space="preserve">within a group; statistics may be performed on these data in conjunction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features annotation</w:t>
      </w:r>
      <w:r>
        <w:t xml:space="preserve">’</w:t>
      </w:r>
      <w:r>
        <w:t xml:space="preserve"> </w:t>
      </w:r>
      <w:r>
        <w:t xml:space="preserve">data; and statistics may be performed to compare</w:t>
      </w:r>
      <w:r>
        <w:t xml:space="preserve"> </w:t>
      </w:r>
      <w:r>
        <w:t xml:space="preserve">groups with each other. As its crossover of attributes for filtering, we</w:t>
      </w:r>
      <w:r>
        <w:t xml:space="preserve"> </w:t>
      </w:r>
      <w:r>
        <w:t xml:space="preserve">consider this as</w:t>
      </w:r>
      <w:r>
        <w:t xml:space="preserve"> </w:t>
      </w:r>
      <w:r>
        <w:t xml:space="preserve">‘</w:t>
      </w:r>
      <w:r>
        <w:t xml:space="preserve">cross</w:t>
      </w:r>
      <w:r>
        <w:t xml:space="preserve">’</w:t>
      </w:r>
      <w:r>
        <w:t xml:space="preserve"> </w:t>
      </w:r>
      <w:r>
        <w:t xml:space="preserve">filtering. (See details in next subsection about</w:t>
      </w:r>
      <w:r>
        <w:t xml:space="preserve"> </w:t>
      </w:r>
      <w:r>
        <w:t xml:space="preserve">Cross filter Stardust Classes.)</w:t>
      </w:r>
    </w:p>
    <w:p>
      <w:pPr>
        <w:pStyle w:val="38"/>
      </w:pPr>
      <w:r>
        <w:t xml:space="preserve">Whether it is all filtered by the algorithm provided by MCnebula function or</w:t>
      </w:r>
      <w:r>
        <w:t xml:space="preserve"> </w:t>
      </w:r>
      <w:r>
        <w:t xml:space="preserve">custom filtered for some chemical classes, we now have a data called</w:t>
      </w:r>
      <w:r>
        <w:t xml:space="preserve"> </w:t>
      </w:r>
      <w:r>
        <w:t xml:space="preserve">Nebula-Index. This data records a number of chemical classes and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attributed to them. The subsequent analysis process or</w:t>
      </w:r>
      <w:r>
        <w:t xml:space="preserve"> </w:t>
      </w:r>
      <w:r>
        <w:t xml:space="preserve">visualization will be based on it. Each chemical class is considered as a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and its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the components of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.</w:t>
      </w:r>
      <w:r>
        <w:t xml:space="preserve"> </w:t>
      </w:r>
      <w:r>
        <w:t xml:space="preserve">In the visualization,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will be visualized as networks. Formally,</w:t>
      </w:r>
      <w:r>
        <w:t xml:space="preserve"> </w:t>
      </w:r>
      <w:r>
        <w:t xml:space="preserve">we call these</w:t>
      </w:r>
      <w:r>
        <w:t xml:space="preserve"> </w:t>
      </w:r>
      <w:r>
        <w:t xml:space="preserve">‘</w:t>
      </w:r>
      <w:r>
        <w:t xml:space="preserve">nebulae</w:t>
      </w:r>
      <w:r>
        <w:t xml:space="preserve">’</w:t>
      </w:r>
      <w:r>
        <w:t xml:space="preserve"> </w:t>
      </w:r>
      <w:r>
        <w:t xml:space="preserve">formed on the basis of Nebula-Index data as</w:t>
      </w:r>
      <w:r>
        <w:t xml:space="preserve"> </w:t>
      </w:r>
      <w:r>
        <w:t xml:space="preserve">Child-Nebulae. In comparison, when we put all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together to form a</w:t>
      </w:r>
      <w:r>
        <w:t xml:space="preserve"> </w:t>
      </w:r>
      <w:r>
        <w:t xml:space="preserve">large network, then this</w:t>
      </w:r>
      <w:r>
        <w:t xml:space="preserve"> </w:t>
      </w:r>
      <w:r>
        <w:t xml:space="preserve">‘</w:t>
      </w:r>
      <w:r>
        <w:t xml:space="preserve">nebula</w:t>
      </w:r>
      <w:r>
        <w:t xml:space="preserve">’</w:t>
      </w:r>
      <w:r>
        <w:t xml:space="preserve"> </w:t>
      </w:r>
      <w:r>
        <w:t xml:space="preserve">is called Parent-Nebula.</w:t>
      </w:r>
    </w:p>
    <w:p>
      <w:pPr>
        <w:pStyle w:val="3"/>
      </w:pPr>
      <w:r>
        <w:rPr>
          <w:bCs/>
          <w:b/>
        </w:rPr>
        <w:t xml:space="preserve">Details of Cross filter Stardust Classes</w:t>
      </w:r>
      <w:r>
        <w:t xml:space="preserve">. This method were integration of</w:t>
      </w:r>
      <w:r>
        <w:t xml:space="preserve"> </w:t>
      </w:r>
      <w:r>
        <w:t xml:space="preserve">the following three module (Fig. 6):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quantity</w:t>
      </w:r>
      <w:r>
        <w:rPr>
          <w:iCs/>
          <w:i/>
        </w:rPr>
        <w:t xml:space="preserve">’</w:t>
      </w:r>
      <w:r>
        <w:t xml:space="preserve"> </w:t>
      </w:r>
      <w:r>
        <w:t xml:space="preserve">(abundance selection). Set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</w:t>
      </w:r>
      <w:r>
        <w:t xml:space="preserve"> </w:t>
      </w:r>
      <w:r>
        <w:t xml:space="preserve">limitation for each group (each group, i.e. a chemical class with its</w:t>
      </w:r>
      <w:r>
        <w:t xml:space="preserve"> </w:t>
      </w:r>
      <w:r>
        <w:t xml:space="preserve">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). The groups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or too few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filtered out. This means the chemical class would be</w:t>
      </w:r>
      <w:r>
        <w:t xml:space="preserve"> </w:t>
      </w:r>
      <w:r>
        <w:t xml:space="preserve">filtered out. These thresholds are about:</w:t>
      </w:r>
    </w:p>
    <w:p>
      <w:pPr>
        <w:numPr>
          <w:ilvl w:val="0"/>
          <w:numId w:val="1003"/>
        </w:numPr>
        <w:pStyle w:val="186"/>
      </w:pPr>
      <w:r>
        <w:t xml:space="preserve">Minimum quantity: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group.</w:t>
      </w:r>
    </w:p>
    <w:p>
      <w:pPr>
        <w:numPr>
          <w:ilvl w:val="0"/>
          <w:numId w:val="1003"/>
        </w:numPr>
        <w:pStyle w:val="186"/>
      </w:pPr>
      <w:r>
        <w:t xml:space="preserve">Maximum proportion: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quantity within the group versus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(unique) quantity of all groups.</w:t>
      </w:r>
    </w:p>
    <w:p>
      <w:pPr>
        <w:pStyle w:val="38"/>
      </w:pPr>
      <w:r>
        <w:t xml:space="preserve">The purpose of this step is to filter out chemical classes that have too</w:t>
      </w:r>
      <w:r>
        <w:t xml:space="preserve"> </w:t>
      </w:r>
      <w:r>
        <w:t xml:space="preserve">large or too subtle a conceptual scope. For example,</w:t>
      </w:r>
      <w:r>
        <w:t xml:space="preserve"> </w:t>
      </w:r>
      <w:r>
        <w:t xml:space="preserve">‘</w:t>
      </w:r>
      <w:r>
        <w:t xml:space="preserve">Organic compounds</w:t>
      </w:r>
      <w:r>
        <w:t xml:space="preserve">’</w:t>
      </w:r>
      <w:r>
        <w:t xml:space="preserve">,</w:t>
      </w:r>
      <w:r>
        <w:t xml:space="preserve"> </w:t>
      </w:r>
      <w:r>
        <w:t xml:space="preserve">which covers almost all compounds that can be detected in metabolomics</w:t>
      </w:r>
      <w:r>
        <w:t xml:space="preserve"> </w:t>
      </w:r>
      <w:r>
        <w:t xml:space="preserve">data, is too large in scope to be of any help to our biological research.</w:t>
      </w:r>
      <w:r>
        <w:t xml:space="preserve"> </w:t>
      </w:r>
      <w:r>
        <w:t xml:space="preserve">The setting of parameters is not absolute, and there is no optimal</w:t>
      </w:r>
      <w:r>
        <w:t xml:space="preserve"> </w:t>
      </w:r>
      <w:r>
        <w:t xml:space="preserve">solution. Users can draw up thresholds according to the necessity of the</w:t>
      </w:r>
      <w:r>
        <w:t xml:space="preserve"> </w:t>
      </w:r>
      <w:r>
        <w:t xml:space="preserve">study.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score</w:t>
      </w:r>
      <w:r>
        <w:rPr>
          <w:iCs/>
          <w:i/>
        </w:rPr>
        <w:t xml:space="preserve">’</w:t>
      </w:r>
      <w:r>
        <w:t xml:space="preserve"> </w:t>
      </w:r>
      <w:r>
        <w:t xml:space="preserve">(Goodness assessment). This step associate Stardust</w:t>
      </w:r>
      <w:r>
        <w:t xml:space="preserve"> </w:t>
      </w:r>
      <w:r>
        <w:t xml:space="preserve">Classes data with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For each group, the Goodness</w:t>
      </w:r>
      <w:r>
        <w:t xml:space="preserve"> </w:t>
      </w:r>
      <w:r>
        <w:t xml:space="preserve">assessment is performed for each target attribute (continuous attribute,</w:t>
      </w:r>
      <w:r>
        <w:t xml:space="preserve"> </w:t>
      </w:r>
      <w:r>
        <w:t xml:space="preserve">generally be a scoring attribute of compound identification, such as</w:t>
      </w:r>
      <w:r>
        <w:t xml:space="preserve"> </w:t>
      </w:r>
      <w:r>
        <w:t xml:space="preserve">‘</w:t>
      </w:r>
      <w:r>
        <w:t xml:space="preserve">Tanimoto</w:t>
      </w:r>
      <w:r>
        <w:t xml:space="preserve"> </w:t>
      </w:r>
      <w:r>
        <w:t xml:space="preserve">similarity</w:t>
      </w:r>
      <w:r>
        <w:t xml:space="preserve">’</w:t>
      </w:r>
      <w:r>
        <w:t xml:space="preserve">). If the group met all the expected Goodness, the chemical class</w:t>
      </w:r>
      <w:r>
        <w:t xml:space="preserve"> </w:t>
      </w:r>
      <w:r>
        <w:t xml:space="preserve">would be retained; otherwise, the chemical class would be filtered out. The</w:t>
      </w:r>
      <w:r>
        <w:t xml:space="preserve"> </w:t>
      </w:r>
      <w:r>
        <w:t xml:space="preserve">Goodness (</w:t>
      </w:r>
      <m:oMath>
        <m:r>
          <m:t>G</m:t>
        </m:r>
      </m:oMath>
      <w:r>
        <w:t xml:space="preserve">) related with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within the group: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which target attributes satisfied with the</w:t>
      </w:r>
      <w:r>
        <w:t xml:space="preserve"> </w:t>
      </w:r>
      <w:r>
        <w:t xml:space="preserve">cut-off.</w:t>
      </w:r>
    </w:p>
    <w:p>
      <w:pPr>
        <w:numPr>
          <w:ilvl w:val="0"/>
          <w:numId w:val="1004"/>
        </w:numPr>
      </w:pPr>
      <m:oMath>
        <m:r>
          <m:t>N</m:t>
        </m:r>
      </m:oMath>
      <w:r>
        <w:t xml:space="preserve">: the quantity of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p>
      <w:pPr>
        <w:pStyle w:val="38"/>
      </w:pPr>
      <w:r>
        <w:t xml:space="preserve">The Goodness: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3"/>
      </w:pPr>
      <w:r>
        <w:t xml:space="preserve">The assessment of Goodness is related to the parameters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:</w:t>
      </w:r>
    </w:p>
    <w:p>
      <w:pPr>
        <w:numPr>
          <w:ilvl w:val="0"/>
          <w:numId w:val="1005"/>
        </w:numPr>
        <w:pStyle w:val="186"/>
      </w:pPr>
      <w:r>
        <w:t xml:space="preserve">Expected Goodness, i.e. value of</w:t>
      </w:r>
      <w:r>
        <w:t xml:space="preserve"> </w:t>
      </w:r>
      <w:r>
        <w:t xml:space="preserve">‘</w:t>
      </w:r>
      <w:r>
        <w:t xml:space="preserve">tolerance</w:t>
      </w:r>
      <w:r>
        <w:t xml:space="preserve">’</w:t>
      </w:r>
      <w:r>
        <w:t xml:space="preserve">.</w:t>
      </w:r>
    </w:p>
    <w:p>
      <w:pPr>
        <w:numPr>
          <w:ilvl w:val="0"/>
          <w:numId w:val="1005"/>
        </w:numPr>
        <w:pStyle w:val="186"/>
      </w:pPr>
      <w:r>
        <w:t xml:space="preserve">Actual Goodness, related to parameter</w:t>
      </w:r>
      <w:r>
        <w:t xml:space="preserve"> </w:t>
      </w:r>
      <w:r>
        <w:t xml:space="preserve">‘</w:t>
      </w:r>
      <w:r>
        <w:t xml:space="preserve">cutoff</w:t>
      </w:r>
      <w:r>
        <w:t xml:space="preserve">’</w:t>
      </w:r>
      <w:r>
        <w:t xml:space="preserve">.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p>
      <w:pPr>
        <w:pStyle w:val="38"/>
      </w:pPr>
      <w:r>
        <w:t xml:space="preserve">Goodness assessment can be given to plural target attributes. Note that the</w:t>
      </w:r>
      <w:r>
        <w:t xml:space="preserve"> </w:t>
      </w:r>
      <w:r>
        <w:t xml:space="preserve">chemical class would retained only if it passed the Goodness assessment of all</w:t>
      </w:r>
      <w:r>
        <w:t xml:space="preserve"> </w:t>
      </w:r>
      <w:r>
        <w:t xml:space="preserve">target attributes. The main purpose of this step is to filter out those</w:t>
      </w:r>
      <w:r>
        <w:t xml:space="preserve"> </w:t>
      </w:r>
      <w:r>
        <w:t xml:space="preserve">chemical classes with too many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low structural identification.</w:t>
      </w:r>
    </w:p>
    <w:p>
      <w:pPr>
        <w:pStyle w:val="3"/>
      </w:pPr>
      <w:r>
        <w:rPr>
          <w:iCs/>
          <w:i/>
        </w:rPr>
        <w:t xml:space="preserve">Cross filter by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identical</w:t>
      </w:r>
      <w:r>
        <w:rPr>
          <w:iCs/>
          <w:i/>
        </w:rPr>
        <w:t xml:space="preserve">’</w:t>
      </w:r>
      <w:r>
        <w:t xml:space="preserve"> </w:t>
      </w:r>
      <w:r>
        <w:t xml:space="preserve">(identicality assessment). A similarity</w:t>
      </w:r>
      <w:r>
        <w:t xml:space="preserve"> </w:t>
      </w:r>
      <w:r>
        <w:t xml:space="preserve">assessment of chemical classes. Set a hierarchical range for chemical</w:t>
      </w:r>
      <w:r>
        <w:t xml:space="preserve"> </w:t>
      </w:r>
      <w:r>
        <w:t xml:space="preserve">classification and let groups within this range be compared for similarity to</w:t>
      </w:r>
      <w:r>
        <w:t xml:space="preserve"> </w:t>
      </w:r>
      <w:r>
        <w:t xml:space="preserve">each other. For two groups, if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almost identical to</w:t>
      </w:r>
      <w:r>
        <w:t xml:space="preserve"> </w:t>
      </w:r>
      <w:r>
        <w:t xml:space="preserve">each other, the chemical class represented by one of the groups would be</w:t>
      </w:r>
      <w:r>
        <w:t xml:space="preserve"> </w:t>
      </w:r>
      <w:r>
        <w:t xml:space="preserve">discarded. The assessment of identical degree of two groups (A and B):</w:t>
      </w:r>
    </w:p>
    <w:p>
      <w:pPr>
        <w:numPr>
          <w:ilvl w:val="0"/>
          <w:numId w:val="1006"/>
        </w:numPr>
        <w:pStyle w:val="186"/>
      </w:pPr>
      <m:oMath>
        <m:r>
          <m:t>x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A belonging to B</w:t>
      </w:r>
    </w:p>
    <w:p>
      <w:pPr>
        <w:numPr>
          <w:ilvl w:val="0"/>
          <w:numId w:val="1006"/>
        </w:numPr>
        <w:pStyle w:val="186"/>
      </w:pPr>
      <m:oMath>
        <m:r>
          <m:t>y</m:t>
        </m:r>
      </m:oMath>
      <w:r>
        <w:t xml:space="preserve">: ratio of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B belonging to A</w:t>
      </w:r>
    </w:p>
    <w:p>
      <w:pPr>
        <w:numPr>
          <w:ilvl w:val="0"/>
          <w:numId w:val="1006"/>
        </w:numPr>
        <w:pStyle w:val="186"/>
      </w:pPr>
      <m:oMath>
        <m:r>
          <m:t>i</m:t>
        </m:r>
      </m:oMath>
      <w:r>
        <w:t xml:space="preserve">: value of parameter</w:t>
      </w:r>
      <w:r>
        <w:t xml:space="preserve"> </w:t>
      </w:r>
      <w:r>
        <w:t xml:space="preserve">‘</w:t>
      </w:r>
      <w:r>
        <w:t xml:space="preserve">identical_factor</w:t>
      </w:r>
      <w:r>
        <w:t xml:space="preserve">’</w:t>
      </w:r>
    </w:p>
    <w:p>
      <w:pPr>
        <w:pStyle w:val="38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&gt;</m:t>
        </m:r>
        <m:r>
          <m:t>i</m:t>
        </m:r>
      </m:oMath>
      <w:r>
        <w:t xml:space="preserve">, the two groups would be considered as identical. Then</w:t>
      </w:r>
      <w:r>
        <w:t xml:space="preserve"> </w:t>
      </w:r>
      <w:r>
        <w:t xml:space="preserve">the group with fewer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would be discarded. The purpose of this step is</w:t>
      </w:r>
      <w:r>
        <w:t xml:space="preserve"> </w:t>
      </w:r>
      <w:r>
        <w:t xml:space="preserve">to filter out classes that may incorporate each other and are similar in scope.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in silico</w:t>
      </w:r>
      <w:r>
        <w:t xml:space="preserve"> </w:t>
      </w:r>
      <w:r>
        <w:t xml:space="preserve">prediection approach may not be able to distinguish which class</w:t>
      </w:r>
      <w:r>
        <w:t xml:space="preserve"> </w:t>
      </w:r>
      <w:r>
        <w:t xml:space="preserve">the potential compound belongs to from the LC-MS/MS spectra.</w:t>
      </w:r>
    </w:p>
    <w:p>
      <w:pPr>
        <w:pStyle w:val="3"/>
      </w:pPr>
      <w:r>
        <w:rPr>
          <w:bCs/>
          <w:b/>
        </w:rPr>
        <w:t xml:space="preserve">Network graph presentation</w:t>
      </w:r>
      <w:r>
        <w:t xml:space="preserve"> </w:t>
      </w:r>
      <w:r>
        <w:t xml:space="preserve">As mentioned above,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and their</w:t>
      </w:r>
      <w:r>
        <w:t xml:space="preserve"> </w:t>
      </w:r>
      <w:r>
        <w:t xml:space="preserve">annotations were integrated as Nebulae according to the Nebula-Index. These</w:t>
      </w:r>
      <w:r>
        <w:t xml:space="preserve"> </w:t>
      </w:r>
      <w:r>
        <w:t xml:space="preserve">Nebulae were network-type graph data.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contains</w:t>
      </w:r>
      <w:r>
        <w:t xml:space="preserve"> </w:t>
      </w:r>
      <w:r>
        <w:t xml:space="preserve">top candidate of chemical formula and structure (obtained with the MCnebula</w:t>
      </w:r>
      <w:r>
        <w:t xml:space="preserve"> </w:t>
      </w:r>
      <w:r>
        <w:t xml:space="preserve">function ’filter_*()</w:t>
      </w:r>
      <w:r>
        <w:t xml:space="preserve">‘</w:t>
      </w:r>
      <w:r>
        <w:t xml:space="preserve">). The MS/MS spectral similarity (dotproduct) of the</w:t>
      </w:r>
      <w:r>
        <w:t xml:space="preserve"> </w:t>
      </w:r>
      <w:r>
        <w:t xml:space="preserve">’features</w:t>
      </w:r>
      <w:r>
        <w:t xml:space="preserve">’</w:t>
      </w:r>
      <w:r>
        <w:t xml:space="preserve"> </w:t>
      </w:r>
      <w:r>
        <w:t xml:space="preserve">was calculated and used to form the edge data for the network graph.</w:t>
      </w:r>
    </w:p>
    <w:p>
      <w:pPr>
        <w:pStyle w:val="3"/>
      </w:pPr>
      <w:r>
        <w:rPr>
          <w:bCs/>
          <w:b/>
        </w:rPr>
        <w:t xml:space="preserve">Visualization system</w:t>
      </w:r>
      <w:r>
        <w:t xml:space="preserve"> </w:t>
      </w:r>
      <w:r>
        <w:t xml:space="preserve">MCnebula used a number of existing R packages to</w:t>
      </w:r>
      <w:r>
        <w:t xml:space="preserve"> </w:t>
      </w:r>
      <w:r>
        <w:t xml:space="preserve">integrate and reformat data</w:t>
      </w:r>
      <w:r>
        <w:t xml:space="preserve"> </w:t>
      </w:r>
      <w:r>
        <w:t xml:space="preserve">[</w:t>
      </w:r>
      <w:hyperlink w:anchor="ref-2021z">
        <w:r>
          <w:rPr>
            <w:rStyle w:val="24"/>
          </w:rPr>
          <w:t xml:space="preserve">83</w:t>
        </w:r>
      </w:hyperlink>
      <w:r>
        <w:t xml:space="preserve">–</w:t>
      </w:r>
      <w:hyperlink w:anchor="ref-2020u">
        <w:r>
          <w:rPr>
            <w:rStyle w:val="24"/>
          </w:rPr>
          <w:t xml:space="preserve">90</w:t>
        </w:r>
      </w:hyperlink>
      <w:r>
        <w:t xml:space="preserve">]</w:t>
      </w:r>
      <w:r>
        <w:t xml:space="preserve">. In particular, the network graph data was equipped with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 for visualization. The ggplot2 package is known for its</w:t>
      </w:r>
      <w:r>
        <w:t xml:space="preserve"> </w:t>
      </w:r>
      <w:r>
        <w:t xml:space="preserve">elaborate and aesthetic mapping characteristics. We designed the</w:t>
      </w:r>
      <w:r>
        <w:t xml:space="preserve"> </w:t>
      </w:r>
      <w:r>
        <w:t xml:space="preserve">‘</w:t>
      </w:r>
      <w:r>
        <w:t xml:space="preserve">ggset</w:t>
      </w:r>
      <w:r>
        <w:t xml:space="preserve">’</w:t>
      </w:r>
      <w:r>
        <w:t xml:space="preserve"> </w:t>
      </w:r>
      <w:r>
        <w:t xml:space="preserve">data</w:t>
      </w:r>
      <w:r>
        <w:t xml:space="preserve"> </w:t>
      </w:r>
      <w:r>
        <w:t xml:space="preserve">class to store pre-defined ggplot2 plotting functions and parameters for</w:t>
      </w:r>
      <w:r>
        <w:t xml:space="preserve"> </w:t>
      </w:r>
      <w:r>
        <w:t xml:space="preserve">visualizing Nebulae. This allows users to completely customize the</w:t>
      </w:r>
      <w:r>
        <w:t xml:space="preserve"> </w:t>
      </w:r>
      <w:r>
        <w:t xml:space="preserve">visualization to suit their needs or the needs of the publisher. Its</w:t>
      </w:r>
      <w:r>
        <w:t xml:space="preserve"> </w:t>
      </w:r>
      <w:r>
        <w:t xml:space="preserve">flexibility depends on the user’s knowledge of the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 </w:t>
      </w:r>
      <w:r>
        <w:t xml:space="preserve">package. If users</w:t>
      </w:r>
      <w:r>
        <w:t xml:space="preserve"> </w:t>
      </w:r>
      <w:r>
        <w:t xml:space="preserve">were not experienced in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  <w:r>
        <w:t xml:space="preserve">, then just follow the preset to</w:t>
      </w:r>
      <w:r>
        <w:t xml:space="preserve"> </w:t>
      </w:r>
      <w:r>
        <w:t xml:space="preserve">visualization.</w:t>
      </w:r>
    </w:p>
    <w:p>
      <w:pPr>
        <w:pStyle w:val="3"/>
      </w:pPr>
      <w:r>
        <w:rPr>
          <w:bCs/>
          <w:b/>
        </w:rPr>
        <w:t xml:space="preserve">Statistic analysis</w:t>
      </w:r>
      <w:r>
        <w:t xml:space="preserve"> </w:t>
      </w:r>
      <w:r>
        <w:t xml:space="preserve">MCnebula integrated the functions (mainly for:</w:t>
      </w:r>
      <w:r>
        <w:t xml:space="preserve"> </w:t>
      </w:r>
      <w:r>
        <w:t xml:space="preserve">‘</w:t>
      </w:r>
      <w:r>
        <w:t xml:space="preserve">limma::makeContrasts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limma::lmFit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limma::lmFit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limma::eBayes</w:t>
      </w:r>
      <w:r>
        <w:t xml:space="preserve">’</w:t>
      </w:r>
      <w:r>
        <w:t xml:space="preserve">) 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 for differential expression analysis (analysis of RNA-sequence</w:t>
      </w:r>
      <w:r>
        <w:t xml:space="preserve"> </w:t>
      </w:r>
      <w:r>
        <w:t xml:space="preserve">and microarray) and packaged them for differential analysis of metabolomics</w:t>
      </w:r>
      <w:r>
        <w:t xml:space="preserve"> </w:t>
      </w:r>
      <w:r>
        <w:t xml:space="preserve">data</w:t>
      </w:r>
      <w:r>
        <w:t xml:space="preserve"> </w:t>
      </w:r>
      <w:r>
        <w:t xml:space="preserve">[</w:t>
      </w:r>
      <w:hyperlink w:anchor="ref-gentleman_limma_2005-1">
        <w:r>
          <w:rPr>
            <w:rStyle w:val="24"/>
          </w:rPr>
          <w:t xml:space="preserve">91</w:t>
        </w:r>
      </w:hyperlink>
      <w:r>
        <w:t xml:space="preserve">,</w:t>
      </w:r>
      <w:hyperlink w:anchor="ref-ritchie_limma_2015">
        <w:r>
          <w:rPr>
            <w:rStyle w:val="24"/>
          </w:rPr>
          <w:t xml:space="preserve">92</w:t>
        </w:r>
      </w:hyperlink>
      <w:r>
        <w:t xml:space="preserve">]</w:t>
      </w:r>
      <w:r>
        <w:t xml:space="preserve">. The gene expression</w:t>
      </w:r>
      <w:r>
        <w:t xml:space="preserve"> </w:t>
      </w:r>
      <w:r>
        <w:t xml:space="preserve">matrix and the feature quantification matrix of LC-MS are similar in that both</w:t>
      </w:r>
      <w:r>
        <w:t xml:space="preserve"> </w:t>
      </w:r>
      <w:r>
        <w:t xml:space="preserve">have corresponding explanatory variables (sample information) and dependent</w:t>
      </w:r>
      <w:r>
        <w:t xml:space="preserve"> </w:t>
      </w:r>
      <w:r>
        <w:t xml:space="preserve">variables (gene expression values or feature quantification values), except</w:t>
      </w:r>
      <w:r>
        <w:t xml:space="preserve"> </w:t>
      </w:r>
      <w:r>
        <w:t xml:space="preserve">that one represents the level of gene expression and the other the level of</w:t>
      </w:r>
      <w:r>
        <w:t xml:space="preserve"> </w:t>
      </w:r>
      <w:r>
        <w:t xml:space="preserve">metabolite. We normalized the peak area levels of the features and transformed</w:t>
      </w:r>
      <w:r>
        <w:t xml:space="preserve"> </w:t>
      </w:r>
      <w:r>
        <w:t xml:space="preserve">(log2) them, used the metadata information of the samples to create the design</w:t>
      </w:r>
      <w:r>
        <w:t xml:space="preserve"> </w:t>
      </w:r>
      <w:r>
        <w:t xml:space="preserve">matrix and the contrast matrix</w:t>
      </w:r>
      <w:r>
        <w:t xml:space="preserve"> </w:t>
      </w:r>
      <w:r>
        <w:t xml:space="preserve">[</w:t>
      </w:r>
      <w:hyperlink w:anchor="ref-gentleman_limma_2005-1">
        <w:r>
          <w:rPr>
            <w:rStyle w:val="24"/>
          </w:rPr>
          <w:t xml:space="preserve">91</w:t>
        </w:r>
      </w:hyperlink>
      <w:r>
        <w:t xml:space="preserve">,</w:t>
      </w:r>
      <w:hyperlink w:anchor="ref-ritchie_limma_2015">
        <w:r>
          <w:rPr>
            <w:rStyle w:val="24"/>
          </w:rPr>
          <w:t xml:space="preserve">92</w:t>
        </w:r>
      </w:hyperlink>
      <w:r>
        <w:t xml:space="preserve">]</w:t>
      </w:r>
      <w:r>
        <w:t xml:space="preserve">;</w:t>
      </w:r>
      <w:r>
        <w:t xml:space="preserve"> </w:t>
      </w:r>
      <w:r>
        <w:t xml:space="preserve">thus even if the data itself is not gene related, it can be performed</w:t>
      </w:r>
      <w:r>
        <w:t xml:space="preserve"> </w:t>
      </w:r>
      <w:r>
        <w:t xml:space="preserve">differential analysis using the tools of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package. The</w:t>
      </w:r>
      <w:r>
        <w:t xml:space="preserve"> </w:t>
      </w:r>
      <w:r>
        <w:t xml:space="preserve">‘</w:t>
      </w:r>
      <w:r>
        <w:t xml:space="preserve">limma</w:t>
      </w:r>
      <w:r>
        <w:t xml:space="preserve">’</w:t>
      </w:r>
      <w:r>
        <w:t xml:space="preserve"> </w:t>
      </w:r>
      <w:r>
        <w:t xml:space="preserve">is a</w:t>
      </w:r>
      <w:r>
        <w:t xml:space="preserve"> </w:t>
      </w:r>
      <w:r>
        <w:t xml:space="preserve">powerful package for differential analysis using linear models that can handle</w:t>
      </w:r>
      <w:r>
        <w:t xml:space="preserve"> </w:t>
      </w:r>
      <w:r>
        <w:t xml:space="preserve">not only simple experimental designs in which the explanatory variables are</w:t>
      </w:r>
      <w:r>
        <w:t xml:space="preserve"> </w:t>
      </w:r>
      <w:r>
        <w:t xml:space="preserve">factors (e.g., Control group versus Model group), but also complex experimental</w:t>
      </w:r>
      <w:r>
        <w:t xml:space="preserve"> </w:t>
      </w:r>
      <w:r>
        <w:t xml:space="preserve">designs in which the explanatory variables are covariates (e.g., groups</w:t>
      </w:r>
      <w:r>
        <w:t xml:space="preserve"> </w:t>
      </w:r>
      <w:r>
        <w:t xml:space="preserve">containing time series). However, our packaged method was only appropriate to</w:t>
      </w:r>
      <w:r>
        <w:t xml:space="preserve"> </w:t>
      </w:r>
      <w:r>
        <w:t xml:space="preserve">experimental designs in which explanatory variables are factorial variables and</w:t>
      </w:r>
      <w:r>
        <w:t xml:space="preserve"> </w:t>
      </w:r>
      <w:r>
        <w:t xml:space="preserve">the design matrix without intercept (code:</w:t>
      </w:r>
      <w:r>
        <w:t xml:space="preserve"> </w:t>
      </w:r>
      <w:r>
        <w:t xml:space="preserve">‘</w:t>
      </w:r>
      <w:r>
        <w:t xml:space="preserve">model.matrix(~ 0 + group)</w:t>
      </w:r>
      <w:r>
        <w:t xml:space="preserve">’</w:t>
      </w:r>
      <w:r>
        <w:t xml:space="preserve">)</w:t>
      </w:r>
      <w:r>
        <w:t xml:space="preserve"> </w:t>
      </w:r>
      <w:r>
        <w:t xml:space="preserve">[</w:t>
      </w:r>
      <w:hyperlink w:anchor="ref-law_guide_2020">
        <w:r>
          <w:rPr>
            <w:rStyle w:val="24"/>
          </w:rPr>
          <w:t xml:space="preserve">93</w:t>
        </w:r>
      </w:hyperlink>
      <w:r>
        <w:t xml:space="preserve">]</w:t>
      </w:r>
      <w:r>
        <w:t xml:space="preserve">. Because of its simple applicability, we called it as</w:t>
      </w:r>
      <w:r>
        <w:t xml:space="preserve"> </w:t>
      </w:r>
      <w:r>
        <w:t xml:space="preserve">‘</w:t>
      </w:r>
      <w:r>
        <w:t xml:space="preserve">binary</w:t>
      </w:r>
      <w:r>
        <w:t xml:space="preserve"> </w:t>
      </w:r>
      <w:r>
        <w:t xml:space="preserve">comparison</w:t>
      </w:r>
      <w:r>
        <w:t xml:space="preserve">’</w:t>
      </w:r>
      <w:r>
        <w:t xml:space="preserve">. Our evaluation section does not cover its evaluation (as it is</w:t>
      </w:r>
      <w:r>
        <w:t xml:space="preserve"> </w:t>
      </w:r>
      <w:r>
        <w:t xml:space="preserve">not the main part of this study), but we used it in two demo datasets and</w:t>
      </w:r>
      <w:r>
        <w:t xml:space="preserve"> </w:t>
      </w:r>
      <w:r>
        <w:t xml:space="preserve">validated them to some extent: in the serum dataset, we compared our obtained</w:t>
      </w:r>
      <w:r>
        <w:t xml:space="preserve"> </w:t>
      </w:r>
      <w:r>
        <w:t xml:space="preserve">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that of Wozniak et al.</w:t>
      </w:r>
      <w:r>
        <w:t xml:space="preserve"> </w:t>
      </w:r>
      <w:r>
        <w:t xml:space="preserve">[</w:t>
      </w:r>
      <w:hyperlink w:anchor="ref-2020s">
        <w:r>
          <w:rPr>
            <w:rStyle w:val="24"/>
          </w:rPr>
          <w:t xml:space="preserve">65</w:t>
        </w:r>
      </w:hyperlink>
      <w:r>
        <w:t xml:space="preserve">]</w:t>
      </w:r>
      <w:r>
        <w:t xml:space="preserve">; in the herbal dataset, we</w:t>
      </w:r>
      <w:r>
        <w:t xml:space="preserve"> </w:t>
      </w:r>
      <w:r>
        <w:t xml:space="preserve">traced the obtained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the EIC plot.</w:t>
      </w:r>
    </w:p>
    <w:p>
      <w:pPr>
        <w:pStyle w:val="3"/>
      </w:pPr>
      <w:r>
        <w:rPr>
          <w:bCs/>
          <w:b/>
        </w:rPr>
        <w:t xml:space="preserve">Data structure</w:t>
      </w:r>
      <w:r>
        <w:t xml:space="preserve"> </w:t>
      </w:r>
      <w:r>
        <w:t xml:space="preserve">MCnebula was written mainly in R S4 system of</w:t>
      </w:r>
      <w:r>
        <w:t xml:space="preserve"> </w:t>
      </w:r>
      <w:r>
        <w:t xml:space="preserve">object-oriented programming. When analyzing data with MCnebula, all data</w:t>
      </w:r>
      <w:r>
        <w:t xml:space="preserve"> </w:t>
      </w:r>
      <w:r>
        <w:t xml:space="preserve">(whether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 or visualization data) was stored in a one</w:t>
      </w:r>
      <w:r>
        <w:t xml:space="preserve"> </w:t>
      </w:r>
      <w:r>
        <w:t xml:space="preserve">object (class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). This reduced the difficulty of using the MCnebula</w:t>
      </w:r>
      <w:r>
        <w:t xml:space="preserve"> </w:t>
      </w:r>
      <w:r>
        <w:t xml:space="preserve">package, and made the data easy to manage and the analysis easy to repeat.</w:t>
      </w:r>
    </w:p>
    <w:p>
      <w:pPr>
        <w:pStyle w:val="3"/>
      </w:pPr>
      <w:r>
        <w:rPr>
          <w:bCs/>
          <w:b/>
        </w:rPr>
        <w:t xml:space="preserve">Report system</w:t>
      </w:r>
      <w:r>
        <w:t xml:space="preserve"> </w:t>
      </w:r>
      <w:r>
        <w:t xml:space="preserve">MCnebula integrated a reporting system that allows the</w:t>
      </w:r>
      <w:r>
        <w:t xml:space="preserve"> </w:t>
      </w:r>
      <w:r>
        <w:t xml:space="preserve">analysis process to be output as a PDF document or in other formats. The</w:t>
      </w:r>
      <w:r>
        <w:t xml:space="preserve"> </w:t>
      </w:r>
      <w:r>
        <w:t xml:space="preserve">reporting system was based on the data class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, which could stores each</w:t>
      </w:r>
      <w:r>
        <w:t xml:space="preserve"> </w:t>
      </w:r>
      <w:r>
        <w:t xml:space="preserve">step of the analysis as a section and could be flexibly modified according to</w:t>
      </w:r>
      <w:r>
        <w:t xml:space="preserve"> </w:t>
      </w:r>
      <w:r>
        <w:t xml:space="preserve">the user’s needs. In addition, the reporting system can be used to generate</w:t>
      </w:r>
      <w:r>
        <w:t xml:space="preserve"> </w:t>
      </w:r>
      <w:r>
        <w:t xml:space="preserve">reports even if the analysis is completely irrelevant to MCnebula package.</w:t>
      </w:r>
      <w:r>
        <w:t xml:space="preserve"> </w:t>
      </w:r>
      <w:r>
        <w:t xml:space="preserve">The reporting system was associated with the</w:t>
      </w:r>
      <w:r>
        <w:t xml:space="preserve"> </w:t>
      </w:r>
      <w:r>
        <w:t xml:space="preserve">‘</w:t>
      </w:r>
      <w:r>
        <w:t xml:space="preserve">rmarkdown</w:t>
      </w:r>
      <w:r>
        <w:t xml:space="preserve">’</w:t>
      </w:r>
      <w:r>
        <w:t xml:space="preserve"> </w:t>
      </w:r>
      <w:r>
        <w:t xml:space="preserve">R package</w:t>
      </w:r>
      <w:r>
        <w:t xml:space="preserve"> </w:t>
      </w:r>
      <w:r>
        <w:t xml:space="preserve">[</w:t>
      </w:r>
      <w:hyperlink w:anchor="ref-allaire_rmarkdown_2022">
        <w:r>
          <w:rPr>
            <w:rStyle w:val="24"/>
          </w:rPr>
          <w:t xml:space="preserve">94</w:t>
        </w:r>
      </w:hyperlink>
      <w:r>
        <w:t xml:space="preserve">–</w:t>
      </w:r>
      <w:hyperlink w:anchor="ref-xie_r_2018">
        <w:r>
          <w:rPr>
            <w:rStyle w:val="24"/>
          </w:rPr>
          <w:t xml:space="preserve">96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rPr>
          <w:bCs/>
          <w:b/>
        </w:rPr>
        <w:t xml:space="preserve">Code Compatibility</w:t>
      </w:r>
      <w:r>
        <w:t xml:space="preserve"> </w:t>
      </w:r>
      <w:r>
        <w:t xml:space="preserve">MCnebula performs downstream analysis by extracting the</w:t>
      </w:r>
      <w:r>
        <w:t xml:space="preserve"> </w:t>
      </w:r>
      <w:r>
        <w:t xml:space="preserve">data from the already computed SIRIUS project. The SIRIUS project is the main</w:t>
      </w:r>
      <w:r>
        <w:t xml:space="preserve"> </w:t>
      </w:r>
      <w:r>
        <w:t xml:space="preserve">source of data for MCnebula 2. The SIRIUS software is still being updated and</w:t>
      </w:r>
      <w:r>
        <w:t xml:space="preserve"> </w:t>
      </w:r>
      <w:r>
        <w:t xml:space="preserve">improved. In fact, from SIRIUS version 4 to version 5</w:t>
      </w:r>
      <w:r>
        <w:t xml:space="preserve"> </w:t>
      </w:r>
      <w:r>
        <w:t xml:space="preserve">(</w:t>
      </w:r>
      <w:hyperlink r:id="rId30">
        <w:r>
          <w:rPr>
            <w:rStyle w:val="24"/>
          </w:rPr>
          <w:t xml:space="preserve">https://github.com/boecker-lab/sirius</w:t>
        </w:r>
      </w:hyperlink>
      <w:r>
        <w:t xml:space="preserve">), the data structure and attributes</w:t>
      </w:r>
      <w:r>
        <w:t xml:space="preserve"> </w:t>
      </w:r>
      <w:r>
        <w:t xml:space="preserve">name in the project directory have changed. In order that the functionality of</w:t>
      </w:r>
      <w:r>
        <w:t xml:space="preserve"> </w:t>
      </w:r>
      <w:r>
        <w:t xml:space="preserve">MCnebula is not invalidated due to versioning issues, its application program</w:t>
      </w:r>
      <w:r>
        <w:t xml:space="preserve"> </w:t>
      </w:r>
      <w:r>
        <w:t xml:space="preserve">interface (API) for the SIRIUS project has been designed to be flexible.</w:t>
      </w:r>
      <w:r>
        <w:t xml:space="preserve"> </w:t>
      </w:r>
      <w:r>
        <w:t xml:space="preserve">MCnebula is able to perform data extraction for different SIRIUS versions.</w:t>
      </w:r>
    </w:p>
    <w:bookmarkEnd w:id="31"/>
    <w:bookmarkStart w:id="34" w:name="mcnebula-evaluation"/>
    <w:p>
      <w:pPr>
        <w:pStyle w:val="4"/>
      </w:pPr>
      <w:r>
        <w:t xml:space="preserve">MCnebula evaluation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Spectra dataset for evaluation.</w:t>
      </w:r>
      <w:r>
        <w:t xml:space="preserve"> </w:t>
      </w:r>
      <w:r>
        <w:t xml:space="preserve">The spectra collection (in</w:t>
      </w:r>
      <w:r>
        <w:t xml:space="preserve"> </w:t>
      </w:r>
      <w:r>
        <w:t xml:space="preserve">positive ion mode, for more spectra data) of GNPS MS/MS library were used for</w:t>
      </w:r>
      <w:r>
        <w:t xml:space="preserve"> </w:t>
      </w:r>
      <w:r>
        <w:t xml:space="preserve">evaluation (.msp file)</w:t>
      </w:r>
      <w:r>
        <w:t xml:space="preserve"> </w:t>
      </w:r>
      <w:r>
        <w:t xml:space="preserve">(</w:t>
      </w:r>
      <w:hyperlink r:id="rId32">
        <w:r>
          <w:rPr>
            <w:rStyle w:val="24"/>
          </w:rPr>
          <w:t xml:space="preserve">http://prime.psc.riken.jp/compms/msdial/main.html#MSP</w:t>
        </w:r>
      </w:hyperlink>
      <w:r>
        <w:t xml:space="preserve">). As Fragmentation</w:t>
      </w:r>
      <w:r>
        <w:t xml:space="preserve"> </w:t>
      </w:r>
      <w:r>
        <w:t xml:space="preserve">spectra in reference library generally possess high quality, and while used for</w:t>
      </w:r>
      <w:r>
        <w:t xml:space="preserve"> </w:t>
      </w:r>
      <w:r>
        <w:t xml:space="preserve">evaluation of library match, it may caused overfitting. To address the issue,</w:t>
      </w:r>
      <w:r>
        <w:t xml:space="preserve"> </w:t>
      </w:r>
      <w:r>
        <w:t xml:space="preserve">refer to ref.</w:t>
      </w:r>
      <w:r>
        <w:t xml:space="preserve"> </w:t>
      </w:r>
      <w:r>
        <w:t xml:space="preserve">[</w:t>
      </w:r>
      <w:hyperlink w:anchor="ref-2021">
        <w:r>
          <w:rPr>
            <w:rStyle w:val="24"/>
          </w:rPr>
          <w:t xml:space="preserve">97</w:t>
        </w:r>
      </w:hyperlink>
      <w:r>
        <w:t xml:space="preserve">]</w:t>
      </w:r>
      <w:r>
        <w:t xml:space="preserve">, we added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into these MS/MS spectra. In brief, the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involves mass shift, intensity shift, and the inserted noise peak; of</w:t>
      </w:r>
      <w:r>
        <w:t xml:space="preserve"> </w:t>
      </w:r>
      <w:r>
        <w:t xml:space="preserve">note, the magnitude factors for these shift were drawn randomly from function</w:t>
      </w:r>
      <w:r>
        <w:t xml:space="preserve"> </w:t>
      </w:r>
      <w:r>
        <w:t xml:space="preserve">of normal distribution. Overall, we simulated two model of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(medium</w:t>
      </w:r>
      <w:r>
        <w:t xml:space="preserve"> </w:t>
      </w:r>
      <w:r>
        <w:t xml:space="preserve">noise and high noise). The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simulation was achieved in custom R script.</w:t>
      </w:r>
      <w:r>
        <w:t xml:space="preserve"> </w:t>
      </w:r>
      <w:r>
        <w:t xml:space="preserve">The algorithm and parameters were parallel to the reference</w:t>
      </w:r>
      <w:r>
        <w:t xml:space="preserve"> </w:t>
      </w:r>
      <w:r>
        <w:t xml:space="preserve">[</w:t>
      </w:r>
      <w:hyperlink w:anchor="ref-2021">
        <w:r>
          <w:rPr>
            <w:rStyle w:val="24"/>
          </w:rPr>
          <w:t xml:space="preserve">97</w:t>
        </w:r>
      </w:hyperlink>
      <w:r>
        <w:t xml:space="preserve">]</w:t>
      </w:r>
      <w:r>
        <w:t xml:space="preserve">. We assign these</w:t>
      </w:r>
      <w:r>
        <w:t xml:space="preserve"> </w:t>
      </w:r>
      <w:r>
        <w:t xml:space="preserve">datasets as origin dataset, medium noise dataset and high noise dataset. The</w:t>
      </w:r>
      <w:r>
        <w:t xml:space="preserve"> </w:t>
      </w:r>
      <w:r>
        <w:t xml:space="preserve">details of simulation of noise were as following:</w:t>
      </w:r>
    </w:p>
    <w:p>
      <w:pPr>
        <w:numPr>
          <w:ilvl w:val="0"/>
          <w:numId w:val="1007"/>
        </w:numPr>
      </w:pPr>
      <w:r>
        <w:t xml:space="preserve">A global mass shift was simulated by drawing a random number</w:t>
      </w:r>
      <w:r>
        <w:t xml:space="preserve"> </w:t>
      </w:r>
      <m:oMath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m</m:t>
                </m:r>
                <m:r>
                  <m:t>b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(Normal distribution) and then shifting every peak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sSup>
          <m:e>
            <m:r>
              <m:t>δ</m:t>
            </m:r>
          </m:e>
          <m:sup>
            <m:r>
              <m:rPr>
                <m:sty m:val="p"/>
              </m:rPr>
              <m:t>*</m:t>
            </m:r>
          </m:sup>
        </m:sSup>
        <m:r>
          <m:t>m</m:t>
        </m:r>
      </m:oMath>
      <w:r>
        <w:t xml:space="preserve">. The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</m:oMath>
      <w:r>
        <w:t xml:space="preserve"> </w:t>
      </w:r>
      <w:r>
        <w:t xml:space="preserve">was chosen as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(medium noise) or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(high noise), so that the</w:t>
      </w:r>
      <w:r>
        <w:t xml:space="preserve"> </w:t>
      </w:r>
      <m:oMath>
        <m:r>
          <m:t>3</m:t>
        </m:r>
        <m:sSub>
          <m:e>
            <m:r>
              <m:t>σ</m:t>
            </m:r>
          </m:e>
          <m:sub>
            <m:r>
              <m:t>m</m:t>
            </m:r>
            <m:r>
              <m:t>b</m:t>
            </m:r>
          </m:sub>
        </m:sSub>
      </m:oMath>
      <w:r>
        <w:t xml:space="preserve"> </w:t>
      </w:r>
      <w:r>
        <w:t xml:space="preserve">interval represents a</w:t>
      </w:r>
      <w:r>
        <w:t xml:space="preserve"> </w:t>
      </w:r>
      <w:r>
        <w:t xml:space="preserve">10-ppm shift for medium noise and a 15-ppm shift for high noise.</w:t>
      </w:r>
    </w:p>
    <w:p>
      <w:pPr>
        <w:numPr>
          <w:ilvl w:val="0"/>
          <w:numId w:val="1007"/>
        </w:numPr>
      </w:pPr>
      <w:r>
        <w:t xml:space="preserve">Individual mass deviations was simulated by drawing, for each peak with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individually, a random number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m</m:t>
                </m:r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and</w:t>
      </w:r>
      <w:r>
        <w:t xml:space="preserve"> </w:t>
      </w:r>
      <w:r>
        <w:t xml:space="preserve">shifting the peak by</w:t>
      </w:r>
      <w:r>
        <w:t xml:space="preserve"> </w:t>
      </w:r>
      <m:oMath>
        <m:r>
          <m:t>δ</m:t>
        </m:r>
        <m:r>
          <m:t>m</m:t>
        </m:r>
      </m:oMath>
      <w:r>
        <w:t xml:space="preserve">. The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 </w:t>
      </w:r>
      <w:r>
        <w:t xml:space="preserve">was</w:t>
      </w:r>
      <w:r>
        <w:t xml:space="preserve"> </w:t>
      </w:r>
      <w:r>
        <w:t xml:space="preserve">chosen so that the</w:t>
      </w:r>
      <w:r>
        <w:t xml:space="preserve"> </w:t>
      </w:r>
      <m:oMath>
        <m:r>
          <m:t>3</m:t>
        </m:r>
        <m:sSub>
          <m:e>
            <m:r>
              <m:t>σ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 </w:t>
      </w:r>
      <w:r>
        <w:t xml:space="preserve">interval represents a 10-ppm shift for medium</w:t>
      </w:r>
      <w:r>
        <w:t xml:space="preserve"> </w:t>
      </w:r>
      <w:r>
        <w:t xml:space="preserve">noise and a 20-ppm shift for high noise.</w:t>
      </w:r>
    </w:p>
    <w:p>
      <w:pPr>
        <w:numPr>
          <w:ilvl w:val="0"/>
          <w:numId w:val="1007"/>
        </w:numPr>
      </w:pPr>
      <w:r>
        <w:t xml:space="preserve">Intensity variations were simulated in the spectrum. Each peak intensity was</w:t>
      </w:r>
      <w:r>
        <w:t xml:space="preserve"> </w:t>
      </w:r>
      <w:r>
        <w:t xml:space="preserve">multiplied by an individual random number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drawn from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i</m:t>
                </m:r>
                <m:r>
                  <m:t>d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 Variance was chosen as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 medium</w:t>
      </w:r>
      <w:r>
        <w:t xml:space="preserve"> </w:t>
      </w:r>
      <w:r>
        <w:t xml:space="preserve">noise and</w:t>
      </w:r>
      <w:r>
        <w:t xml:space="preserve"> </w:t>
      </w:r>
      <m:oMath>
        <m:sSubSup>
          <m:e>
            <m:r>
              <m:t>σ</m:t>
            </m:r>
          </m:e>
          <m:sub>
            <m:r>
              <m:t>i</m:t>
            </m:r>
            <m:r>
              <m:t>d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for high noise. 0.03 times the maximum peak</w:t>
      </w:r>
      <w:r>
        <w:t xml:space="preserve"> </w:t>
      </w:r>
      <w:r>
        <w:t xml:space="preserve">intensity of the spectrum was subtracted from each peak intensity. If a peak</w:t>
      </w:r>
      <w:r>
        <w:t xml:space="preserve"> </w:t>
      </w:r>
      <w:r>
        <w:t xml:space="preserve">intensity fell below the threshold of one thousands of the maximum intensity</w:t>
      </w:r>
      <w:r>
        <w:t xml:space="preserve"> </w:t>
      </w:r>
      <w:r>
        <w:t xml:space="preserve">in the spectrum, the peak was discarded.</w:t>
      </w:r>
    </w:p>
    <w:p>
      <w:pPr>
        <w:numPr>
          <w:ilvl w:val="0"/>
          <w:numId w:val="1007"/>
        </w:numPr>
      </w:pPr>
      <w:r>
        <w:t xml:space="preserve">Additional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added to the spectrum. In processing of</w:t>
      </w:r>
      <w:r>
        <w:t xml:space="preserve"> </w:t>
      </w:r>
      <w:r>
        <w:t xml:space="preserve">origin dataset, a pool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was gathered from the fragmentation</w:t>
      </w:r>
      <w:r>
        <w:t xml:space="preserve"> </w:t>
      </w:r>
      <w:r>
        <w:t xml:space="preserve">spectra, using all peaks that did not have a molecular sub-formula</w:t>
      </w:r>
      <w:r>
        <w:t xml:space="preserve"> </w:t>
      </w:r>
      <w:r>
        <w:t xml:space="preserve">decomposition of the known molecular formula of the precursor. For each</w:t>
      </w:r>
      <w:r>
        <w:t xml:space="preserve"> </w:t>
      </w:r>
      <w:r>
        <w:t xml:space="preserve">spectrum,</w:t>
      </w:r>
      <w:r>
        <w:t xml:space="preserve"> </w:t>
      </w:r>
      <m:oMath>
        <m:r>
          <m:t>α</m:t>
        </m:r>
        <m:r>
          <m:t>n</m:t>
        </m:r>
      </m:oMath>
      <w:r>
        <w:t xml:space="preserve"> </w:t>
      </w:r>
      <w:r>
        <w:t xml:space="preserve">of these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added to the spectrum,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peaks in the spectrum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0.2</m:t>
        </m:r>
      </m:oMath>
      <w:r>
        <w:t xml:space="preserve"> </w:t>
      </w:r>
      <w:r>
        <w:t xml:space="preserve">for medium</w:t>
      </w:r>
      <w:r>
        <w:t xml:space="preserve"> </w:t>
      </w:r>
      <w:r>
        <w:t xml:space="preserve">noise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t xml:space="preserve">for high noise. Intensities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</w:t>
      </w:r>
      <w:r>
        <w:t xml:space="preserve"> </w:t>
      </w:r>
      <w:r>
        <w:t xml:space="preserve">adjusted for maximum peak intensities in the contributing and receiving</w:t>
      </w:r>
      <w:r>
        <w:t xml:space="preserve"> </w:t>
      </w:r>
      <w:r>
        <w:t xml:space="preserve">spectrum.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were randomly drew from the pool of</w:t>
      </w:r>
      <w:r>
        <w:t xml:space="preserve"> </w:t>
      </w:r>
      <w:r>
        <w:t xml:space="preserve">‘</w:t>
      </w:r>
      <w:r>
        <w:t xml:space="preserve">noise peaks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added to the spectrum.</w:t>
      </w:r>
    </w:p>
    <w:p>
      <w:pPr>
        <w:pStyle w:val="38"/>
      </w:pPr>
      <w:r>
        <w:t xml:space="preserve">   For another issue, the spectra collection did not possess isotopes</w:t>
      </w:r>
      <w:r>
        <w:t xml:space="preserve"> </w:t>
      </w:r>
      <w:r>
        <w:t xml:space="preserve">pattern. In real LC-MS processing (feature detection), isotope peaks were</w:t>
      </w:r>
      <w:r>
        <w:t xml:space="preserve"> </w:t>
      </w:r>
      <w:r>
        <w:t xml:space="preserve">grouped and merged, which favorable for SIRIUS to detect some specific element</w:t>
      </w:r>
      <w:r>
        <w:t xml:space="preserve"> </w:t>
      </w:r>
      <w:r>
        <w:t xml:space="preserve">[</w:t>
      </w:r>
      <w:hyperlink w:anchor="ref-bocker_sirius_2009">
        <w:r>
          <w:rPr>
            <w:rStyle w:val="24"/>
          </w:rPr>
          <w:t xml:space="preserve">62</w:t>
        </w:r>
      </w:hyperlink>
      <w:r>
        <w:t xml:space="preserve">]</w:t>
      </w:r>
      <w:r>
        <w:t xml:space="preserve">. To simulate isotopes pattern, we used function of</w:t>
      </w:r>
      <w:r>
        <w:t xml:space="preserve"> </w:t>
      </w:r>
      <w:r>
        <w:t xml:space="preserve">‘</w:t>
      </w:r>
      <w:r>
        <w:t xml:space="preserve">get.isotopes.pattern</w:t>
      </w:r>
      <w:r>
        <w:t xml:space="preserve">’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rcdk</w:t>
      </w:r>
      <w:r>
        <w:t xml:space="preserve">’</w:t>
      </w:r>
      <w:r>
        <w:t xml:space="preserve"> </w:t>
      </w:r>
      <w:r>
        <w:t xml:space="preserve">R package to get isotope mass and its</w:t>
      </w:r>
      <w:r>
        <w:t xml:space="preserve"> </w:t>
      </w:r>
      <w:r>
        <w:t xml:space="preserve">abundance</w:t>
      </w:r>
      <w:r>
        <w:t xml:space="preserve"> </w:t>
      </w:r>
      <w:r>
        <w:t xml:space="preserve">[</w:t>
      </w:r>
      <w:hyperlink w:anchor="ref-2007j">
        <w:r>
          <w:rPr>
            <w:rStyle w:val="24"/>
          </w:rPr>
          <w:t xml:space="preserve">98</w:t>
        </w:r>
      </w:hyperlink>
      <w:r>
        <w:t xml:space="preserve">]</w:t>
      </w:r>
      <w:r>
        <w:t xml:space="preserve">. Further, these mass were considered for the adduct type to</w:t>
      </w:r>
      <w:r>
        <w:t xml:space="preserve"> </w:t>
      </w:r>
      <w:r>
        <w:t xml:space="preserve">increase or decrease exact mass. For the</w:t>
      </w:r>
      <w:r>
        <w:t xml:space="preserve"> </w:t>
      </w:r>
      <w:r>
        <w:t xml:space="preserve">‘</w:t>
      </w:r>
      <w:r>
        <w:t xml:space="preserve">intensity</w:t>
      </w:r>
      <w:r>
        <w:t xml:space="preserve">’</w:t>
      </w:r>
      <w:r>
        <w:t xml:space="preserve"> </w:t>
      </w:r>
      <w:r>
        <w:t xml:space="preserve">of these isotopes pattern,</w:t>
      </w:r>
      <w:r>
        <w:t xml:space="preserve"> </w:t>
      </w:r>
      <w:r>
        <w:t xml:space="preserve">we simulated as relative intensity, i.e., the abundance of isotopes multiply by</w:t>
      </w:r>
      <w:r>
        <w:t xml:space="preserve"> </w:t>
      </w:r>
      <w:r>
        <w:t xml:space="preserve">100 as the value. These</w:t>
      </w:r>
      <w:r>
        <w:t xml:space="preserve"> </w:t>
      </w:r>
      <w:r>
        <w:t xml:space="preserve">‘</w:t>
      </w:r>
      <w:r>
        <w:t xml:space="preserve">isotope peaks</w:t>
      </w:r>
      <w:r>
        <w:t xml:space="preserve">’</w:t>
      </w:r>
      <w:r>
        <w:t xml:space="preserve"> </w:t>
      </w:r>
      <w:r>
        <w:t xml:space="preserve">were merged into MS</w:t>
      </w:r>
      <w:r>
        <w:rPr>
          <w:vertAlign w:val="superscript"/>
        </w:rPr>
        <w:t xml:space="preserve">1</w:t>
      </w:r>
      <w:r>
        <w:t xml:space="preserve"> </w:t>
      </w:r>
      <w:r>
        <w:t xml:space="preserve">list of its</w:t>
      </w:r>
      <w:r>
        <w:t xml:space="preserve"> </w:t>
      </w:r>
      <w:r>
        <w:t xml:space="preserve">compounds. All the spectra collections were formatted to fit with input of</w:t>
      </w:r>
      <w:r>
        <w:t xml:space="preserve"> </w:t>
      </w:r>
      <w:r>
        <w:t xml:space="preserve">MCnebula workflow or benchmark method (.mgf file and feature quantified table</w:t>
      </w:r>
      <w:r>
        <w:t xml:space="preserve"> </w:t>
      </w:r>
      <w:r>
        <w:t xml:space="preserve">.csv).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Evaluation method.</w:t>
      </w:r>
      <w:r>
        <w:t xml:space="preserve"> </w:t>
      </w:r>
      <w:r>
        <w:t xml:space="preserve">The three simulated data were all run with</w:t>
      </w:r>
      <w:r>
        <w:t xml:space="preserve"> </w:t>
      </w:r>
      <w:r>
        <w:t xml:space="preserve">MCnebula workflow and benchmark method. While these data were put into SIRIUS 4</w:t>
      </w:r>
      <w:r>
        <w:t xml:space="preserve"> </w:t>
      </w:r>
      <w:r>
        <w:t xml:space="preserve">command-line interface (CLI) (version 4.9.12) for computation, the MS/MS</w:t>
      </w:r>
      <w:r>
        <w:t xml:space="preserve"> </w:t>
      </w:r>
      <w:r>
        <w:t xml:space="preserve">spectra with empty fragmentation peak were auto-filtered. In addition, to</w:t>
      </w:r>
      <w:r>
        <w:t xml:space="preserve"> </w:t>
      </w:r>
      <w:r>
        <w:t xml:space="preserve">reduce computation time, the compounds with over 800 m/z precursor were</w:t>
      </w:r>
      <w:r>
        <w:t xml:space="preserve"> </w:t>
      </w:r>
      <w:r>
        <w:t xml:space="preserve">filtered out manually. These filtered out compounds were excluded from ultimate</w:t>
      </w:r>
      <w:r>
        <w:t xml:space="preserve"> </w:t>
      </w:r>
      <w:r>
        <w:t xml:space="preserve">accuracy assessment. There were 8782 MS/MS spectra within the raw collection, and after</w:t>
      </w:r>
      <w:r>
        <w:t xml:space="preserve"> </w:t>
      </w:r>
      <w:r>
        <w:t xml:space="preserve">filtered or excluded, totally 7524 compounds for ultimate evaluation.</w:t>
      </w:r>
    </w:p>
    <w:p>
      <w:pPr>
        <w:pStyle w:val="3"/>
      </w:pPr>
      <w:r>
        <w:t xml:space="preserve">   The assessment of classified accuracy was conducted with the help</w:t>
      </w:r>
      <w:r>
        <w:t xml:space="preserve"> </w:t>
      </w:r>
      <w:r>
        <w:t xml:space="preserve">of ClassyFire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39</w:t>
        </w:r>
      </w:hyperlink>
      <w:r>
        <w:t xml:space="preserve">]</w:t>
      </w:r>
      <w:r>
        <w:t xml:space="preserve">. In detail, we traversed the raw .msp spectra file to</w:t>
      </w:r>
      <w:r>
        <w:t xml:space="preserve"> </w:t>
      </w:r>
      <w:r>
        <w:t xml:space="preserve">collate metadata of these compounds, involving structure annotation. The</w:t>
      </w:r>
      <w:r>
        <w:t xml:space="preserve"> </w:t>
      </w:r>
      <w:r>
        <w:t xml:space="preserve">International Chemical Identifier Key (InChIKey) of these compounds were</w:t>
      </w:r>
      <w:r>
        <w:t xml:space="preserve"> </w:t>
      </w:r>
      <w:r>
        <w:t xml:space="preserve">available for ClassyFire database retrieve. However, since ClassyFire only</w:t>
      </w:r>
      <w:r>
        <w:t xml:space="preserve"> </w:t>
      </w:r>
      <w:r>
        <w:t xml:space="preserve">support for those chemical identity of which structure have been classified in</w:t>
      </w:r>
      <w:r>
        <w:t xml:space="preserve"> </w:t>
      </w:r>
      <w:r>
        <w:t xml:space="preserve">its server previously, we noticed all the InChIKeys were vetoed. To address</w:t>
      </w:r>
      <w:r>
        <w:t xml:space="preserve"> </w:t>
      </w:r>
      <w:r>
        <w:t xml:space="preserve">that, we employed first hash block of these InChIKeys (InChIKey planar,</w:t>
      </w:r>
      <w:r>
        <w:t xml:space="preserve"> </w:t>
      </w:r>
      <w:r>
        <w:t xml:space="preserve">represent molecular skeleton) to touch PubChem application programming</w:t>
      </w:r>
      <w:r>
        <w:t xml:space="preserve"> </w:t>
      </w:r>
      <w:r>
        <w:t xml:space="preserve">interface (API) (</w:t>
      </w:r>
      <w:hyperlink r:id="rId33">
        <w:r>
          <w:rPr>
            <w:rStyle w:val="24"/>
          </w:rPr>
          <w:t xml:space="preserve">https://pubchemdocs.ncbi.nlm.nih.gov/pug-rest</w:t>
        </w:r>
      </w:hyperlink>
      <w:r>
        <w:t xml:space="preserve">)</w:t>
      </w:r>
      <w:r>
        <w:t xml:space="preserve"> </w:t>
      </w:r>
      <w:r>
        <w:t xml:space="preserve">[</w:t>
      </w:r>
      <w:hyperlink w:anchor="ref-2022ak">
        <w:r>
          <w:rPr>
            <w:rStyle w:val="24"/>
          </w:rPr>
          <w:t xml:space="preserve">99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Accordingly, we got all the possibly InChIKeys of isomerism (stereo, isotopic</w:t>
      </w:r>
      <w:r>
        <w:t xml:space="preserve"> </w:t>
      </w:r>
      <w:r>
        <w:t xml:space="preserve">substitution)</w:t>
      </w:r>
      <w:r>
        <w:t xml:space="preserve"> </w:t>
      </w:r>
      <w:r>
        <w:t xml:space="preserve">[</w:t>
      </w:r>
      <w:hyperlink w:anchor="ref-2012e">
        <w:r>
          <w:rPr>
            <w:rStyle w:val="24"/>
          </w:rPr>
          <w:t xml:space="preserve">100</w:t>
        </w:r>
      </w:hyperlink>
      <w:r>
        <w:t xml:space="preserve">]</w:t>
      </w:r>
      <w:r>
        <w:t xml:space="preserve">. The classification of small molecules are depending on</w:t>
      </w:r>
      <w:r>
        <w:t xml:space="preserve"> </w:t>
      </w:r>
      <w:r>
        <w:t xml:space="preserve">its molecular skeleton hence these chemical identities possess the same</w:t>
      </w:r>
      <w:r>
        <w:t xml:space="preserve"> </w:t>
      </w:r>
      <w:r>
        <w:t xml:space="preserve">InChIKey planar are identical in classification. We pushed the obtained</w:t>
      </w:r>
      <w:r>
        <w:t xml:space="preserve"> </w:t>
      </w:r>
      <w:r>
        <w:t xml:space="preserve">InChIKey list to ClassyFire to obtain classification. In R script, once any</w:t>
      </w:r>
      <w:r>
        <w:t xml:space="preserve"> </w:t>
      </w:r>
      <w:r>
        <w:t xml:space="preserve">InChIKey of isomerism meet the classified data in database, the acquisition</w:t>
      </w:r>
      <w:r>
        <w:t xml:space="preserve"> </w:t>
      </w:r>
      <w:r>
        <w:t xml:space="preserve">status for this molecular skeleton was turn off. In the end, all these</w:t>
      </w:r>
      <w:r>
        <w:t xml:space="preserve"> </w:t>
      </w:r>
      <w:r>
        <w:t xml:space="preserve">chemical annotation were collated, integrated and assigned as standard</w:t>
      </w:r>
      <w:r>
        <w:t xml:space="preserve"> </w:t>
      </w:r>
      <w:r>
        <w:t xml:space="preserve">reference.</w:t>
      </w:r>
    </w:p>
    <w:p>
      <w:pPr>
        <w:pStyle w:val="3"/>
      </w:pPr>
      <w:r>
        <w:t xml:space="preserve">   The discrepancies between the MCnebula and benchmark methods in</w:t>
      </w:r>
      <w:r>
        <w:t xml:space="preserve"> </w:t>
      </w:r>
      <w:r>
        <w:t xml:space="preserve">terms of algorithm and classified results disallow them to be evaluated at</w:t>
      </w:r>
      <w:r>
        <w:t xml:space="preserve"> </w:t>
      </w:r>
      <w:r>
        <w:t xml:space="preserve">completely the same level. We evaluated both methods respectively. For</w:t>
      </w:r>
      <w:r>
        <w:t xml:space="preserve"> </w:t>
      </w:r>
      <w:r>
        <w:t xml:space="preserve">MCnebula, before assess the accuracy, we interrogated the obtained classes</w:t>
      </w:r>
      <w:r>
        <w:t xml:space="preserve"> </w:t>
      </w:r>
      <w:r>
        <w:t xml:space="preserve">generated from pre-analysis of the origin dataset. The classes over in half</w:t>
      </w:r>
      <w:r>
        <w:t xml:space="preserve"> </w:t>
      </w:r>
      <w:r>
        <w:t xml:space="preserve">were classified based on sub-structural class, such as</w:t>
      </w:r>
      <w:r>
        <w:t xml:space="preserve"> </w:t>
      </w:r>
      <w:r>
        <w:t xml:space="preserve">‘</w:t>
      </w:r>
      <w:r>
        <w:t xml:space="preserve">Organic carbonic acids</w:t>
      </w:r>
      <w:r>
        <w:t xml:space="preserve"> </w:t>
      </w:r>
      <w:r>
        <w:t xml:space="preserve">and derivatives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Hydroxy acids and derivatives</w:t>
      </w:r>
      <w:r>
        <w:t xml:space="preserve">’</w:t>
      </w:r>
      <w:r>
        <w:t xml:space="preserve">. These classes were small in</w:t>
      </w:r>
      <w:r>
        <w:t xml:space="preserve"> </w:t>
      </w:r>
      <w:r>
        <w:t xml:space="preserve">structural size and were chemical function group within compounds. The</w:t>
      </w:r>
      <w:r>
        <w:t xml:space="preserve"> </w:t>
      </w:r>
      <w:r>
        <w:t xml:space="preserve">principle of ClassyFire is selecting the most dominant structural class of</w:t>
      </w:r>
      <w:r>
        <w:t xml:space="preserve"> </w:t>
      </w:r>
      <w:r>
        <w:t xml:space="preserve">compounds to substitute</w:t>
      </w:r>
      <w:r>
        <w:t xml:space="preserve"> </w:t>
      </w:r>
      <w:r>
        <w:t xml:space="preserve">[</w:t>
      </w:r>
      <w:hyperlink w:anchor="ref-2016">
        <w:r>
          <w:rPr>
            <w:rStyle w:val="24"/>
          </w:rPr>
          <w:t xml:space="preserve">39</w:t>
        </w:r>
      </w:hyperlink>
      <w:r>
        <w:t xml:space="preserve">]</w:t>
      </w:r>
      <w:r>
        <w:t xml:space="preserve">. But, in perspective of drug discovery,</w:t>
      </w:r>
      <w:r>
        <w:t xml:space="preserve"> </w:t>
      </w:r>
      <w:r>
        <w:t xml:space="preserve">structure determines potency; many pharmacological action possibly depends on</w:t>
      </w:r>
      <w:r>
        <w:t xml:space="preserve"> </w:t>
      </w:r>
      <w:r>
        <w:t xml:space="preserve">these sub-structure. To locate more universality among features, in algorithm,</w:t>
      </w:r>
      <w:r>
        <w:t xml:space="preserve"> </w:t>
      </w:r>
      <w:r>
        <w:t xml:space="preserve">we reserved these classes in results. Sub-structural classify for benchmark</w:t>
      </w:r>
      <w:r>
        <w:t xml:space="preserve"> </w:t>
      </w:r>
      <w:r>
        <w:t xml:space="preserve">method not available, hence we neglected these classes in evaluation. The rest</w:t>
      </w:r>
      <w:r>
        <w:t xml:space="preserve"> </w:t>
      </w:r>
      <w:r>
        <w:t xml:space="preserve">classes, nevertheless, still possibly be sub-structural class while meet some</w:t>
      </w:r>
      <w:r>
        <w:t xml:space="preserve"> </w:t>
      </w:r>
      <w:r>
        <w:t xml:space="preserve">compounds. We assigned three levels for evaluation, i.e.,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. The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indicated the classified classes were in line with that of</w:t>
      </w:r>
      <w:r>
        <w:t xml:space="preserve"> </w:t>
      </w:r>
      <w:r>
        <w:t xml:space="preserve">ClassyFire. The</w:t>
      </w:r>
      <w:r>
        <w:t xml:space="preserve"> </w:t>
      </w:r>
      <w:r>
        <w:t xml:space="preserve">‘</w:t>
      </w:r>
      <w:r>
        <w:t xml:space="preserve">Latent</w:t>
      </w:r>
      <w:r>
        <w:t xml:space="preserve">’</w:t>
      </w:r>
      <w:r>
        <w:t xml:space="preserve"> </w:t>
      </w:r>
      <w:r>
        <w:t xml:space="preserve">indicated the classified classes were not in line</w:t>
      </w:r>
      <w:r>
        <w:t xml:space="preserve"> </w:t>
      </w:r>
      <w:r>
        <w:t xml:space="preserve">with that of ClassyFire, but their parent classes of</w:t>
      </w:r>
      <w:r>
        <w:t xml:space="preserve"> </w:t>
      </w:r>
      <w:r>
        <w:t xml:space="preserve">‘</w:t>
      </w:r>
      <w:r>
        <w:t xml:space="preserve">class</w:t>
      </w:r>
      <w:r>
        <w:t xml:space="preserve">’</w:t>
      </w:r>
      <w:r>
        <w:t xml:space="preserve"> </w:t>
      </w:r>
      <w:r>
        <w:t xml:space="preserve">level were in</w:t>
      </w:r>
      <w:r>
        <w:t xml:space="preserve"> </w:t>
      </w:r>
      <w:r>
        <w:t xml:space="preserve">line with that of ClassyFire. The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 </w:t>
      </w:r>
      <w:r>
        <w:t xml:space="preserve">indicated the classified classes</w:t>
      </w:r>
      <w:r>
        <w:t xml:space="preserve"> </w:t>
      </w:r>
      <w:r>
        <w:t xml:space="preserve">were completely inconsistent with that of ClassyFire.</w:t>
      </w:r>
    </w:p>
    <w:p>
      <w:pPr>
        <w:pStyle w:val="3"/>
      </w:pPr>
      <w:r>
        <w:t xml:space="preserve">   To assess the identification of classes or structures, the results</w:t>
      </w:r>
      <w:r>
        <w:t xml:space="preserve"> </w:t>
      </w:r>
      <w:r>
        <w:t xml:space="preserve">were merge with standard reference by InChIKey planar. For assessment of</w:t>
      </w:r>
      <w:r>
        <w:t xml:space="preserve"> </w:t>
      </w:r>
      <w:r>
        <w:t xml:space="preserve">identification of chemical structure, once the identified chemical structure</w:t>
      </w:r>
      <w:r>
        <w:t xml:space="preserve"> </w:t>
      </w:r>
      <w:r>
        <w:t xml:space="preserve">was in line with or chemical structure (match by InChIKey planar), we assigned</w:t>
      </w:r>
      <w:r>
        <w:t xml:space="preserve"> </w:t>
      </w:r>
      <w:r>
        <w:t xml:space="preserve">it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. Indeed, such evaluation neglect stereochemistry.</w:t>
      </w:r>
    </w:p>
    <w:bookmarkEnd w:id="34"/>
    <w:bookmarkStart w:id="38" w:name="serum-dataset"/>
    <w:p>
      <w:pPr>
        <w:pStyle w:val="4"/>
      </w:pPr>
      <w:r>
        <w:t xml:space="preserve">Serum dataset</w:t>
      </w:r>
    </w:p>
    <w:p>
      <w:pPr>
        <w:pStyle w:val="38"/>
      </w:pPr>
      <w:r>
        <w:t xml:space="preserve">   We re-analyzed 245 LC-MS/MS data (.mzML) from MASSIVE (id no.</w:t>
      </w:r>
      <w:r>
        <w:t xml:space="preserve"> </w:t>
      </w:r>
      <w:hyperlink r:id="rId35">
        <w:r>
          <w:rPr>
            <w:rStyle w:val="24"/>
          </w:rPr>
          <w:t xml:space="preserve">MSV000083593</w:t>
        </w:r>
      </w:hyperlink>
      <w:r>
        <w:t xml:space="preserve">)</w:t>
      </w:r>
      <w:r>
        <w:t xml:space="preserve"> </w:t>
      </w:r>
      <w:r>
        <w:t xml:space="preserve">(blanks, controls and samples)</w:t>
      </w:r>
      <w:r>
        <w:t xml:space="preserve">[</w:t>
      </w:r>
      <w:hyperlink w:anchor="ref-2020s">
        <w:r>
          <w:rPr>
            <w:rStyle w:val="24"/>
          </w:rPr>
          <w:t xml:space="preserve">65</w:t>
        </w:r>
      </w:hyperlink>
      <w:r>
        <w:t xml:space="preserve">]</w:t>
      </w:r>
      <w:r>
        <w:t xml:space="preserve">. MZmine2 (version 2.53) was performed</w:t>
      </w:r>
      <w:r>
        <w:t xml:space="preserve"> </w:t>
      </w:r>
      <w:r>
        <w:t xml:space="preserve">for feature detection. The detection workflow mainly involves</w:t>
      </w:r>
      <w:r>
        <w:t xml:space="preserve"> </w:t>
      </w:r>
      <w:r>
        <w:rPr>
          <w:bCs/>
          <w:b/>
        </w:rPr>
        <w:t xml:space="preserve">1)</w:t>
      </w:r>
      <w:r>
        <w:t xml:space="preserve"> </w:t>
      </w:r>
      <w:r>
        <w:t xml:space="preserve">Automated</w:t>
      </w:r>
      <w:r>
        <w:t xml:space="preserve"> </w:t>
      </w:r>
      <w:r>
        <w:t xml:space="preserve">Data Analysis Pipeline (ADAP) for peak detection and deconvolution</w:t>
      </w:r>
      <w:r>
        <w:t xml:space="preserve"> </w:t>
      </w:r>
      <w:r>
        <w:t xml:space="preserve">[</w:t>
      </w:r>
      <w:hyperlink w:anchor="ref-2017f">
        <w:r>
          <w:rPr>
            <w:rStyle w:val="24"/>
          </w:rPr>
          <w:t xml:space="preserve">9</w:t>
        </w:r>
      </w:hyperlink>
      <w:r>
        <w:t xml:space="preserve">]</w:t>
      </w:r>
      <w:r>
        <w:t xml:space="preserve">,</w:t>
      </w:r>
      <w:r>
        <w:t xml:space="preserve"> </w:t>
      </w:r>
      <w:r>
        <w:rPr>
          <w:bCs/>
          <w:b/>
        </w:rPr>
        <w:t xml:space="preserve">2)</w:t>
      </w:r>
      <w:r>
        <w:t xml:space="preserve"> </w:t>
      </w:r>
      <w:r>
        <w:t xml:space="preserve">isotopes peak finder,</w:t>
      </w:r>
      <w:r>
        <w:t xml:space="preserve"> </w:t>
      </w:r>
      <w:r>
        <w:rPr>
          <w:bCs/>
          <w:b/>
        </w:rPr>
        <w:t xml:space="preserve">4)</w:t>
      </w:r>
      <w:r>
        <w:t xml:space="preserve"> </w:t>
      </w:r>
      <w:r>
        <w:t xml:space="preserve">parallel samples join alignment,</w:t>
      </w:r>
      <w:r>
        <w:t xml:space="preserve"> </w:t>
      </w:r>
      <w:r>
        <w:rPr>
          <w:bCs/>
          <w:b/>
        </w:rPr>
        <w:t xml:space="preserve">5)</w:t>
      </w:r>
      <w:r>
        <w:t xml:space="preserve"> </w:t>
      </w:r>
      <w:r>
        <w:t xml:space="preserve">gap</w:t>
      </w:r>
      <w:r>
        <w:t xml:space="preserve"> </w:t>
      </w:r>
      <w:r>
        <w:t xml:space="preserve">filling algorithm. While exporting MS/MS spectra (.mgf) for SIRIUS 4 software</w:t>
      </w:r>
      <w:r>
        <w:t xml:space="preserve"> </w:t>
      </w:r>
      <w:r>
        <w:t xml:space="preserve">computation, spectra were merged across samples into one fragmentation list</w:t>
      </w:r>
      <w:r>
        <w:t xml:space="preserve"> </w:t>
      </w:r>
      <w:r>
        <w:t xml:space="preserve">with 30% Peak Count threshold filtering. The feature detection workflow was</w:t>
      </w:r>
      <w:r>
        <w:t xml:space="preserve"> </w:t>
      </w:r>
      <w:r>
        <w:t xml:space="preserve">refer to</w:t>
      </w:r>
      <w:r>
        <w:t xml:space="preserve"> </w:t>
      </w:r>
      <w:hyperlink r:id="rId36">
        <w:r>
          <w:rPr>
            <w:rStyle w:val="24"/>
          </w:rPr>
          <w:t xml:space="preserve">FBMN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preprocessing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24"/>
          </w:rPr>
          <w:t xml:space="preserve">SIRIUS computational</w:t>
        </w:r>
        <w:r>
          <w:rPr>
            <w:rStyle w:val="24"/>
          </w:rPr>
          <w:t xml:space="preserve"> </w:t>
        </w:r>
        <w:r>
          <w:rPr>
            <w:rStyle w:val="24"/>
          </w:rPr>
          <w:t xml:space="preserve">prerequisites</w:t>
        </w:r>
      </w:hyperlink>
      <w:r>
        <w:t xml:space="preserve">.</w:t>
      </w:r>
      <w:r>
        <w:t xml:space="preserve"> </w:t>
      </w:r>
      <w:r>
        <w:t xml:space="preserve">The output .mgf was run with SIRIUS 4 software (version 4.9.12) for computation</w:t>
      </w:r>
      <w:r>
        <w:t xml:space="preserve"> </w:t>
      </w:r>
      <w:r>
        <w:t xml:space="preserve">with SIRIUS</w:t>
      </w:r>
      <w:r>
        <w:t xml:space="preserve"> </w:t>
      </w:r>
      <w:r>
        <w:t xml:space="preserve">[</w:t>
      </w:r>
      <w:hyperlink w:anchor="ref-duhrkop_sirius_2019">
        <w:r>
          <w:rPr>
            <w:rStyle w:val="24"/>
          </w:rPr>
          <w:t xml:space="preserve">36</w:t>
        </w:r>
      </w:hyperlink>
      <w:r>
        <w:t xml:space="preserve">,</w:t>
      </w:r>
      <w:hyperlink w:anchor="ref-bocker_sirius_2009">
        <w:r>
          <w:rPr>
            <w:rStyle w:val="24"/>
          </w:rPr>
          <w:t xml:space="preserve">62</w:t>
        </w:r>
      </w:hyperlink>
      <w:r>
        <w:t xml:space="preserve">]</w:t>
      </w:r>
      <w:r>
        <w:t xml:space="preserve">, ZODIAC</w:t>
      </w:r>
      <w:r>
        <w:t xml:space="preserve"> </w:t>
      </w:r>
      <w:r>
        <w:t xml:space="preserve">[</w:t>
      </w:r>
      <w:hyperlink w:anchor="ref-ludwig_database-independent_2020">
        <w:r>
          <w:rPr>
            <w:rStyle w:val="24"/>
          </w:rPr>
          <w:t xml:space="preserve">64</w:t>
        </w:r>
      </w:hyperlink>
      <w:r>
        <w:t xml:space="preserve">]</w:t>
      </w:r>
      <w:r>
        <w:t xml:space="preserve">, CSI:fingerID</w:t>
      </w:r>
      <w:r>
        <w:t xml:space="preserve"> </w:t>
      </w:r>
      <w:r>
        <w:t xml:space="preserve">[</w:t>
      </w:r>
      <w:hyperlink w:anchor="ref-duhrkop_searching_2015">
        <w:r>
          <w:rPr>
            <w:rStyle w:val="24"/>
          </w:rPr>
          <w:t xml:space="preserve">31</w:t>
        </w:r>
      </w:hyperlink>
      <w:r>
        <w:t xml:space="preserve">]</w:t>
      </w:r>
      <w:r>
        <w:t xml:space="preserve">,</w:t>
      </w:r>
      <w:r>
        <w:t xml:space="preserve"> </w:t>
      </w:r>
      <w:r>
        <w:t xml:space="preserve">CANOPUS</w:t>
      </w:r>
      <w:r>
        <w:t xml:space="preserve"> </w:t>
      </w:r>
      <w:r>
        <w:t xml:space="preserve">[</w:t>
      </w:r>
      <w:hyperlink w:anchor="ref-duhrkop_systematic_2021">
        <w:r>
          <w:rPr>
            <w:rStyle w:val="24"/>
          </w:rPr>
          <w:t xml:space="preserve">55</w:t>
        </w:r>
      </w:hyperlink>
      <w:r>
        <w:t xml:space="preserve">]</w:t>
      </w:r>
      <w:r>
        <w:t xml:space="preserve">. In particular, SIRIUS was customized set</w:t>
      </w:r>
      <w:r>
        <w:t xml:space="preserve"> </w:t>
      </w:r>
      <w:r>
        <w:t xml:space="preserve">to detect Iodine element while predicting formula. MCnebula package were used</w:t>
      </w:r>
      <w:r>
        <w:t xml:space="preserve"> </w:t>
      </w:r>
      <w:r>
        <w:t xml:space="preserve">for subsequent data analysis. All subsequent analysis have been organized into</w:t>
      </w:r>
      <w:r>
        <w:t xml:space="preserve"> </w:t>
      </w:r>
      <w:r>
        <w:t xml:space="preserve">concise code and exported as reports (see section of Data and code</w:t>
      </w:r>
      <w:r>
        <w:t xml:space="preserve"> </w:t>
      </w:r>
      <w:r>
        <w:t xml:space="preserve">availability).</w:t>
      </w:r>
    </w:p>
    <w:p>
      <w:pPr>
        <w:pStyle w:val="3"/>
      </w:pPr>
      <w:r>
        <w:t xml:space="preserve">   Kyoto Encyclopedia of Genes and Genomes (KEGG) metabolic pathway</w:t>
      </w:r>
      <w:r>
        <w:t xml:space="preserve"> </w:t>
      </w:r>
      <w:r>
        <w:t xml:space="preserve">enrichment analysis was performed with</w:t>
      </w:r>
      <w:r>
        <w:t xml:space="preserve"> </w:t>
      </w:r>
      <w:r>
        <w:t xml:space="preserve">‘</w:t>
      </w:r>
      <w:r>
        <w:t xml:space="preserve">Lysophosphatidylcholines</w:t>
      </w:r>
      <w:r>
        <w:t xml:space="preserve">’</w:t>
      </w:r>
      <w:r>
        <w:t xml:space="preserve"> </w:t>
      </w:r>
      <w:r>
        <w:t xml:space="preserve">(LPCs) and</w:t>
      </w:r>
      <w:r>
        <w:t xml:space="preserve"> </w:t>
      </w:r>
      <w:r>
        <w:t xml:space="preserve">‘</w:t>
      </w:r>
      <w:r>
        <w:t xml:space="preserve">Bile acids, alcohols and derivatives</w:t>
      </w:r>
      <w:r>
        <w:t xml:space="preserve">’</w:t>
      </w:r>
      <w:r>
        <w:t xml:space="preserve"> </w:t>
      </w:r>
      <w:r>
        <w:t xml:space="preserve">(BAs), respectively. We used the</w:t>
      </w:r>
      <w:r>
        <w:t xml:space="preserve"> </w:t>
      </w:r>
      <w:r>
        <w:t xml:space="preserve">identified InChIKey planar of structures to hit compounds in metabolic pathway.</w:t>
      </w:r>
      <w:r>
        <w:t xml:space="preserve"> </w:t>
      </w:r>
      <w:r>
        <w:t xml:space="preserve">In detail, firstly, in order to avoid the identified structural deviations due</w:t>
      </w:r>
      <w:r>
        <w:t xml:space="preserve"> </w:t>
      </w:r>
      <w:r>
        <w:t xml:space="preserve">to stereoisomerism, the InChIKey planar were used to obtain all possible</w:t>
      </w:r>
      <w:r>
        <w:t xml:space="preserve"> </w:t>
      </w:r>
      <w:r>
        <w:t xml:space="preserve">InChIKeys via PubChem API. In this step, PubChem CID of those compounds were</w:t>
      </w:r>
      <w:r>
        <w:t xml:space="preserve"> </w:t>
      </w:r>
      <w:r>
        <w:t xml:space="preserve">also obtained. The R package of MetaboAnalystR was used for converting PubChem</w:t>
      </w:r>
      <w:r>
        <w:t xml:space="preserve"> </w:t>
      </w:r>
      <w:r>
        <w:t xml:space="preserve">CID to KEGG ID</w:t>
      </w:r>
      <w:r>
        <w:t xml:space="preserve"> </w:t>
      </w:r>
      <w:r>
        <w:t xml:space="preserve">[</w:t>
      </w:r>
      <w:hyperlink w:anchor="ref-2020cx">
        <w:r>
          <w:rPr>
            <w:rStyle w:val="24"/>
          </w:rPr>
          <w:t xml:space="preserve">101</w:t>
        </w:r>
      </w:hyperlink>
      <w:r>
        <w:t xml:space="preserve">]</w:t>
      </w:r>
      <w:r>
        <w:t xml:space="preserve">. Many compounds were not related to metabolic pathway</w:t>
      </w:r>
      <w:r>
        <w:t xml:space="preserve"> </w:t>
      </w:r>
      <w:r>
        <w:t xml:space="preserve">so those were filtered out. The R package of FELLA was used for KEGG</w:t>
      </w:r>
      <w:r>
        <w:t xml:space="preserve"> </w:t>
      </w:r>
      <w:r>
        <w:t xml:space="preserve">enrichment with</w:t>
      </w:r>
      <w:r>
        <w:t xml:space="preserve"> </w:t>
      </w:r>
      <w:r>
        <w:t xml:space="preserve">‘</w:t>
      </w:r>
      <w:r>
        <w:t xml:space="preserve">pagerank</w:t>
      </w:r>
      <w:r>
        <w:t xml:space="preserve">’</w:t>
      </w:r>
      <w:r>
        <w:t xml:space="preserve"> </w:t>
      </w:r>
      <w:r>
        <w:t xml:space="preserve">algorithm</w:t>
      </w:r>
      <w:r>
        <w:t xml:space="preserve"> </w:t>
      </w:r>
      <w:r>
        <w:t xml:space="preserve">[</w:t>
      </w:r>
      <w:hyperlink w:anchor="ref-2018bj">
        <w:r>
          <w:rPr>
            <w:rStyle w:val="24"/>
          </w:rPr>
          <w:t xml:space="preserve">102</w:t>
        </w:r>
      </w:hyperlink>
      <w:r>
        <w:t xml:space="preserve">,</w:t>
      </w:r>
      <w:hyperlink w:anchor="ref-ilprints422">
        <w:r>
          <w:rPr>
            <w:rStyle w:val="24"/>
          </w:rPr>
          <w:t xml:space="preserve">103</w:t>
        </w:r>
      </w:hyperlink>
      <w:r>
        <w:t xml:space="preserve">]</w:t>
      </w:r>
      <w:r>
        <w:t xml:space="preserve">. The above methods</w:t>
      </w:r>
      <w:r>
        <w:t xml:space="preserve"> </w:t>
      </w:r>
      <w:r>
        <w:t xml:space="preserve">have been integrated as functions to interface with the MCnebula workflow.</w:t>
      </w:r>
      <w:r>
        <w:t xml:space="preserve"> </w:t>
      </w:r>
      <w:r>
        <w:t xml:space="preserve">These functions are available in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</w:t>
      </w:r>
    </w:p>
    <w:bookmarkEnd w:id="38"/>
    <w:bookmarkStart w:id="39" w:name="herbal-dataset"/>
    <w:p>
      <w:pPr>
        <w:pStyle w:val="4"/>
      </w:pPr>
      <w:r>
        <w:t xml:space="preserve">Herbal dataset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Material and processing.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was obtained</w:t>
      </w:r>
      <w:r>
        <w:t xml:space="preserve"> </w:t>
      </w:r>
      <w:r>
        <w:t xml:space="preserve">from company of ZheJiang ZuoLi Chinese Medical Pieces LTD. Raw-Eucommia and</w:t>
      </w:r>
      <w:r>
        <w:t xml:space="preserve"> </w:t>
      </w:r>
      <w:r>
        <w:t xml:space="preserve">Pro-Eucommia were prepared as following: (1) Raw-Eucommia: The shreds or blocks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dried bark were took, powdered and passed through 80-mesh</w:t>
      </w:r>
      <w:r>
        <w:t xml:space="preserve"> </w:t>
      </w:r>
      <w:r>
        <w:t xml:space="preserve">sieves for further process. (2) Pro-Eucommia: The shreds or blocks of</w:t>
      </w:r>
      <w:r>
        <w:t xml:space="preserve"> </w:t>
      </w:r>
      <w:r>
        <w:rPr>
          <w:iCs/>
          <w:i/>
        </w:rPr>
        <w:t xml:space="preserve">E.</w:t>
      </w:r>
      <w:r>
        <w:rPr>
          <w:iCs/>
          <w:i/>
        </w:rPr>
        <w:t xml:space="preserve"> </w:t>
      </w:r>
      <w:r>
        <w:rPr>
          <w:iCs/>
          <w:i/>
        </w:rPr>
        <w:t xml:space="preserve">ulmoides</w:t>
      </w:r>
      <w:r>
        <w:t xml:space="preserve"> </w:t>
      </w:r>
      <w:r>
        <w:t xml:space="preserve">dried bark were took, fried with saline water (the amount of salt is</w:t>
      </w:r>
      <w:r>
        <w:t xml:space="preserve"> </w:t>
      </w:r>
      <w:r>
        <w:t xml:space="preserve">2%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, add 10 fold of water to dissolve), and smothered in</w:t>
      </w:r>
      <w:r>
        <w:t xml:space="preserve"> </w:t>
      </w:r>
      <w:r>
        <w:t xml:space="preserve">airtight for 30 min. Then, the barks were dried in oven at 60 °C, followed by</w:t>
      </w:r>
      <w:r>
        <w:t xml:space="preserve"> </w:t>
      </w:r>
      <w:r>
        <w:t xml:space="preserve">baking at 140 °C for 60 min. Finally, the baked barks were powdered and passed</w:t>
      </w:r>
      <w:r>
        <w:t xml:space="preserve"> </w:t>
      </w:r>
      <w:r>
        <w:t xml:space="preserve">through 80-mesh sieves for further process. The processing method was based on</w:t>
      </w:r>
      <w:r>
        <w:t xml:space="preserve"> </w:t>
      </w:r>
      <w:r>
        <w:t xml:space="preserve">previous studies of</w:t>
      </w:r>
      <w:r>
        <w:t xml:space="preserve"> </w:t>
      </w:r>
      <w:r>
        <w:rPr>
          <w:iCs/>
          <w:i/>
        </w:rPr>
        <w:t xml:space="preserve">E. ulmoides</w:t>
      </w:r>
      <w:r>
        <w:t xml:space="preserve"> </w:t>
      </w:r>
      <w:r>
        <w:t xml:space="preserve">[</w:t>
      </w:r>
      <w:hyperlink w:anchor="ref-2010b">
        <w:r>
          <w:rPr>
            <w:rStyle w:val="24"/>
          </w:rPr>
          <w:t xml:space="preserve">104</w:t>
        </w:r>
      </w:hyperlink>
      <w:r>
        <w:t xml:space="preserve">]</w:t>
      </w:r>
      <w:r>
        <w:t xml:space="preserve">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Sample preparation.</w:t>
      </w:r>
      <w:r>
        <w:t xml:space="preserve"> </w:t>
      </w:r>
      <w:r>
        <w:t xml:space="preserve">2 g of Raw-Eucommia powder and</w:t>
      </w:r>
      <w:r>
        <w:t xml:space="preserve"> </w:t>
      </w:r>
      <w:r>
        <w:t xml:space="preserve">Pro-Eucommia powder were weighed, respectively, added 50 ml of methanol/water</w:t>
      </w:r>
      <w:r>
        <w:t xml:space="preserve"> </w:t>
      </w:r>
      <w:r>
        <w:t xml:space="preserve">(1:1, v/v) followed by ultrasonic (20 kHz for 40 min). After ultrasonic, the</w:t>
      </w:r>
      <w:r>
        <w:t xml:space="preserve"> </w:t>
      </w:r>
      <w:r>
        <w:t xml:space="preserve">mixture was filtered to obtain filtrate and residue. The residue was added</w:t>
      </w:r>
      <w:r>
        <w:t xml:space="preserve"> </w:t>
      </w:r>
      <w:r>
        <w:t xml:space="preserve">with 50 ml of methanol/water (1:1, v/v) and extracted with ultrasonic (40 kHz,</w:t>
      </w:r>
      <w:r>
        <w:t xml:space="preserve"> </w:t>
      </w:r>
      <w:r>
        <w:t xml:space="preserve">250 W for 20 min) again. The mixture was filtered. Then, the filtrate of the</w:t>
      </w:r>
      <w:r>
        <w:t xml:space="preserve"> </w:t>
      </w:r>
      <w:r>
        <w:t xml:space="preserve">two extracts was combined, the solvent was evaporated. Methanol/water (1:1,</w:t>
      </w:r>
      <w:r>
        <w:t xml:space="preserve"> </w:t>
      </w:r>
      <w:r>
        <w:t xml:space="preserve">v/v) was added to redissolve the extract and the volume was fixed to 5 ml.</w:t>
      </w:r>
      <w:r>
        <w:t xml:space="preserve"> </w:t>
      </w:r>
      <w:r>
        <w:t xml:space="preserve">Finally, the supernatant was obtained by centrifugation (12,000 r.p.m. for 10</w:t>
      </w:r>
      <w:r>
        <w:t xml:space="preserve"> </w:t>
      </w:r>
      <w:r>
        <w:t xml:space="preserve">min) for further LC−MS analysis.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LC–MS experiments.</w:t>
      </w:r>
      <w:r>
        <w:t xml:space="preserve"> </w:t>
      </w:r>
      <w:r>
        <w:t xml:space="preserve">LC−MS analysis was performed using a Dionex</w:t>
      </w:r>
      <w:r>
        <w:t xml:space="preserve"> </w:t>
      </w:r>
      <w:r>
        <w:t xml:space="preserve">Ultimate 3000 UHPLC system (Dionex, Germany) coupled with a high-resolution</w:t>
      </w:r>
      <w:r>
        <w:t xml:space="preserve"> </w:t>
      </w:r>
      <w:r>
        <w:t xml:space="preserve">Fourier-transform mass spectrometer (Orbitrap Elite, Thermo Fisher Scientific,</w:t>
      </w:r>
      <w:r>
        <w:t xml:space="preserve"> </w:t>
      </w:r>
      <w:r>
        <w:t xml:space="preserve">Germany) using a Waters Acquity HSS T3 column (1.8 μm, 100 mm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2.1 mm,</w:t>
      </w:r>
      <w:r>
        <w:t xml:space="preserve"> </w:t>
      </w:r>
      <w:r>
        <w:t xml:space="preserve">Waters Corporation, Milford, MA, USA). Solvent A, formic acid/water (0.1:99,</w:t>
      </w:r>
      <w:r>
        <w:t xml:space="preserve"> </w:t>
      </w:r>
      <w:r>
        <w:t xml:space="preserve">v/v), and solvent B, formic acid/acetonitrile (0.1:99, v/v), were used as the</w:t>
      </w:r>
      <w:r>
        <w:t xml:space="preserve"> </w:t>
      </w:r>
      <w:r>
        <w:t xml:space="preserve">mobile phase. The gradient profile for separation was as follows: 2% of</w:t>
      </w:r>
      <w:r>
        <w:t xml:space="preserve"> </w:t>
      </w:r>
      <w:r>
        <w:t xml:space="preserve">solvent B at 0min, 5% of solvent B at 2 min, 15% of solvent B at 10 min, 25% of</w:t>
      </w:r>
      <w:r>
        <w:t xml:space="preserve"> </w:t>
      </w:r>
      <w:r>
        <w:t xml:space="preserve">solvent B at 15 min, 50% of solvent B at 18 min, 100% of solvent B at 23 min,</w:t>
      </w:r>
      <w:r>
        <w:t xml:space="preserve"> </w:t>
      </w:r>
      <w:r>
        <w:t xml:space="preserve">2% of solvent B at 25 min, and 2% of solvent B at 30 min. The flow rate was</w:t>
      </w:r>
      <w:r>
        <w:t xml:space="preserve"> </w:t>
      </w:r>
      <w:r>
        <w:t xml:space="preserve">0.3 ml/min. The column temperature was set at 40°C. Mass spectrometric</w:t>
      </w:r>
      <w:r>
        <w:t xml:space="preserve"> </w:t>
      </w:r>
      <w:r>
        <w:t xml:space="preserve">analysis was performed using an Orbitrap Elite instrument equipped with an ESI</w:t>
      </w:r>
      <w:r>
        <w:t xml:space="preserve"> </w:t>
      </w:r>
      <w:r>
        <w:t xml:space="preserve">source (Thermo FisherScientific, Germany) that operated in the negtive</w:t>
      </w:r>
      <w:r>
        <w:t xml:space="preserve"> </w:t>
      </w:r>
      <w:r>
        <w:t xml:space="preserve">ionization mode. The ESI source was operated at 50 °C with a capillary</w:t>
      </w:r>
      <w:r>
        <w:t xml:space="preserve"> </w:t>
      </w:r>
      <w:r>
        <w:t xml:space="preserve">temperature of 275 °C, an ionization voltage of 3.5 kV, and a sheath gas flow</w:t>
      </w:r>
      <w:r>
        <w:t xml:space="preserve"> </w:t>
      </w:r>
      <w:r>
        <w:t xml:space="preserve">rate of 35 L/min. The survey scans were obtained in the Orbitrap mass analyzer</w:t>
      </w:r>
      <w:r>
        <w:t xml:space="preserve"> </w:t>
      </w:r>
      <w:r>
        <w:t xml:space="preserve">operating at a 120,000 (full width at half-maximum) resolving power. A mass</w:t>
      </w:r>
      <w:r>
        <w:t xml:space="preserve"> </w:t>
      </w:r>
      <w:r>
        <w:t xml:space="preserve">range of 100−1500 m/z and a normalized collision energy of 30 eV were used for</w:t>
      </w:r>
      <w:r>
        <w:t xml:space="preserve"> </w:t>
      </w:r>
      <w:r>
        <w:t xml:space="preserve">survey scans. The analysis method was set to analyze the top 10 most intense</w:t>
      </w:r>
      <w:r>
        <w:t xml:space="preserve"> </w:t>
      </w:r>
      <w:r>
        <w:t xml:space="preserve">ions from the survey scan, and a dynamic exclusion was enabled for 15 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MCnebula Workflow.</w:t>
      </w:r>
      <w:r>
        <w:t xml:space="preserve"> </w:t>
      </w:r>
      <w:r>
        <w:t xml:space="preserve">E.ulmoides dataset were preprocessed with</w:t>
      </w:r>
      <w:r>
        <w:t xml:space="preserve"> </w:t>
      </w:r>
      <w:r>
        <w:t xml:space="preserve">MZmine2 for feature detection, followed by SIRIUS software computation. The</w:t>
      </w:r>
      <w:r>
        <w:t xml:space="preserve"> </w:t>
      </w:r>
      <w:r>
        <w:t xml:space="preserve">subsequent analysis was similar to serum metabolic dataset and also been</w:t>
      </w:r>
      <w:r>
        <w:t xml:space="preserve"> </w:t>
      </w:r>
      <w:r>
        <w:t xml:space="preserve">organized as a report (see section of Data and code availability).</w:t>
      </w:r>
    </w:p>
    <w:bookmarkEnd w:id="39"/>
    <w:bookmarkStart w:id="40" w:name="data-processing"/>
    <w:p>
      <w:pPr>
        <w:pStyle w:val="4"/>
      </w:pPr>
      <w:r>
        <w:t xml:space="preserve">Data processing</w:t>
      </w:r>
    </w:p>
    <w:p>
      <w:pPr>
        <w:pStyle w:val="38"/>
      </w:pPr>
      <w:r>
        <w:t xml:space="preserve">   Raw data (.raw) were converted to m/z extensible markup language</w:t>
      </w:r>
      <w:r>
        <w:t xml:space="preserve"> </w:t>
      </w:r>
      <w:r>
        <w:t xml:space="preserve">(mzML, i.e., .mzml format data) in centroid mode using MSConvert ProteoWizard</w:t>
      </w:r>
      <w:r>
        <w:t xml:space="preserve"> </w:t>
      </w:r>
      <w:r>
        <w:t xml:space="preserve">[</w:t>
      </w:r>
      <w:hyperlink w:anchor="ref-2012d">
        <w:r>
          <w:rPr>
            <w:rStyle w:val="24"/>
          </w:rPr>
          <w:t xml:space="preserve">5</w:t>
        </w:r>
      </w:hyperlink>
      <w:r>
        <w:t xml:space="preserve">,</w:t>
      </w:r>
      <w:hyperlink w:anchor="ref-2011b">
        <w:r>
          <w:rPr>
            <w:rStyle w:val="24"/>
          </w:rPr>
          <w:t xml:space="preserve">105</w:t>
        </w:r>
      </w:hyperlink>
      <w:r>
        <w:t xml:space="preserve">]</w:t>
      </w:r>
      <w:r>
        <w:t xml:space="preserve">. The .mzml files were processed with MZmine2 (v.2.53) and</w:t>
      </w:r>
      <w:r>
        <w:t xml:space="preserve"> </w:t>
      </w:r>
      <w:r>
        <w:t xml:space="preserve">followed by SIRIUS 4 in Pop!-OS (Ubuntu) 22.04 LTS 64-bits workstation (Intel</w:t>
      </w:r>
      <w:r>
        <w:t xml:space="preserve"> </w:t>
      </w:r>
      <w:r>
        <w:t xml:space="preserve">Core i9-10900X, 3.70GHz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20, 125.5 Gb of RAM)</w:t>
      </w:r>
      <w:r>
        <w:t xml:space="preserve"> </w:t>
      </w:r>
      <w:r>
        <w:t xml:space="preserve">[</w:t>
      </w:r>
      <w:hyperlink w:anchor="ref-2010">
        <w:r>
          <w:rPr>
            <w:rStyle w:val="24"/>
          </w:rPr>
          <w:t xml:space="preserve">8</w:t>
        </w:r>
      </w:hyperlink>
      <w:r>
        <w:t xml:space="preserve">,</w:t>
      </w:r>
      <w:hyperlink w:anchor="ref-duhrkop_sirius_2019">
        <w:r>
          <w:rPr>
            <w:rStyle w:val="24"/>
          </w:rPr>
          <w:t xml:space="preserve">36</w:t>
        </w:r>
      </w:hyperlink>
      <w:r>
        <w:t xml:space="preserve">]</w:t>
      </w:r>
      <w:r>
        <w:t xml:space="preserve">. MCnebula (MCnebula2) and other R packages were executed in Pop!_OS</w:t>
      </w:r>
      <w:r>
        <w:t xml:space="preserve"> </w:t>
      </w:r>
      <w:r>
        <w:t xml:space="preserve">(Ubuntu) 22.04 LTS 64-bits PC (Intel Core i7-1065G7, 1.3 GHz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8, 16 Gb</w:t>
      </w:r>
      <w:r>
        <w:t xml:space="preserve"> </w:t>
      </w:r>
      <w:r>
        <w:t xml:space="preserve">of RAM).</w:t>
      </w:r>
    </w:p>
    <w:bookmarkEnd w:id="40"/>
    <w:bookmarkEnd w:id="41"/>
    <w:bookmarkStart w:id="44" w:name="data-and-code-availability"/>
    <w:p>
      <w:pPr>
        <w:pStyle w:val="2"/>
      </w:pPr>
      <w:r>
        <w:t xml:space="preserve">Data and code availability</w:t>
      </w:r>
    </w:p>
    <w:p>
      <w:pPr>
        <w:pStyle w:val="38"/>
      </w:pPr>
      <w:r>
        <w:t xml:space="preserve">   The serum dataset were available at MassIVE web service (id no.</w:t>
      </w:r>
      <w:r>
        <w:t xml:space="preserve"> </w:t>
      </w:r>
      <w:hyperlink r:id="rId35">
        <w:r>
          <w:rPr>
            <w:rStyle w:val="24"/>
          </w:rPr>
          <w:t xml:space="preserve">MSV000083593</w:t>
        </w:r>
      </w:hyperlink>
      <w:r>
        <w:t xml:space="preserve">).</w:t>
      </w:r>
      <w:r>
        <w:t xml:space="preserve"> </w:t>
      </w:r>
      <w:r>
        <w:t xml:space="preserve">The source code of MCnebula is available at</w:t>
      </w:r>
      <w:r>
        <w:t xml:space="preserve"> </w:t>
      </w:r>
      <w:hyperlink r:id="rId42">
        <w:r>
          <w:rPr>
            <w:rStyle w:val="24"/>
          </w:rPr>
          <w:t xml:space="preserve">https://github.com/Cao-lab-zcmu/MCnebula</w:t>
        </w:r>
      </w:hyperlink>
      <w:r>
        <w:t xml:space="preserve">. The source code of exMCnebula2 is</w:t>
      </w:r>
      <w:r>
        <w:t xml:space="preserve"> </w:t>
      </w:r>
      <w:r>
        <w:t xml:space="preserve">available at</w:t>
      </w:r>
      <w:r>
        <w:t xml:space="preserve"> </w:t>
      </w:r>
      <w:hyperlink r:id="rId43">
        <w:r>
          <w:rPr>
            <w:rStyle w:val="24"/>
          </w:rPr>
          <w:t xml:space="preserve">https://github.com/Cao-lab-zcmu/exMCnebula2</w:t>
        </w:r>
      </w:hyperlink>
      <w:r>
        <w:t xml:space="preserve">. The code for all</w:t>
      </w:r>
      <w:r>
        <w:t xml:space="preserve"> </w:t>
      </w:r>
      <w:r>
        <w:t xml:space="preserve">the analysis in this study can be found in the internal data directory</w:t>
      </w:r>
      <w:r>
        <w:t xml:space="preserve"> </w:t>
      </w:r>
      <w:r>
        <w:t xml:space="preserve">(</w:t>
      </w:r>
      <w:r>
        <w:t xml:space="preserve">‘</w:t>
      </w:r>
      <w:r>
        <w:t xml:space="preserve">inst/extdata/</w:t>
      </w:r>
      <w:r>
        <w:t xml:space="preserve">’</w:t>
      </w:r>
      <w:r>
        <w:t xml:space="preserve">) of the</w:t>
      </w:r>
      <w:r>
        <w:t xml:space="preserve"> </w:t>
      </w:r>
      <w:r>
        <w:t xml:space="preserve">‘</w:t>
      </w:r>
      <w:r>
        <w:t xml:space="preserve">exMCnebula2</w:t>
      </w:r>
      <w:r>
        <w:t xml:space="preserve">’</w:t>
      </w:r>
      <w:r>
        <w:t xml:space="preserve"> </w:t>
      </w:r>
      <w:r>
        <w:t xml:space="preserve">package. In addition, .mgf files (msms</w:t>
      </w:r>
      <w:r>
        <w:t xml:space="preserve"> </w:t>
      </w:r>
      <w:r>
        <w:t xml:space="preserve">spectra) and .csv files (feature quantification) and SIRIUS output files (use</w:t>
      </w:r>
      <w:r>
        <w:t xml:space="preserve"> </w:t>
      </w:r>
      <w:r>
        <w:t xml:space="preserve">MCnebula function to filter and compress tens of GB of data to just a few tens</w:t>
      </w:r>
      <w:r>
        <w:t xml:space="preserve"> </w:t>
      </w:r>
      <w:r>
        <w:t xml:space="preserve">of MB) and analysis report of serum and herbal dataset were compressed and</w:t>
      </w:r>
      <w:r>
        <w:t xml:space="preserve"> </w:t>
      </w:r>
      <w:r>
        <w:t xml:space="preserve">stored in the exMCnebula2 package. By downloading and installing MCnebula</w:t>
      </w:r>
      <w:r>
        <w:t xml:space="preserve"> </w:t>
      </w:r>
      <w:r>
        <w:t xml:space="preserve">package and exMCnebula2 package, all the analyses of this study can be</w:t>
      </w:r>
      <w:r>
        <w:t xml:space="preserve"> </w:t>
      </w:r>
      <w:r>
        <w:t xml:space="preserve">reproduced by executing R codes (while using tools beyond R, such as MSconvert</w:t>
      </w:r>
      <w:r>
        <w:t xml:space="preserve"> </w:t>
      </w:r>
      <w:r>
        <w:t xml:space="preserve">software, SIRIUS 4 software and MZmine2 are excluded).</w:t>
      </w:r>
    </w:p>
    <w:bookmarkEnd w:id="44"/>
    <w:bookmarkStart w:id="241" w:name="bibliography"/>
    <w:p>
      <w:pPr>
        <w:pStyle w:val="2"/>
      </w:pPr>
      <w:r>
        <w:t xml:space="preserve">Reference</w:t>
      </w:r>
    </w:p>
    <w:bookmarkStart w:id="240" w:name="refs"/>
    <w:bookmarkStart w:id="46" w:name="ref-2020p"/>
    <w:p>
      <w:pPr>
        <w:pStyle w:val="189"/>
      </w:pPr>
      <w:r>
        <w:t xml:space="preserve">[1]</w:t>
      </w:r>
      <w:r>
        <w:t xml:space="preserve"> </w:t>
      </w:r>
      <w:r>
        <w:t xml:space="preserve">	</w:t>
      </w:r>
      <w:r>
        <w:t xml:space="preserve">Tsugawa H, Ikeda K, Takahashi M, Satoh A, Mori Y, Uchino H, et al. A lipidome atlas in</w:t>
      </w:r>
      <w:r>
        <w:t xml:space="preserve"> </w:t>
      </w:r>
      <w:r>
        <w:t xml:space="preserve">MS-DIAL</w:t>
      </w:r>
      <w:r>
        <w:t xml:space="preserve"> </w:t>
      </w:r>
      <w:r>
        <w:t xml:space="preserve">4. Nature Biotechnology 2020;38:1159–63.</w:t>
      </w:r>
      <w:r>
        <w:t xml:space="preserve"> </w:t>
      </w:r>
      <w:hyperlink r:id="rId45">
        <w:r>
          <w:rPr>
            <w:rStyle w:val="24"/>
          </w:rPr>
          <w:t xml:space="preserve">https://doi.org/10.1038/s41587-020-0531-2</w:t>
        </w:r>
      </w:hyperlink>
      <w:r>
        <w:t xml:space="preserve">.</w:t>
      </w:r>
    </w:p>
    <w:bookmarkEnd w:id="46"/>
    <w:bookmarkStart w:id="48" w:name="ref-2018az"/>
    <w:p>
      <w:pPr>
        <w:pStyle w:val="189"/>
      </w:pPr>
      <w:r>
        <w:t xml:space="preserve">[2]</w:t>
      </w:r>
      <w:r>
        <w:t xml:space="preserve"> </w:t>
      </w:r>
      <w:r>
        <w:t xml:space="preserve">	</w:t>
      </w:r>
      <w:r>
        <w:t xml:space="preserve">Chong J, Soufan O, Li C, Caraus I, Li S, Bourque G, et al.</w:t>
      </w:r>
      <w:r>
        <w:t xml:space="preserve"> </w:t>
      </w:r>
      <w:r>
        <w:t xml:space="preserve">MetaboAnalyst</w:t>
      </w:r>
      <w:r>
        <w:t xml:space="preserve"> </w:t>
      </w:r>
      <w:r>
        <w:t xml:space="preserve">4.0: Towards more transparent and integrative metabolomics analysis. Nucleic Acids Research 2018;46:W486–94.</w:t>
      </w:r>
      <w:r>
        <w:t xml:space="preserve"> </w:t>
      </w:r>
      <w:hyperlink r:id="rId47">
        <w:r>
          <w:rPr>
            <w:rStyle w:val="24"/>
          </w:rPr>
          <w:t xml:space="preserve">https://doi.org/10.1093/nar/gky310</w:t>
        </w:r>
      </w:hyperlink>
      <w:r>
        <w:t xml:space="preserve">.</w:t>
      </w:r>
    </w:p>
    <w:bookmarkEnd w:id="48"/>
    <w:bookmarkStart w:id="50" w:name="ref-2020co"/>
    <w:p>
      <w:pPr>
        <w:pStyle w:val="189"/>
      </w:pPr>
      <w:r>
        <w:t xml:space="preserve">[3]</w:t>
      </w:r>
      <w:r>
        <w:t xml:space="preserve"> </w:t>
      </w:r>
      <w:r>
        <w:t xml:space="preserve">	</w:t>
      </w:r>
      <w:r>
        <w:t xml:space="preserve">Tsugawa H. Computational</w:t>
      </w:r>
      <w:r>
        <w:t xml:space="preserve"> </w:t>
      </w:r>
      <w:r>
        <w:t xml:space="preserve">MS</w:t>
      </w:r>
      <w:r>
        <w:t xml:space="preserve">/</w:t>
      </w:r>
      <w:r>
        <w:t xml:space="preserve">MS Fragmentation</w:t>
      </w:r>
      <w:r>
        <w:t xml:space="preserve"> </w:t>
      </w:r>
      <w:r>
        <w:t xml:space="preserve">and</w:t>
      </w:r>
      <w:r>
        <w:t xml:space="preserve"> </w:t>
      </w:r>
      <w:r>
        <w:t xml:space="preserve">Structure Elucidation Using MS-FINDER Software</w:t>
      </w:r>
      <w:r>
        <w:t xml:space="preserve">. Comprehensive</w:t>
      </w:r>
      <w:r>
        <w:t xml:space="preserve"> </w:t>
      </w:r>
      <w:r>
        <w:t xml:space="preserve">Natural Products III</w:t>
      </w:r>
      <w:r>
        <w:t xml:space="preserve">,</w:t>
      </w:r>
      <w:r>
        <w:t xml:space="preserve"> </w:t>
      </w:r>
      <w:r>
        <w:t xml:space="preserve">Elsevier</w:t>
      </w:r>
      <w:r>
        <w:t xml:space="preserve">; 2020, p. 189–210.</w:t>
      </w:r>
      <w:r>
        <w:t xml:space="preserve"> </w:t>
      </w:r>
      <w:hyperlink r:id="rId49">
        <w:r>
          <w:rPr>
            <w:rStyle w:val="24"/>
          </w:rPr>
          <w:t xml:space="preserve">https://doi.org/10.1016/B978-0-12-409547-2.14645-1</w:t>
        </w:r>
      </w:hyperlink>
      <w:r>
        <w:t xml:space="preserve">.</w:t>
      </w:r>
    </w:p>
    <w:bookmarkEnd w:id="50"/>
    <w:bookmarkStart w:id="52" w:name="ref-2016a"/>
    <w:p>
      <w:pPr>
        <w:pStyle w:val="189"/>
      </w:pPr>
      <w:r>
        <w:t xml:space="preserve">[4]</w:t>
      </w:r>
      <w:r>
        <w:t xml:space="preserve"> </w:t>
      </w:r>
      <w:r>
        <w:t xml:space="preserve">	</w:t>
      </w:r>
      <w:r>
        <w:t xml:space="preserve">Wang M, Carver JJ, Phelan VV, Sanchez LM, Garg N, Peng Y, et al. Sharing and community curation of mass spectrometry data with</w:t>
      </w:r>
      <w:r>
        <w:t xml:space="preserve"> </w:t>
      </w:r>
      <w:r>
        <w:t xml:space="preserve">Global Natural Products Social Molecular Networking</w:t>
      </w:r>
      <w:r>
        <w:t xml:space="preserve">. Nature Biotechnology 2016;34:828–37.</w:t>
      </w:r>
      <w:r>
        <w:t xml:space="preserve"> </w:t>
      </w:r>
      <w:hyperlink r:id="rId51">
        <w:r>
          <w:rPr>
            <w:rStyle w:val="24"/>
          </w:rPr>
          <w:t xml:space="preserve">https://doi.org/10.1038/nbt.3597</w:t>
        </w:r>
      </w:hyperlink>
      <w:r>
        <w:t xml:space="preserve">.</w:t>
      </w:r>
    </w:p>
    <w:bookmarkEnd w:id="52"/>
    <w:bookmarkStart w:id="54" w:name="ref-2012d"/>
    <w:p>
      <w:pPr>
        <w:pStyle w:val="189"/>
      </w:pPr>
      <w:r>
        <w:t xml:space="preserve">[5]</w:t>
      </w:r>
      <w:r>
        <w:t xml:space="preserve"> </w:t>
      </w:r>
      <w:r>
        <w:t xml:space="preserve">	</w:t>
      </w:r>
      <w:r>
        <w:t xml:space="preserve">Chambers MC, Maclean B, Burke R, Amodei D, Ruderman DL, Neumann S, et al. A cross-platform toolkit for mass spectrometry and proteomics. Nature Biotechnology 2012;30:918–20.</w:t>
      </w:r>
      <w:r>
        <w:t xml:space="preserve"> </w:t>
      </w:r>
      <w:hyperlink r:id="rId53">
        <w:r>
          <w:rPr>
            <w:rStyle w:val="24"/>
          </w:rPr>
          <w:t xml:space="preserve">https://doi.org/ghh626</w:t>
        </w:r>
      </w:hyperlink>
      <w:r>
        <w:t xml:space="preserve">.</w:t>
      </w:r>
    </w:p>
    <w:bookmarkEnd w:id="54"/>
    <w:bookmarkStart w:id="56" w:name="ref-2016e"/>
    <w:p>
      <w:pPr>
        <w:pStyle w:val="189"/>
      </w:pPr>
      <w:r>
        <w:t xml:space="preserve">[6]</w:t>
      </w:r>
      <w:r>
        <w:t xml:space="preserve"> </w:t>
      </w:r>
      <w:r>
        <w:t xml:space="preserve">	</w:t>
      </w:r>
      <w:r>
        <w:t xml:space="preserve">Röst HL, Sachsenberg T, Aiche S, Bielow C, Weisser H, Aicheler F, et al.</w:t>
      </w:r>
      <w:r>
        <w:t xml:space="preserve"> </w:t>
      </w:r>
      <w:r>
        <w:t xml:space="preserve">OpenMS</w:t>
      </w:r>
      <w:r>
        <w:t xml:space="preserve">: A flexible open-source software platform for mass spectrometry data analysis. Nature Methods 2016;13:741–8.</w:t>
      </w:r>
      <w:r>
        <w:t xml:space="preserve"> </w:t>
      </w:r>
      <w:hyperlink r:id="rId55">
        <w:r>
          <w:rPr>
            <w:rStyle w:val="24"/>
          </w:rPr>
          <w:t xml:space="preserve">https://doi.org/f82r32</w:t>
        </w:r>
      </w:hyperlink>
      <w:r>
        <w:t xml:space="preserve">.</w:t>
      </w:r>
    </w:p>
    <w:bookmarkEnd w:id="56"/>
    <w:bookmarkStart w:id="58" w:name="ref-2006a"/>
    <w:p>
      <w:pPr>
        <w:pStyle w:val="189"/>
      </w:pPr>
      <w:r>
        <w:t xml:space="preserve">[7]</w:t>
      </w:r>
      <w:r>
        <w:t xml:space="preserve"> </w:t>
      </w:r>
      <w:r>
        <w:t xml:space="preserve">	</w:t>
      </w:r>
      <w:r>
        <w:t xml:space="preserve">Smith CA, Want EJ, O’Maille G, Abagyan R, Siuzdak G.</w:t>
      </w:r>
      <w:r>
        <w:t xml:space="preserve"> </w:t>
      </w:r>
      <w:r>
        <w:t xml:space="preserve">XCMS</w:t>
      </w:r>
      <w:r>
        <w:t xml:space="preserve">:</w:t>
      </w:r>
      <w:r>
        <w:t xml:space="preserve"> </w:t>
      </w:r>
      <w:r>
        <w:t xml:space="preserve">Processing Mass Spectrometry Data</w:t>
      </w:r>
      <w:r>
        <w:t xml:space="preserve"> </w:t>
      </w:r>
      <w:r>
        <w:t xml:space="preserve">for</w:t>
      </w:r>
      <w:r>
        <w:t xml:space="preserve"> </w:t>
      </w:r>
      <w:r>
        <w:t xml:space="preserve">Metabolite Profiling Using Nonlinear Peak Alignment</w:t>
      </w:r>
      <w:r>
        <w:t xml:space="preserve">,</w:t>
      </w:r>
      <w:r>
        <w:t xml:space="preserve"> </w:t>
      </w:r>
      <w:r>
        <w:t xml:space="preserve">Matching</w:t>
      </w:r>
      <w:r>
        <w:t xml:space="preserve">, and</w:t>
      </w:r>
      <w:r>
        <w:t xml:space="preserve"> </w:t>
      </w:r>
      <w:r>
        <w:t xml:space="preserve">Identification</w:t>
      </w:r>
      <w:r>
        <w:t xml:space="preserve">. Analytical Chemistry 2006;78:779–87.</w:t>
      </w:r>
      <w:r>
        <w:t xml:space="preserve"> </w:t>
      </w:r>
      <w:hyperlink r:id="rId57">
        <w:r>
          <w:rPr>
            <w:rStyle w:val="24"/>
          </w:rPr>
          <w:t xml:space="preserve">https://doi.org/b58xrd</w:t>
        </w:r>
      </w:hyperlink>
      <w:r>
        <w:t xml:space="preserve">.</w:t>
      </w:r>
    </w:p>
    <w:bookmarkEnd w:id="58"/>
    <w:bookmarkStart w:id="60" w:name="ref-2010"/>
    <w:p>
      <w:pPr>
        <w:pStyle w:val="189"/>
      </w:pPr>
      <w:r>
        <w:t xml:space="preserve">[8]</w:t>
      </w:r>
      <w:r>
        <w:t xml:space="preserve"> </w:t>
      </w:r>
      <w:r>
        <w:t xml:space="preserve">	</w:t>
      </w:r>
      <w:r>
        <w:t xml:space="preserve">Pluskal T, Castillo S, Villar-Briones A, Orešič M.</w:t>
      </w:r>
      <w:r>
        <w:t xml:space="preserve"> </w:t>
      </w:r>
      <w:r>
        <w:t xml:space="preserve">MZmine</w:t>
      </w:r>
      <w:r>
        <w:t xml:space="preserve"> </w:t>
      </w:r>
      <w:r>
        <w:t xml:space="preserve">2:</w:t>
      </w:r>
      <w:r>
        <w:t xml:space="preserve"> </w:t>
      </w:r>
      <w:r>
        <w:t xml:space="preserve">Modular</w:t>
      </w:r>
      <w:r>
        <w:t xml:space="preserve"> </w:t>
      </w:r>
      <w:r>
        <w:t xml:space="preserve">framework for processing, visualizing, and analyzing mass spectrometry-based molecular profile data. BMC Bioinformatics 2010;11:395.</w:t>
      </w:r>
      <w:r>
        <w:t xml:space="preserve"> </w:t>
      </w:r>
      <w:hyperlink r:id="rId59">
        <w:r>
          <w:rPr>
            <w:rStyle w:val="24"/>
          </w:rPr>
          <w:t xml:space="preserve">https://doi.org/bxbwnj</w:t>
        </w:r>
      </w:hyperlink>
      <w:r>
        <w:t xml:space="preserve">.</w:t>
      </w:r>
    </w:p>
    <w:bookmarkEnd w:id="60"/>
    <w:bookmarkStart w:id="62" w:name="ref-2017f"/>
    <w:p>
      <w:pPr>
        <w:pStyle w:val="189"/>
      </w:pPr>
      <w:r>
        <w:t xml:space="preserve">[9]</w:t>
      </w:r>
      <w:r>
        <w:t xml:space="preserve"> </w:t>
      </w:r>
      <w:r>
        <w:t xml:space="preserve">	</w:t>
      </w:r>
      <w:r>
        <w:t xml:space="preserve">Myers OD, Sumner SJ, Li S, Barnes S, Du X. One</w:t>
      </w:r>
      <w:r>
        <w:t xml:space="preserve"> </w:t>
      </w:r>
      <w:r>
        <w:t xml:space="preserve">Step Forward</w:t>
      </w:r>
      <w:r>
        <w:t xml:space="preserve"> </w:t>
      </w:r>
      <w:r>
        <w:t xml:space="preserve">for</w:t>
      </w:r>
      <w:r>
        <w:t xml:space="preserve"> </w:t>
      </w:r>
      <w:r>
        <w:t xml:space="preserve">Reducing False Positive</w:t>
      </w:r>
      <w:r>
        <w:t xml:space="preserve"> </w:t>
      </w:r>
      <w:r>
        <w:t xml:space="preserve">and</w:t>
      </w:r>
      <w:r>
        <w:t xml:space="preserve"> </w:t>
      </w:r>
      <w:r>
        <w:t xml:space="preserve">False Negative Compound Identifications</w:t>
      </w:r>
      <w:r>
        <w:t xml:space="preserve"> </w:t>
      </w:r>
      <w:r>
        <w:t xml:space="preserve">from</w:t>
      </w:r>
      <w:r>
        <w:t xml:space="preserve"> </w:t>
      </w:r>
      <w:r>
        <w:t xml:space="preserve">Mass Spectrometry Metabolomics Data</w:t>
      </w:r>
      <w:r>
        <w:t xml:space="preserve">:</w:t>
      </w:r>
      <w:r>
        <w:t xml:space="preserve"> </w:t>
      </w:r>
      <w:r>
        <w:t xml:space="preserve">New Algorithms</w:t>
      </w:r>
      <w:r>
        <w:t xml:space="preserve"> </w:t>
      </w:r>
      <w:r>
        <w:t xml:space="preserve">for</w:t>
      </w:r>
      <w:r>
        <w:t xml:space="preserve"> </w:t>
      </w:r>
      <w:r>
        <w:t xml:space="preserve">Constructing Extracted Ion Chromatograms</w:t>
      </w:r>
      <w:r>
        <w:t xml:space="preserve"> </w:t>
      </w:r>
      <w:r>
        <w:t xml:space="preserve">and</w:t>
      </w:r>
      <w:r>
        <w:t xml:space="preserve"> </w:t>
      </w:r>
      <w:r>
        <w:t xml:space="preserve">Detecting Chromatographic Peaks</w:t>
      </w:r>
      <w:r>
        <w:t xml:space="preserve">. Analytical Chemistry 2017;89:8696–703.</w:t>
      </w:r>
      <w:r>
        <w:t xml:space="preserve"> </w:t>
      </w:r>
      <w:hyperlink r:id="rId61">
        <w:r>
          <w:rPr>
            <w:rStyle w:val="24"/>
          </w:rPr>
          <w:t xml:space="preserve">https://doi.org/gbrjtm</w:t>
        </w:r>
      </w:hyperlink>
      <w:r>
        <w:t xml:space="preserve">.</w:t>
      </w:r>
    </w:p>
    <w:bookmarkEnd w:id="62"/>
    <w:bookmarkStart w:id="64" w:name="ref-2022"/>
    <w:p>
      <w:pPr>
        <w:pStyle w:val="189"/>
      </w:pPr>
      <w:r>
        <w:t xml:space="preserve">[10]</w:t>
      </w:r>
      <w:r>
        <w:t xml:space="preserve"> </w:t>
      </w:r>
      <w:r>
        <w:t xml:space="preserve">	</w:t>
      </w:r>
      <w:r>
        <w:t xml:space="preserve">Fu J, Zhang Y, Wang Y, Zhang H, Liu J, Tang J, et al. Optimization of metabolomic data processing using</w:t>
      </w:r>
      <w:r>
        <w:t xml:space="preserve"> </w:t>
      </w:r>
      <w:r>
        <w:t xml:space="preserve">NOREVA</w:t>
      </w:r>
      <w:r>
        <w:t xml:space="preserve">. Nature Protocols 2022;17:129–51.</w:t>
      </w:r>
      <w:r>
        <w:t xml:space="preserve"> </w:t>
      </w:r>
      <w:hyperlink r:id="rId63">
        <w:r>
          <w:rPr>
            <w:rStyle w:val="24"/>
          </w:rPr>
          <w:t xml:space="preserve">https://doi.org/10.1038/s41596-021-00636-9</w:t>
        </w:r>
      </w:hyperlink>
      <w:r>
        <w:t xml:space="preserve">.</w:t>
      </w:r>
    </w:p>
    <w:bookmarkEnd w:id="64"/>
    <w:bookmarkStart w:id="66" w:name="ref-2017ao"/>
    <w:p>
      <w:pPr>
        <w:pStyle w:val="189"/>
      </w:pPr>
      <w:r>
        <w:t xml:space="preserve">[11]</w:t>
      </w:r>
      <w:r>
        <w:t xml:space="preserve"> </w:t>
      </w:r>
      <w:r>
        <w:t xml:space="preserve">	</w:t>
      </w:r>
      <w:r>
        <w:t xml:space="preserve">Mahieu NG, Patti GJ. Systems-</w:t>
      </w:r>
      <w:r>
        <w:t xml:space="preserve">Level Annotation</w:t>
      </w:r>
      <w:r>
        <w:t xml:space="preserve"> </w:t>
      </w:r>
      <w:r>
        <w:t xml:space="preserve">of a</w:t>
      </w:r>
      <w:r>
        <w:t xml:space="preserve"> </w:t>
      </w:r>
      <w:r>
        <w:t xml:space="preserve">Metabolomics Data Set Reduces</w:t>
      </w:r>
      <w:r>
        <w:t xml:space="preserve"> </w:t>
      </w:r>
      <w:r>
        <w:t xml:space="preserve">25 000</w:t>
      </w:r>
      <w:r>
        <w:t xml:space="preserve"> </w:t>
      </w:r>
      <w:r>
        <w:t xml:space="preserve">Features</w:t>
      </w:r>
      <w:r>
        <w:t xml:space="preserve"> </w:t>
      </w:r>
      <w:r>
        <w:t xml:space="preserve">to</w:t>
      </w:r>
      <w:r>
        <w:t xml:space="preserve"> </w:t>
      </w:r>
      <w:r>
        <w:t xml:space="preserve">Fewer</w:t>
      </w:r>
      <w:r>
        <w:t xml:space="preserve"> </w:t>
      </w:r>
      <w:r>
        <w:t xml:space="preserve">than 1000</w:t>
      </w:r>
      <w:r>
        <w:t xml:space="preserve"> </w:t>
      </w:r>
      <w:r>
        <w:t xml:space="preserve">Unique Metabolites</w:t>
      </w:r>
      <w:r>
        <w:t xml:space="preserve">. Analytical Chemistry 2017;89:10397–406.</w:t>
      </w:r>
      <w:r>
        <w:t xml:space="preserve"> </w:t>
      </w:r>
      <w:hyperlink r:id="rId65">
        <w:r>
          <w:rPr>
            <w:rStyle w:val="24"/>
          </w:rPr>
          <w:t xml:space="preserve">https://doi.org/10.1021/acs.analchem.7b02380</w:t>
        </w:r>
      </w:hyperlink>
      <w:r>
        <w:t xml:space="preserve">.</w:t>
      </w:r>
    </w:p>
    <w:bookmarkEnd w:id="66"/>
    <w:bookmarkStart w:id="68" w:name="ref-2022b"/>
    <w:p>
      <w:pPr>
        <w:pStyle w:val="189"/>
      </w:pPr>
      <w:r>
        <w:t xml:space="preserve">[12]</w:t>
      </w:r>
      <w:r>
        <w:t xml:space="preserve"> </w:t>
      </w:r>
      <w:r>
        <w:t xml:space="preserve">	</w:t>
      </w:r>
      <w:r>
        <w:t xml:space="preserve">Gloaguen Y, Kirwan JA, Beule D. Deep</w:t>
      </w:r>
      <w:r>
        <w:t xml:space="preserve"> </w:t>
      </w:r>
      <w:r>
        <w:t xml:space="preserve">Learning-Assisted Peak Curation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Large-Scale LC-MS Metabolomics</w:t>
      </w:r>
      <w:r>
        <w:t xml:space="preserve">. Analytical Chemistry 2022;94:4930–7.</w:t>
      </w:r>
      <w:r>
        <w:t xml:space="preserve"> </w:t>
      </w:r>
      <w:hyperlink r:id="rId67">
        <w:r>
          <w:rPr>
            <w:rStyle w:val="24"/>
          </w:rPr>
          <w:t xml:space="preserve">https://doi.org/10.1021/acs.analchem.1c02220</w:t>
        </w:r>
      </w:hyperlink>
      <w:r>
        <w:t xml:space="preserve">.</w:t>
      </w:r>
    </w:p>
    <w:bookmarkEnd w:id="68"/>
    <w:bookmarkStart w:id="70" w:name="ref-2017i"/>
    <w:p>
      <w:pPr>
        <w:pStyle w:val="189"/>
      </w:pPr>
      <w:r>
        <w:t xml:space="preserve">[13]</w:t>
      </w:r>
      <w:r>
        <w:t xml:space="preserve"> </w:t>
      </w:r>
      <w:r>
        <w:t xml:space="preserve">	</w:t>
      </w:r>
      <w:r>
        <w:t xml:space="preserve">Neumann U, Genze N, Heider D.</w:t>
      </w:r>
      <w:r>
        <w:t xml:space="preserve"> </w:t>
      </w:r>
      <w:r>
        <w:t xml:space="preserve">EFS</w:t>
      </w:r>
      <w:r>
        <w:t xml:space="preserve">: An ensemble feature selection tool implemented as</w:t>
      </w:r>
      <w:r>
        <w:t xml:space="preserve"> </w:t>
      </w:r>
      <w:r>
        <w:t xml:space="preserve">R-package</w:t>
      </w:r>
      <w:r>
        <w:t xml:space="preserve"> </w:t>
      </w:r>
      <w:r>
        <w:t xml:space="preserve">and web-application. BioData Mining 2017;10:21.</w:t>
      </w:r>
      <w:r>
        <w:t xml:space="preserve"> </w:t>
      </w:r>
      <w:hyperlink r:id="rId69">
        <w:r>
          <w:rPr>
            <w:rStyle w:val="24"/>
          </w:rPr>
          <w:t xml:space="preserve">https://doi.org/10.1186/s13040-017-0142-8</w:t>
        </w:r>
      </w:hyperlink>
      <w:r>
        <w:t xml:space="preserve">.</w:t>
      </w:r>
    </w:p>
    <w:bookmarkEnd w:id="70"/>
    <w:bookmarkStart w:id="72" w:name="ref-2010p"/>
    <w:p>
      <w:pPr>
        <w:pStyle w:val="189"/>
      </w:pPr>
      <w:r>
        <w:t xml:space="preserve">[14]</w:t>
      </w:r>
      <w:r>
        <w:t xml:space="preserve"> </w:t>
      </w:r>
      <w:r>
        <w:t xml:space="preserve">	</w:t>
      </w:r>
      <w:r>
        <w:t xml:space="preserve">Horai H, Arita M, Kanaya S, Nihei Y, Ikeda T, Suwa K, et al.</w:t>
      </w:r>
      <w:r>
        <w:t xml:space="preserve"> </w:t>
      </w:r>
      <w:r>
        <w:t xml:space="preserve">MassBank</w:t>
      </w:r>
      <w:r>
        <w:t xml:space="preserve">: A public repository for sharing mass spectral data for life sciences. Journal of Mass Spectrometry: JMS 2010;45:703–14.</w:t>
      </w:r>
      <w:r>
        <w:t xml:space="preserve"> </w:t>
      </w:r>
      <w:hyperlink r:id="rId71">
        <w:r>
          <w:rPr>
            <w:rStyle w:val="24"/>
          </w:rPr>
          <w:t xml:space="preserve">https://doi.org/10.1002/jms.1777</w:t>
        </w:r>
      </w:hyperlink>
      <w:r>
        <w:t xml:space="preserve">.</w:t>
      </w:r>
    </w:p>
    <w:bookmarkEnd w:id="72"/>
    <w:bookmarkStart w:id="74" w:name="ref-2012ac"/>
    <w:p>
      <w:pPr>
        <w:pStyle w:val="189"/>
      </w:pPr>
      <w:r>
        <w:t xml:space="preserve">[15]</w:t>
      </w:r>
      <w:r>
        <w:t xml:space="preserve"> </w:t>
      </w:r>
      <w:r>
        <w:t xml:space="preserve">	</w:t>
      </w:r>
      <w:r>
        <w:t xml:space="preserve">Sawada Y, Nakabayashi R, Yamada Y, Suzuki M, Sato M, Sakata A, et al.</w:t>
      </w:r>
      <w:r>
        <w:t xml:space="preserve"> </w:t>
      </w:r>
      <w:r>
        <w:t xml:space="preserve">RIKEN</w:t>
      </w:r>
      <w:r>
        <w:t xml:space="preserve"> </w:t>
      </w:r>
      <w:r>
        <w:t xml:space="preserve">tandem mass spectral database (</w:t>
      </w:r>
      <w:r>
        <w:t xml:space="preserve">ReSpect</w:t>
      </w:r>
      <w:r>
        <w:t xml:space="preserve">) for phytochemicals:</w:t>
      </w:r>
      <w:r>
        <w:t xml:space="preserve"> </w:t>
      </w:r>
      <w:r>
        <w:t xml:space="preserve">A</w:t>
      </w:r>
      <w:r>
        <w:t xml:space="preserve"> </w:t>
      </w:r>
      <w:r>
        <w:t xml:space="preserve">plant-specific</w:t>
      </w:r>
      <w:r>
        <w:t xml:space="preserve"> </w:t>
      </w:r>
      <w:r>
        <w:t xml:space="preserve">MS</w:t>
      </w:r>
      <w:r>
        <w:t xml:space="preserve">/</w:t>
      </w:r>
      <w:r>
        <w:t xml:space="preserve">MS-based</w:t>
      </w:r>
      <w:r>
        <w:t xml:space="preserve"> </w:t>
      </w:r>
      <w:r>
        <w:t xml:space="preserve">data resource and database. Phytochemistry 2012;82:38–45.</w:t>
      </w:r>
      <w:r>
        <w:t xml:space="preserve"> </w:t>
      </w:r>
      <w:hyperlink r:id="rId73">
        <w:r>
          <w:rPr>
            <w:rStyle w:val="24"/>
          </w:rPr>
          <w:t xml:space="preserve">https://doi.org/10.1016/j.phytochem.2012.07.007</w:t>
        </w:r>
      </w:hyperlink>
      <w:r>
        <w:t xml:space="preserve">.</w:t>
      </w:r>
    </w:p>
    <w:bookmarkEnd w:id="74"/>
    <w:bookmarkStart w:id="76" w:name="ref-2015ak"/>
    <w:p>
      <w:pPr>
        <w:pStyle w:val="189"/>
      </w:pPr>
      <w:r>
        <w:t xml:space="preserve">[16]</w:t>
      </w:r>
      <w:r>
        <w:t xml:space="preserve"> </w:t>
      </w:r>
      <w:r>
        <w:t xml:space="preserve">	</w:t>
      </w:r>
      <w:r>
        <w:t xml:space="preserve">Lei Z, Jing L, Qiu F, Zhang H, Huhman D, Zhou Z, et al. Construction of an</w:t>
      </w:r>
      <w:r>
        <w:t xml:space="preserve"> </w:t>
      </w:r>
      <w:r>
        <w:t xml:space="preserve">Ultrahigh Pressure Liquid Chromatography-Tandem Mass Spectral Library</w:t>
      </w:r>
      <w:r>
        <w:t xml:space="preserve"> </w:t>
      </w:r>
      <w:r>
        <w:t xml:space="preserve">of</w:t>
      </w:r>
      <w:r>
        <w:t xml:space="preserve"> </w:t>
      </w:r>
      <w:r>
        <w:t xml:space="preserve">Plant Natural Products</w:t>
      </w:r>
      <w:r>
        <w:t xml:space="preserve"> </w:t>
      </w:r>
      <w:r>
        <w:t xml:space="preserve">and</w:t>
      </w:r>
      <w:r>
        <w:t xml:space="preserve"> </w:t>
      </w:r>
      <w:r>
        <w:t xml:space="preserve">Comparative Spectral Analyses</w:t>
      </w:r>
      <w:r>
        <w:t xml:space="preserve">. Analytical Chemistry 2015;87:7373–81.</w:t>
      </w:r>
      <w:r>
        <w:t xml:space="preserve"> </w:t>
      </w:r>
      <w:hyperlink r:id="rId75">
        <w:r>
          <w:rPr>
            <w:rStyle w:val="24"/>
          </w:rPr>
          <w:t xml:space="preserve">https://doi.org/10.1021/acs.analchem.5b01559</w:t>
        </w:r>
      </w:hyperlink>
      <w:r>
        <w:t xml:space="preserve">.</w:t>
      </w:r>
    </w:p>
    <w:bookmarkEnd w:id="76"/>
    <w:bookmarkStart w:id="78" w:name="ref-2020cp"/>
    <w:p>
      <w:pPr>
        <w:pStyle w:val="189"/>
      </w:pPr>
      <w:r>
        <w:t xml:space="preserve">[17]</w:t>
      </w:r>
      <w:r>
        <w:t xml:space="preserve"> </w:t>
      </w:r>
      <w:r>
        <w:t xml:space="preserve">	</w:t>
      </w:r>
      <w:r>
        <w:t xml:space="preserve">Lee S, Hwang S, Seo M, Shin KB, Kim KH, Park GW, et al.</w:t>
      </w:r>
      <w:r>
        <w:t xml:space="preserve"> </w:t>
      </w:r>
      <w:r>
        <w:t xml:space="preserve">BMDMS-NP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ESI-MS</w:t>
      </w:r>
      <w:r>
        <w:t xml:space="preserve">/</w:t>
      </w:r>
      <w:r>
        <w:t xml:space="preserve">MS</w:t>
      </w:r>
      <w:r>
        <w:t xml:space="preserve"> </w:t>
      </w:r>
      <w:r>
        <w:t xml:space="preserve">spectral library of natural compounds. Phytochemistry 2020;177:112427.</w:t>
      </w:r>
      <w:r>
        <w:t xml:space="preserve"> </w:t>
      </w:r>
      <w:hyperlink r:id="rId77">
        <w:r>
          <w:rPr>
            <w:rStyle w:val="24"/>
          </w:rPr>
          <w:t xml:space="preserve">https://doi.org/10.1016/j.phytochem.2020.112427</w:t>
        </w:r>
      </w:hyperlink>
      <w:r>
        <w:t xml:space="preserve">.</w:t>
      </w:r>
    </w:p>
    <w:bookmarkEnd w:id="78"/>
    <w:bookmarkStart w:id="80" w:name="ref-2020cm"/>
    <w:p>
      <w:pPr>
        <w:pStyle w:val="189"/>
      </w:pPr>
      <w:r>
        <w:t xml:space="preserve">[18]</w:t>
      </w:r>
      <w:r>
        <w:t xml:space="preserve"> </w:t>
      </w:r>
      <w:r>
        <w:t xml:space="preserve">	</w:t>
      </w:r>
      <w:r>
        <w:t xml:space="preserve">Wang M, Jarmusch AK, Vargas F, Aksenov AA, Gauglitz JM, Weldon K, et al. Mass spectrometry searches using</w:t>
      </w:r>
      <w:r>
        <w:t xml:space="preserve"> </w:t>
      </w:r>
      <w:r>
        <w:t xml:space="preserve">MASST</w:t>
      </w:r>
      <w:r>
        <w:t xml:space="preserve">. Nature Biotechnology 2020;38:23–6.</w:t>
      </w:r>
      <w:r>
        <w:t xml:space="preserve"> </w:t>
      </w:r>
      <w:hyperlink r:id="rId79">
        <w:r>
          <w:rPr>
            <w:rStyle w:val="24"/>
          </w:rPr>
          <w:t xml:space="preserve">https://doi.org/10.1038/s41587-019-0375-9</w:t>
        </w:r>
      </w:hyperlink>
      <w:r>
        <w:t xml:space="preserve">.</w:t>
      </w:r>
    </w:p>
    <w:bookmarkEnd w:id="80"/>
    <w:bookmarkStart w:id="82" w:name="ref-2010c"/>
    <w:p>
      <w:pPr>
        <w:pStyle w:val="189"/>
      </w:pPr>
      <w:r>
        <w:t xml:space="preserve">[19]</w:t>
      </w:r>
      <w:r>
        <w:t xml:space="preserve"> </w:t>
      </w:r>
      <w:r>
        <w:t xml:space="preserve">	</w:t>
      </w:r>
      <w:r>
        <w:t xml:space="preserve">Wolf S, Schmidt S, Müller-Hannemann M, Neumann S. In silico fragmentation for computer assisted identification of metabolite mass spectra. BMC Bioinformatics 2010;11:148.</w:t>
      </w:r>
      <w:r>
        <w:t xml:space="preserve"> </w:t>
      </w:r>
      <w:hyperlink r:id="rId81">
        <w:r>
          <w:rPr>
            <w:rStyle w:val="24"/>
          </w:rPr>
          <w:t xml:space="preserve">https://doi.org/10.1186/1471-2105-11-148</w:t>
        </w:r>
      </w:hyperlink>
      <w:r>
        <w:t xml:space="preserve">.</w:t>
      </w:r>
    </w:p>
    <w:bookmarkEnd w:id="82"/>
    <w:bookmarkStart w:id="84" w:name="ref-2015c"/>
    <w:p>
      <w:pPr>
        <w:pStyle w:val="189"/>
      </w:pPr>
      <w:r>
        <w:t xml:space="preserve">[20]</w:t>
      </w:r>
      <w:r>
        <w:t xml:space="preserve"> </w:t>
      </w:r>
      <w:r>
        <w:t xml:space="preserve">	</w:t>
      </w:r>
      <w:r>
        <w:t xml:space="preserve">Allen F, Greiner R, Wishart D. Competitive fragmentation modeling of</w:t>
      </w:r>
      <w:r>
        <w:t xml:space="preserve"> </w:t>
      </w:r>
      <w:r>
        <w:t xml:space="preserve">ESI-MS</w:t>
      </w:r>
      <w:r>
        <w:t xml:space="preserve">/</w:t>
      </w:r>
      <w:r>
        <w:t xml:space="preserve">MS</w:t>
      </w:r>
      <w:r>
        <w:t xml:space="preserve"> </w:t>
      </w:r>
      <w:r>
        <w:t xml:space="preserve">spectra for putative metabolite identification. Metabolomics 2015;11:98–110.</w:t>
      </w:r>
      <w:r>
        <w:t xml:space="preserve"> </w:t>
      </w:r>
      <w:hyperlink r:id="rId83">
        <w:r>
          <w:rPr>
            <w:rStyle w:val="24"/>
          </w:rPr>
          <w:t xml:space="preserve">https://doi.org/10.1007/s11306-014-0676-4</w:t>
        </w:r>
      </w:hyperlink>
      <w:r>
        <w:t xml:space="preserve">.</w:t>
      </w:r>
    </w:p>
    <w:bookmarkEnd w:id="84"/>
    <w:bookmarkStart w:id="86" w:name="ref-2016am"/>
    <w:p>
      <w:pPr>
        <w:pStyle w:val="189"/>
      </w:pPr>
      <w:r>
        <w:t xml:space="preserve">[21]</w:t>
      </w:r>
      <w:r>
        <w:t xml:space="preserve"> </w:t>
      </w:r>
      <w:r>
        <w:t xml:space="preserve">	</w:t>
      </w:r>
      <w:r>
        <w:t xml:space="preserve">Ruttkies C, Schymanski EL, Wolf S, Hollender J, Neumann S.</w:t>
      </w:r>
      <w:r>
        <w:t xml:space="preserve"> </w:t>
      </w:r>
      <w:r>
        <w:t xml:space="preserve">MetFrag</w:t>
      </w:r>
      <w:r>
        <w:t xml:space="preserve"> </w:t>
      </w:r>
      <w:r>
        <w:t xml:space="preserve">relaunched: Incorporating strategies beyond in silico fragmentation. Journal of Cheminformatics 2016;8:3.</w:t>
      </w:r>
      <w:r>
        <w:t xml:space="preserve"> </w:t>
      </w:r>
      <w:hyperlink r:id="rId85">
        <w:r>
          <w:rPr>
            <w:rStyle w:val="24"/>
          </w:rPr>
          <w:t xml:space="preserve">https://doi.org/10.1186/s13321-016-0115-9</w:t>
        </w:r>
      </w:hyperlink>
      <w:r>
        <w:t xml:space="preserve">.</w:t>
      </w:r>
    </w:p>
    <w:bookmarkEnd w:id="86"/>
    <w:bookmarkStart w:id="88" w:name="ref-2017aq"/>
    <w:p>
      <w:pPr>
        <w:pStyle w:val="189"/>
      </w:pPr>
      <w:r>
        <w:t xml:space="preserve">[22]</w:t>
      </w:r>
      <w:r>
        <w:t xml:space="preserve"> </w:t>
      </w:r>
      <w:r>
        <w:t xml:space="preserve">	</w:t>
      </w:r>
      <w:r>
        <w:t xml:space="preserve">Blaženović I, Kind T, Torbašinović H, Obrenović S, Mehta SS, Tsugawa H, et al. Comprehensive comparison of in silico</w:t>
      </w:r>
      <w:r>
        <w:t xml:space="preserve"> 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fragmentation tools of the</w:t>
      </w:r>
      <w:r>
        <w:t xml:space="preserve"> </w:t>
      </w:r>
      <w:r>
        <w:t xml:space="preserve">CASMI</w:t>
      </w:r>
      <w:r>
        <w:t xml:space="preserve"> </w:t>
      </w:r>
      <w:r>
        <w:t xml:space="preserve">contest: Database boosting is needed to achieve 93% accuracy. Journal of Cheminformatics 2017;9:32.</w:t>
      </w:r>
      <w:r>
        <w:t xml:space="preserve"> </w:t>
      </w:r>
      <w:hyperlink r:id="rId87">
        <w:r>
          <w:rPr>
            <w:rStyle w:val="24"/>
          </w:rPr>
          <w:t xml:space="preserve">https://doi.org/10.1186/s13321-017-0219-x</w:t>
        </w:r>
      </w:hyperlink>
      <w:r>
        <w:t xml:space="preserve">.</w:t>
      </w:r>
    </w:p>
    <w:bookmarkEnd w:id="88"/>
    <w:bookmarkStart w:id="90" w:name="ref-2017ap"/>
    <w:p>
      <w:pPr>
        <w:pStyle w:val="189"/>
      </w:pPr>
      <w:r>
        <w:t xml:space="preserve">[23]</w:t>
      </w:r>
      <w:r>
        <w:t xml:space="preserve"> </w:t>
      </w:r>
      <w:r>
        <w:t xml:space="preserve">	</w:t>
      </w:r>
      <w:r>
        <w:t xml:space="preserve">Wang Y, Wang X, Zeng X.</w:t>
      </w:r>
      <w:r>
        <w:t xml:space="preserve"> </w:t>
      </w:r>
      <w:r>
        <w:t xml:space="preserve">MIDAS-G</w:t>
      </w:r>
      <w:r>
        <w:t xml:space="preserve">: A computational platform for investigating fragmentation rules of tandem mass spectrometry in metabolomics. Metabolomics 2017;13:116.</w:t>
      </w:r>
      <w:r>
        <w:t xml:space="preserve"> </w:t>
      </w:r>
      <w:hyperlink r:id="rId89">
        <w:r>
          <w:rPr>
            <w:rStyle w:val="24"/>
          </w:rPr>
          <w:t xml:space="preserve">https://doi.org/10.1007/s11306-017-1258-z</w:t>
        </w:r>
      </w:hyperlink>
      <w:r>
        <w:t xml:space="preserve">.</w:t>
      </w:r>
    </w:p>
    <w:bookmarkEnd w:id="90"/>
    <w:bookmarkStart w:id="92" w:name="ref-2018ax"/>
    <w:p>
      <w:pPr>
        <w:pStyle w:val="189"/>
      </w:pPr>
      <w:r>
        <w:t xml:space="preserve">[24]</w:t>
      </w:r>
      <w:r>
        <w:t xml:space="preserve"> </w:t>
      </w:r>
      <w:r>
        <w:t xml:space="preserve">	</w:t>
      </w:r>
      <w:r>
        <w:t xml:space="preserve">da Silva RR, Wang M, Nothias L-F, van der Hooft JJJ, Caraballo-Rodríguez AM, Fox E, et al. Propagating annotations of molecular networks using in silico fragmentation. PLoS Computational Biology 2018;14:e1006089.</w:t>
      </w:r>
      <w:r>
        <w:t xml:space="preserve"> </w:t>
      </w:r>
      <w:hyperlink r:id="rId91">
        <w:r>
          <w:rPr>
            <w:rStyle w:val="24"/>
          </w:rPr>
          <w:t xml:space="preserve">https://doi.org/10.1371/journal.pcbi.1006089</w:t>
        </w:r>
      </w:hyperlink>
      <w:r>
        <w:t xml:space="preserve">.</w:t>
      </w:r>
    </w:p>
    <w:bookmarkEnd w:id="92"/>
    <w:bookmarkStart w:id="94" w:name="ref-2019bn"/>
    <w:p>
      <w:pPr>
        <w:pStyle w:val="189"/>
      </w:pPr>
      <w:r>
        <w:t xml:space="preserve">[25]</w:t>
      </w:r>
      <w:r>
        <w:t xml:space="preserve"> </w:t>
      </w:r>
      <w:r>
        <w:t xml:space="preserve">	</w:t>
      </w:r>
      <w:r>
        <w:t xml:space="preserve">Djoumbou-Feunang Y, Pon A, Karu N, Zheng J, Li C, Arndt D, et al.</w:t>
      </w:r>
      <w:r>
        <w:t xml:space="preserve"> </w:t>
      </w:r>
      <w:r>
        <w:t xml:space="preserve">CFM-ID</w:t>
      </w:r>
      <w:r>
        <w:t xml:space="preserve"> </w:t>
      </w:r>
      <w:r>
        <w:t xml:space="preserve">3.0:</w:t>
      </w:r>
      <w:r>
        <w:t xml:space="preserve"> </w:t>
      </w:r>
      <w:r>
        <w:t xml:space="preserve">Significantly Improved ESI-MS</w:t>
      </w:r>
      <w:r>
        <w:t xml:space="preserve">/</w:t>
      </w:r>
      <w:r>
        <w:t xml:space="preserve">MS Prediction</w:t>
      </w:r>
      <w:r>
        <w:t xml:space="preserve"> </w:t>
      </w:r>
      <w:r>
        <w:t xml:space="preserve">and</w:t>
      </w:r>
      <w:r>
        <w:t xml:space="preserve"> </w:t>
      </w:r>
      <w:r>
        <w:t xml:space="preserve">Compound Identification</w:t>
      </w:r>
      <w:r>
        <w:t xml:space="preserve">. Metabolites 2019;9:72.</w:t>
      </w:r>
      <w:r>
        <w:t xml:space="preserve"> </w:t>
      </w:r>
      <w:hyperlink r:id="rId93">
        <w:r>
          <w:rPr>
            <w:rStyle w:val="24"/>
          </w:rPr>
          <w:t xml:space="preserve">https://doi.org/10.3390/metabo9040072</w:t>
        </w:r>
      </w:hyperlink>
      <w:r>
        <w:t xml:space="preserve">.</w:t>
      </w:r>
    </w:p>
    <w:bookmarkEnd w:id="94"/>
    <w:bookmarkStart w:id="96" w:name="ref-2020"/>
    <w:p>
      <w:pPr>
        <w:pStyle w:val="189"/>
      </w:pPr>
      <w:r>
        <w:t xml:space="preserve">[26]</w:t>
      </w:r>
      <w:r>
        <w:t xml:space="preserve"> </w:t>
      </w:r>
      <w:r>
        <w:t xml:space="preserve">	</w:t>
      </w:r>
      <w:r>
        <w:t xml:space="preserve">Ludwig M, Fleischauer M, Dührkop K, Hoffmann MA, Böcker S. De</w:t>
      </w:r>
      <w:r>
        <w:t xml:space="preserve"> </w:t>
      </w:r>
      <w:r>
        <w:t xml:space="preserve">Novo Molecular Formula Annotation</w:t>
      </w:r>
      <w:r>
        <w:t xml:space="preserve"> </w:t>
      </w:r>
      <w:r>
        <w:t xml:space="preserve">and</w:t>
      </w:r>
      <w:r>
        <w:t xml:space="preserve"> </w:t>
      </w:r>
      <w:r>
        <w:t xml:space="preserve">Structure Elucidation Using SIRIUS</w:t>
      </w:r>
      <w:r>
        <w:t xml:space="preserve"> </w:t>
      </w:r>
      <w:r>
        <w:t xml:space="preserve">4. In: Li S, editor. Computational</w:t>
      </w:r>
      <w:r>
        <w:t xml:space="preserve"> </w:t>
      </w: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Data Analysis</w:t>
      </w:r>
      <w:r>
        <w:t xml:space="preserve"> </w:t>
      </w:r>
      <w:r>
        <w:t xml:space="preserve">for</w:t>
      </w:r>
      <w:r>
        <w:t xml:space="preserve"> </w:t>
      </w:r>
      <w:r>
        <w:t xml:space="preserve">Metabolomics</w:t>
      </w:r>
      <w:r>
        <w:t xml:space="preserve">, vol. 2104,</w:t>
      </w:r>
      <w:r>
        <w:t xml:space="preserve"> </w:t>
      </w:r>
      <w:r>
        <w:t xml:space="preserve">New York, NY</w:t>
      </w:r>
      <w:r>
        <w:t xml:space="preserve">:</w:t>
      </w:r>
      <w:r>
        <w:t xml:space="preserve"> </w:t>
      </w:r>
      <w:r>
        <w:t xml:space="preserve">Springer US</w:t>
      </w:r>
      <w:r>
        <w:t xml:space="preserve">; 2020, p. 185–207.</w:t>
      </w:r>
      <w:r>
        <w:t xml:space="preserve"> </w:t>
      </w:r>
      <w:hyperlink r:id="rId95">
        <w:r>
          <w:rPr>
            <w:rStyle w:val="24"/>
          </w:rPr>
          <w:t xml:space="preserve">https://doi.org/10.1007/978-1-0716-0239-3_11</w:t>
        </w:r>
      </w:hyperlink>
      <w:r>
        <w:t xml:space="preserve">.</w:t>
      </w:r>
    </w:p>
    <w:bookmarkEnd w:id="96"/>
    <w:bookmarkStart w:id="98" w:name="ref-2020cn"/>
    <w:p>
      <w:pPr>
        <w:pStyle w:val="189"/>
      </w:pPr>
      <w:r>
        <w:t xml:space="preserve">[27]</w:t>
      </w:r>
      <w:r>
        <w:t xml:space="preserve"> </w:t>
      </w:r>
      <w:r>
        <w:t xml:space="preserve">	</w:t>
      </w:r>
      <w:r>
        <w:t xml:space="preserve">Chao A, Al-Ghoul H, McEachran AD, Balabin I, Transue T, Cathey T, et al. In silico</w:t>
      </w:r>
      <w:r>
        <w:t xml:space="preserve"> 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spectra for identifying unknowns: A critical examination using</w:t>
      </w:r>
      <w:r>
        <w:t xml:space="preserve"> </w:t>
      </w:r>
      <w:r>
        <w:t xml:space="preserve">CFM-ID</w:t>
      </w:r>
      <w:r>
        <w:t xml:space="preserve"> </w:t>
      </w:r>
      <w:r>
        <w:t xml:space="preserve">algorithms and</w:t>
      </w:r>
      <w:r>
        <w:t xml:space="preserve"> </w:t>
      </w:r>
      <w:r>
        <w:t xml:space="preserve">ENTACT</w:t>
      </w:r>
      <w:r>
        <w:t xml:space="preserve"> </w:t>
      </w:r>
      <w:r>
        <w:t xml:space="preserve">mixture samples. Analytical and Bioanalytical Chemistry 2020;412:1303–15.</w:t>
      </w:r>
      <w:r>
        <w:t xml:space="preserve"> </w:t>
      </w:r>
      <w:hyperlink r:id="rId97">
        <w:r>
          <w:rPr>
            <w:rStyle w:val="24"/>
          </w:rPr>
          <w:t xml:space="preserve">https://doi.org/10.1007/s00216-019-02351-7</w:t>
        </w:r>
      </w:hyperlink>
      <w:r>
        <w:t xml:space="preserve">.</w:t>
      </w:r>
    </w:p>
    <w:bookmarkEnd w:id="98"/>
    <w:bookmarkStart w:id="100" w:name="ref-2013w"/>
    <w:p>
      <w:pPr>
        <w:pStyle w:val="189"/>
      </w:pPr>
      <w:r>
        <w:t xml:space="preserve">[28]</w:t>
      </w:r>
      <w:r>
        <w:t xml:space="preserve"> </w:t>
      </w:r>
      <w:r>
        <w:t xml:space="preserve">	</w:t>
      </w:r>
      <w:r>
        <w:t xml:space="preserve">Kind T, Liu K-H, Lee DY, DeFelice B, Meissen JK, Fiehn O.</w:t>
      </w:r>
      <w:r>
        <w:t xml:space="preserve"> </w:t>
      </w:r>
      <w:r>
        <w:t xml:space="preserve">LipidBlast</w:t>
      </w:r>
      <w:r>
        <w:t xml:space="preserve"> </w:t>
      </w:r>
      <w:r>
        <w:t xml:space="preserve">in silico tandem mass spectrometry database for lipid identification. Nature Methods 2013;10:755–8.</w:t>
      </w:r>
      <w:r>
        <w:t xml:space="preserve"> </w:t>
      </w:r>
      <w:hyperlink r:id="rId99">
        <w:r>
          <w:rPr>
            <w:rStyle w:val="24"/>
          </w:rPr>
          <w:t xml:space="preserve">https://doi.org/10.1038/nmeth.2551</w:t>
        </w:r>
      </w:hyperlink>
      <w:r>
        <w:t xml:space="preserve">.</w:t>
      </w:r>
    </w:p>
    <w:bookmarkEnd w:id="100"/>
    <w:bookmarkStart w:id="102" w:name="ref-2015aj"/>
    <w:p>
      <w:pPr>
        <w:pStyle w:val="189"/>
      </w:pPr>
      <w:r>
        <w:t xml:space="preserve">[29]</w:t>
      </w:r>
      <w:r>
        <w:t xml:space="preserve"> </w:t>
      </w:r>
      <w:r>
        <w:t xml:space="preserve">	</w:t>
      </w:r>
      <w:r>
        <w:t xml:space="preserve">Jeffryes JG, Colastani RL, Elbadawi-Sidhu M, Kind T, Niehaus TD, Broadbelt LJ, et al.</w:t>
      </w:r>
      <w:r>
        <w:t xml:space="preserve"> </w:t>
      </w:r>
      <w:r>
        <w:t xml:space="preserve">MINEs</w:t>
      </w:r>
      <w:r>
        <w:t xml:space="preserve">: Open access databases of computationally predicted enzyme promiscuity products for untargeted metabolomics. Journal of Cheminformatics 2015;7:44.</w:t>
      </w:r>
      <w:r>
        <w:t xml:space="preserve"> </w:t>
      </w:r>
      <w:hyperlink r:id="rId101">
        <w:r>
          <w:rPr>
            <w:rStyle w:val="24"/>
          </w:rPr>
          <w:t xml:space="preserve">https://doi.org/10.1186/s13321-015-0087-1</w:t>
        </w:r>
      </w:hyperlink>
      <w:r>
        <w:t xml:space="preserve">.</w:t>
      </w:r>
    </w:p>
    <w:bookmarkEnd w:id="102"/>
    <w:bookmarkStart w:id="104" w:name="ref-2012ab"/>
    <w:p>
      <w:pPr>
        <w:pStyle w:val="189"/>
      </w:pPr>
      <w:r>
        <w:t xml:space="preserve">[30]</w:t>
      </w:r>
      <w:r>
        <w:t xml:space="preserve"> </w:t>
      </w:r>
      <w:r>
        <w:t xml:space="preserve">	</w:t>
      </w:r>
      <w:r>
        <w:t xml:space="preserve">Heinonen M, Shen H, Zamboni N, Rousu J. Metabolite identification and molecular fingerprint prediction through machine learning. Bioinformatics (Oxford, England) 2012;28:2333–41.</w:t>
      </w:r>
      <w:r>
        <w:t xml:space="preserve"> </w:t>
      </w:r>
      <w:hyperlink r:id="rId103">
        <w:r>
          <w:rPr>
            <w:rStyle w:val="24"/>
          </w:rPr>
          <w:t xml:space="preserve">https://doi.org/10.1093/bioinformatics/bts437</w:t>
        </w:r>
      </w:hyperlink>
      <w:r>
        <w:t xml:space="preserve">.</w:t>
      </w:r>
    </w:p>
    <w:bookmarkEnd w:id="104"/>
    <w:bookmarkStart w:id="106" w:name="ref-duhrkop_searching_2015"/>
    <w:p>
      <w:pPr>
        <w:pStyle w:val="189"/>
      </w:pPr>
      <w:r>
        <w:t xml:space="preserve">[31]</w:t>
      </w:r>
      <w:r>
        <w:t xml:space="preserve"> </w:t>
      </w:r>
      <w:r>
        <w:t xml:space="preserve">	</w:t>
      </w:r>
      <w:r>
        <w:t xml:space="preserve">Dührkop K, Shen H, Meusel M, Rousu J, Böcker S. Searching molecular structure databases with tandem mass spectra using</w:t>
      </w:r>
      <w:r>
        <w:t xml:space="preserve"> </w:t>
      </w:r>
      <w:r>
        <w:t xml:space="preserve">CSI</w:t>
      </w:r>
      <w:r>
        <w:t xml:space="preserve">:</w:t>
      </w:r>
      <w:r>
        <w:t xml:space="preserve">FingerID</w:t>
      </w:r>
      <w:r>
        <w:t xml:space="preserve">. Proceedings of the National Academy of Sciences 2015;112:12580–5.</w:t>
      </w:r>
      <w:r>
        <w:t xml:space="preserve"> </w:t>
      </w:r>
      <w:hyperlink r:id="rId105">
        <w:r>
          <w:rPr>
            <w:rStyle w:val="24"/>
          </w:rPr>
          <w:t xml:space="preserve">https://doi.org/10.1073/pnas.1509788112</w:t>
        </w:r>
      </w:hyperlink>
      <w:r>
        <w:t xml:space="preserve">.</w:t>
      </w:r>
    </w:p>
    <w:bookmarkEnd w:id="106"/>
    <w:bookmarkStart w:id="108" w:name="ref-2018ay"/>
    <w:p>
      <w:pPr>
        <w:pStyle w:val="189"/>
      </w:pPr>
      <w:r>
        <w:t xml:space="preserve">[32]</w:t>
      </w:r>
      <w:r>
        <w:t xml:space="preserve"> </w:t>
      </w:r>
      <w:r>
        <w:t xml:space="preserve">	</w:t>
      </w:r>
      <w:r>
        <w:t xml:space="preserve">Ludwig M, Dührkop K, Böcker S. Bayesian networks for mass spectrometric metabolite identification via molecular fingerprints. Bioinformatics (Oxford, England) 2018;34:i333–40.</w:t>
      </w:r>
      <w:r>
        <w:t xml:space="preserve"> </w:t>
      </w:r>
      <w:hyperlink r:id="rId107">
        <w:r>
          <w:rPr>
            <w:rStyle w:val="24"/>
          </w:rPr>
          <w:t xml:space="preserve">https://doi.org/10.1093/bioinformatics/bty245</w:t>
        </w:r>
      </w:hyperlink>
      <w:r>
        <w:t xml:space="preserve">.</w:t>
      </w:r>
    </w:p>
    <w:bookmarkEnd w:id="108"/>
    <w:bookmarkStart w:id="110" w:name="ref-2019bo"/>
    <w:p>
      <w:pPr>
        <w:pStyle w:val="189"/>
      </w:pPr>
      <w:r>
        <w:t xml:space="preserve">[33]</w:t>
      </w:r>
      <w:r>
        <w:t xml:space="preserve"> </w:t>
      </w:r>
      <w:r>
        <w:t xml:space="preserve">	</w:t>
      </w:r>
      <w:r>
        <w:t xml:space="preserve">Frainay C, Aros S, Chazalviel M, Garcia T, Vinson F, Weiss N, et al.</w:t>
      </w:r>
      <w:r>
        <w:t xml:space="preserve"> </w:t>
      </w:r>
      <w:r>
        <w:t xml:space="preserve">MetaboRank</w:t>
      </w:r>
      <w:r>
        <w:t xml:space="preserve">: Network-based recommendation system to interpret and enrich metabolomics results. Bioinformatics (Oxford, England) 2019;35:274–83.</w:t>
      </w:r>
      <w:r>
        <w:t xml:space="preserve"> </w:t>
      </w:r>
      <w:hyperlink r:id="rId109">
        <w:r>
          <w:rPr>
            <w:rStyle w:val="24"/>
          </w:rPr>
          <w:t xml:space="preserve">https://doi.org/10.1093/bioinformatics/bty577</w:t>
        </w:r>
      </w:hyperlink>
      <w:r>
        <w:t xml:space="preserve">.</w:t>
      </w:r>
    </w:p>
    <w:bookmarkEnd w:id="110"/>
    <w:bookmarkStart w:id="112" w:name="ref-2019bk"/>
    <w:p>
      <w:pPr>
        <w:pStyle w:val="189"/>
      </w:pPr>
      <w:r>
        <w:t xml:space="preserve">[34]</w:t>
      </w:r>
      <w:r>
        <w:t xml:space="preserve"> </w:t>
      </w:r>
      <w:r>
        <w:t xml:space="preserve">	</w:t>
      </w:r>
      <w:r>
        <w:t xml:space="preserve">Nguyen DH, Nguyen CH, Mamitsuka H.</w:t>
      </w:r>
      <w:r>
        <w:t xml:space="preserve"> </w:t>
      </w:r>
      <w:r>
        <w:t xml:space="preserve">ADAPTIVE</w:t>
      </w:r>
      <w:r>
        <w:t xml:space="preserve">:</w:t>
      </w:r>
      <w:r>
        <w:t xml:space="preserve"> </w:t>
      </w:r>
      <w:r>
        <w:t xml:space="preserve">leArning DAta-dePendenT</w:t>
      </w:r>
      <w:r>
        <w:t xml:space="preserve">,</w:t>
      </w:r>
      <w:r>
        <w:t xml:space="preserve"> </w:t>
      </w:r>
      <w:r>
        <w:t xml:space="preserve">concIse</w:t>
      </w:r>
      <w:r>
        <w:t xml:space="preserve"> </w:t>
      </w:r>
      <w:r>
        <w:t xml:space="preserve">molecular</w:t>
      </w:r>
      <w:r>
        <w:t xml:space="preserve"> </w:t>
      </w:r>
      <w:r>
        <w:t xml:space="preserve">VEctors</w:t>
      </w:r>
      <w:r>
        <w:t xml:space="preserve"> </w:t>
      </w:r>
      <w:r>
        <w:t xml:space="preserve">for fast, accurate metabolite identification from tandem mass spectra. Bioinformatics 2019;35:i164–72.</w:t>
      </w:r>
      <w:r>
        <w:t xml:space="preserve"> </w:t>
      </w:r>
      <w:hyperlink r:id="rId111">
        <w:r>
          <w:rPr>
            <w:rStyle w:val="24"/>
          </w:rPr>
          <w:t xml:space="preserve">https://doi.org/10.1093/bioinformatics/btz319</w:t>
        </w:r>
      </w:hyperlink>
      <w:r>
        <w:t xml:space="preserve">.</w:t>
      </w:r>
    </w:p>
    <w:bookmarkEnd w:id="112"/>
    <w:bookmarkStart w:id="114" w:name="ref-2021cy"/>
    <w:p>
      <w:pPr>
        <w:pStyle w:val="189"/>
      </w:pPr>
      <w:r>
        <w:t xml:space="preserve">[35]</w:t>
      </w:r>
      <w:r>
        <w:t xml:space="preserve"> </w:t>
      </w:r>
      <w:r>
        <w:t xml:space="preserve">	</w:t>
      </w:r>
      <w:r>
        <w:t xml:space="preserve">Cao L, Guler M, Tagirdzhanov A, Lee Y-Y, Gurevich A, Mohimani H.</w:t>
      </w:r>
      <w:r>
        <w:t xml:space="preserve"> </w:t>
      </w:r>
      <w:r>
        <w:t xml:space="preserve">MolDiscovery</w:t>
      </w:r>
      <w:r>
        <w:t xml:space="preserve">: Learning mass spectrometry fragmentation of small molecules. Nature Communications 2021;12:3718.</w:t>
      </w:r>
      <w:r>
        <w:t xml:space="preserve"> </w:t>
      </w:r>
      <w:hyperlink r:id="rId113">
        <w:r>
          <w:rPr>
            <w:rStyle w:val="24"/>
          </w:rPr>
          <w:t xml:space="preserve">https://doi.org/10.1038/s41467-021-23986-0</w:t>
        </w:r>
      </w:hyperlink>
      <w:r>
        <w:t xml:space="preserve">.</w:t>
      </w:r>
    </w:p>
    <w:bookmarkEnd w:id="114"/>
    <w:bookmarkStart w:id="116" w:name="ref-duhrkop_sirius_2019"/>
    <w:p>
      <w:pPr>
        <w:pStyle w:val="189"/>
      </w:pPr>
      <w:r>
        <w:t xml:space="preserve">[36]</w:t>
      </w:r>
      <w:r>
        <w:t xml:space="preserve"> </w:t>
      </w:r>
      <w:r>
        <w:t xml:space="preserve">	</w:t>
      </w:r>
      <w:r>
        <w:t xml:space="preserve">Dührkop K, Fleischauer M, Ludwig M, Aksenov AA, Melnik AV, Meusel M, et al.</w:t>
      </w:r>
      <w:r>
        <w:t xml:space="preserve"> </w:t>
      </w:r>
      <w:r>
        <w:t xml:space="preserve">SIRIUS</w:t>
      </w:r>
      <w:r>
        <w:t xml:space="preserve"> </w:t>
      </w:r>
      <w:r>
        <w:t xml:space="preserve">4: A rapid tool for turning tandem mass spectra into metabolite structure information. Nature Methods 2019;16:299–302.</w:t>
      </w:r>
      <w:r>
        <w:t xml:space="preserve"> </w:t>
      </w:r>
      <w:hyperlink r:id="rId115">
        <w:r>
          <w:rPr>
            <w:rStyle w:val="24"/>
          </w:rPr>
          <w:t xml:space="preserve">https://doi.org/10.1038/s41592-019-0344-8</w:t>
        </w:r>
      </w:hyperlink>
      <w:r>
        <w:t xml:space="preserve">.</w:t>
      </w:r>
    </w:p>
    <w:bookmarkEnd w:id="116"/>
    <w:bookmarkStart w:id="118" w:name="ref-2020b"/>
    <w:p>
      <w:pPr>
        <w:pStyle w:val="189"/>
      </w:pPr>
      <w:r>
        <w:t xml:space="preserve">[37]</w:t>
      </w:r>
      <w:r>
        <w:t xml:space="preserve"> </w:t>
      </w:r>
      <w:r>
        <w:t xml:space="preserve">	</w:t>
      </w:r>
      <w:r>
        <w:t xml:space="preserve">Aron AT, Gentry EC, McPhail KL, Nothias L-F, Nothias-Esposito M, Bouslimani A, et al. Reproducible molecular networking of untargeted mass spectrometry data using</w:t>
      </w:r>
      <w:r>
        <w:t xml:space="preserve"> </w:t>
      </w:r>
      <w:r>
        <w:t xml:space="preserve">GNPS</w:t>
      </w:r>
      <w:r>
        <w:t xml:space="preserve">. Nature Protocols 2020;15:1954–91.</w:t>
      </w:r>
      <w:r>
        <w:t xml:space="preserve"> </w:t>
      </w:r>
      <w:hyperlink r:id="rId117">
        <w:r>
          <w:rPr>
            <w:rStyle w:val="24"/>
          </w:rPr>
          <w:t xml:space="preserve">https://doi.org/10.1038/s41596-020-0317-5</w:t>
        </w:r>
      </w:hyperlink>
      <w:r>
        <w:t xml:space="preserve">.</w:t>
      </w:r>
    </w:p>
    <w:bookmarkEnd w:id="118"/>
    <w:bookmarkStart w:id="120" w:name="ref-2000g"/>
    <w:p>
      <w:pPr>
        <w:pStyle w:val="189"/>
      </w:pPr>
      <w:r>
        <w:t xml:space="preserve">[38]</w:t>
      </w:r>
      <w:r>
        <w:t xml:space="preserve"> </w:t>
      </w:r>
      <w:r>
        <w:t xml:space="preserve">	</w:t>
      </w:r>
      <w:r>
        <w:t xml:space="preserve">Ashburner M, Ball CA, Blake JA, Botstein D, Butler H, Cherry JM, et al. Gene ontology: Tool for the unification of biology.</w:t>
      </w:r>
      <w:r>
        <w:t xml:space="preserve"> </w:t>
      </w:r>
      <w:r>
        <w:t xml:space="preserve">The Gene Ontology Consortium</w:t>
      </w:r>
      <w:r>
        <w:t xml:space="preserve">. Nature Genetics 2000;25:25–9.</w:t>
      </w:r>
      <w:r>
        <w:t xml:space="preserve"> </w:t>
      </w:r>
      <w:hyperlink r:id="rId119">
        <w:r>
          <w:rPr>
            <w:rStyle w:val="24"/>
          </w:rPr>
          <w:t xml:space="preserve">https://doi.org/10.1038/75556</w:t>
        </w:r>
      </w:hyperlink>
      <w:r>
        <w:t xml:space="preserve">.</w:t>
      </w:r>
    </w:p>
    <w:bookmarkEnd w:id="120"/>
    <w:bookmarkStart w:id="122" w:name="ref-2016"/>
    <w:p>
      <w:pPr>
        <w:pStyle w:val="189"/>
      </w:pPr>
      <w:r>
        <w:t xml:space="preserve">[39]</w:t>
      </w:r>
      <w:r>
        <w:t xml:space="preserve"> </w:t>
      </w:r>
      <w:r>
        <w:t xml:space="preserve">	</w:t>
      </w:r>
      <w:r>
        <w:t xml:space="preserve">Djoumbou Feunang Y, Eisner R, Knox C, Chepelev L, Hastings J, Owen G, et al.</w:t>
      </w:r>
      <w:r>
        <w:t xml:space="preserve"> </w:t>
      </w:r>
      <w:r>
        <w:t xml:space="preserve">ClassyFire</w:t>
      </w:r>
      <w:r>
        <w:t xml:space="preserve">: Automated chemical classification with a comprehensive, computable taxonomy. Journal of Cheminformatics 2016;8:61.</w:t>
      </w:r>
      <w:r>
        <w:t xml:space="preserve"> </w:t>
      </w:r>
      <w:hyperlink r:id="rId121">
        <w:r>
          <w:rPr>
            <w:rStyle w:val="24"/>
          </w:rPr>
          <w:t xml:space="preserve">https://doi.org/10.1186/s13321-016-0174-y</w:t>
        </w:r>
      </w:hyperlink>
      <w:r>
        <w:t xml:space="preserve">.</w:t>
      </w:r>
    </w:p>
    <w:bookmarkEnd w:id="122"/>
    <w:bookmarkStart w:id="124" w:name="ref-2019bt"/>
    <w:p>
      <w:pPr>
        <w:pStyle w:val="189"/>
      </w:pPr>
      <w:r>
        <w:t xml:space="preserve">[40]</w:t>
      </w:r>
      <w:r>
        <w:t xml:space="preserve"> </w:t>
      </w:r>
      <w:r>
        <w:t xml:space="preserve">	</w:t>
      </w:r>
      <w:r>
        <w:t xml:space="preserve">Blaženović I, Kind T, Sa MR, Ji J, Vaniya A, Wancewicz B, et al. Structure</w:t>
      </w:r>
      <w:r>
        <w:t xml:space="preserve"> </w:t>
      </w:r>
      <w:r>
        <w:t xml:space="preserve">Annotation</w:t>
      </w:r>
      <w:r>
        <w:t xml:space="preserve"> </w:t>
      </w:r>
      <w:r>
        <w:t xml:space="preserve">of</w:t>
      </w:r>
      <w:r>
        <w:t xml:space="preserve"> </w:t>
      </w:r>
      <w:r>
        <w:t xml:space="preserve">All Mass Spectra</w:t>
      </w:r>
      <w:r>
        <w:t xml:space="preserve"> </w:t>
      </w:r>
      <w:r>
        <w:t xml:space="preserve">in</w:t>
      </w:r>
      <w:r>
        <w:t xml:space="preserve"> </w:t>
      </w:r>
      <w:r>
        <w:t xml:space="preserve">Untargeted Metabolomics</w:t>
      </w:r>
      <w:r>
        <w:t xml:space="preserve">. Analytical Chemistry 2019;91:2155–62.</w:t>
      </w:r>
      <w:r>
        <w:t xml:space="preserve"> </w:t>
      </w:r>
      <w:hyperlink r:id="rId123">
        <w:r>
          <w:rPr>
            <w:rStyle w:val="24"/>
          </w:rPr>
          <w:t xml:space="preserve">https://doi.org/10.1021/acs.analchem.8b04698</w:t>
        </w:r>
      </w:hyperlink>
      <w:r>
        <w:t xml:space="preserve">.</w:t>
      </w:r>
    </w:p>
    <w:bookmarkEnd w:id="124"/>
    <w:bookmarkStart w:id="126" w:name="ref-2019br"/>
    <w:p>
      <w:pPr>
        <w:pStyle w:val="189"/>
      </w:pPr>
      <w:r>
        <w:t xml:space="preserve">[41]</w:t>
      </w:r>
      <w:r>
        <w:t xml:space="preserve"> </w:t>
      </w:r>
      <w:r>
        <w:t xml:space="preserve">	</w:t>
      </w:r>
      <w:r>
        <w:t xml:space="preserve">Ernst M, Kang KB, Caraballo-Rodríguez AM, Nothias L-F, Wandy J, Chen C, et al.</w:t>
      </w:r>
      <w:r>
        <w:t xml:space="preserve"> </w:t>
      </w:r>
      <w:r>
        <w:t xml:space="preserve">MolNetEnhancer</w:t>
      </w:r>
      <w:r>
        <w:t xml:space="preserve">:</w:t>
      </w:r>
      <w:r>
        <w:t xml:space="preserve"> </w:t>
      </w:r>
      <w:r>
        <w:t xml:space="preserve">Enhanced Molecular Networks</w:t>
      </w:r>
      <w:r>
        <w:t xml:space="preserve"> </w:t>
      </w:r>
      <w:r>
        <w:t xml:space="preserve">by</w:t>
      </w:r>
      <w:r>
        <w:t xml:space="preserve"> </w:t>
      </w:r>
      <w:r>
        <w:t xml:space="preserve">Integrating Metabolome Mining</w:t>
      </w:r>
      <w:r>
        <w:t xml:space="preserve"> </w:t>
      </w:r>
      <w:r>
        <w:t xml:space="preserve">and</w:t>
      </w:r>
      <w:r>
        <w:t xml:space="preserve"> </w:t>
      </w:r>
      <w:r>
        <w:t xml:space="preserve">Annotation Tools</w:t>
      </w:r>
      <w:r>
        <w:t xml:space="preserve">. Metabolites 2019;9.</w:t>
      </w:r>
      <w:r>
        <w:t xml:space="preserve"> </w:t>
      </w:r>
      <w:hyperlink r:id="rId125">
        <w:r>
          <w:rPr>
            <w:rStyle w:val="24"/>
          </w:rPr>
          <w:t xml:space="preserve">https://doi.org/10.3390/metabo9070144</w:t>
        </w:r>
      </w:hyperlink>
      <w:r>
        <w:t xml:space="preserve">.</w:t>
      </w:r>
    </w:p>
    <w:bookmarkEnd w:id="126"/>
    <w:bookmarkStart w:id="128" w:name="ref-2019bs"/>
    <w:p>
      <w:pPr>
        <w:pStyle w:val="189"/>
      </w:pPr>
      <w:r>
        <w:t xml:space="preserve">[42]</w:t>
      </w:r>
      <w:r>
        <w:t xml:space="preserve"> </w:t>
      </w:r>
      <w:r>
        <w:t xml:space="preserve">	</w:t>
      </w:r>
      <w:r>
        <w:t xml:space="preserve">Lee J, da Silva RR, Jang HS, Kim HW, Kwon YS, Kim J-H, et al. In silico annotation of discriminative markers of three</w:t>
      </w:r>
      <w:r>
        <w:t xml:space="preserve"> </w:t>
      </w:r>
      <w:r>
        <w:t xml:space="preserve">Zanthoxylum</w:t>
      </w:r>
      <w:r>
        <w:t xml:space="preserve"> </w:t>
      </w:r>
      <w:r>
        <w:t xml:space="preserve">species using molecular network derived annotation propagation. Food Chemistry 2019;295:368–76.</w:t>
      </w:r>
      <w:r>
        <w:t xml:space="preserve"> </w:t>
      </w:r>
      <w:hyperlink r:id="rId127">
        <w:r>
          <w:rPr>
            <w:rStyle w:val="24"/>
          </w:rPr>
          <w:t xml:space="preserve">https://doi.org/10.1016/j.foodchem.2019.05.099</w:t>
        </w:r>
      </w:hyperlink>
      <w:r>
        <w:t xml:space="preserve">.</w:t>
      </w:r>
    </w:p>
    <w:bookmarkEnd w:id="128"/>
    <w:bookmarkStart w:id="130" w:name="ref-2019bq"/>
    <w:p>
      <w:pPr>
        <w:pStyle w:val="189"/>
      </w:pPr>
      <w:r>
        <w:t xml:space="preserve">[43]</w:t>
      </w:r>
      <w:r>
        <w:t xml:space="preserve"> </w:t>
      </w:r>
      <w:r>
        <w:t xml:space="preserve">	</w:t>
      </w:r>
      <w:r>
        <w:t xml:space="preserve">Sha B, Schymanski EL, Ruttkies C, Cousins IT, Wang Z. Exploring open cheminformatics approaches for categorizing per- and polyfluoroalkyl substances (</w:t>
      </w:r>
      <w:r>
        <w:t xml:space="preserve">PFASs</w:t>
      </w:r>
      <w:r>
        <w:t xml:space="preserve">). Environmental Science Processes &amp; Impacts 2019;21:1835–51.</w:t>
      </w:r>
      <w:r>
        <w:t xml:space="preserve"> </w:t>
      </w:r>
      <w:hyperlink r:id="rId129">
        <w:r>
          <w:rPr>
            <w:rStyle w:val="24"/>
          </w:rPr>
          <w:t xml:space="preserve">https://doi.org/10.1039/c9em00321e</w:t>
        </w:r>
      </w:hyperlink>
      <w:r>
        <w:t xml:space="preserve">.</w:t>
      </w:r>
    </w:p>
    <w:bookmarkEnd w:id="130"/>
    <w:bookmarkStart w:id="132" w:name="ref-2020cq"/>
    <w:p>
      <w:pPr>
        <w:pStyle w:val="189"/>
      </w:pPr>
      <w:r>
        <w:t xml:space="preserve">[44]</w:t>
      </w:r>
      <w:r>
        <w:t xml:space="preserve"> </w:t>
      </w:r>
      <w:r>
        <w:t xml:space="preserve">	</w:t>
      </w:r>
      <w:r>
        <w:t xml:space="preserve">Moreno-Ulloa A, Sicairos Diaz V, Tejeda-Mora JA, Macias Contreras MI, Castillo FD, Guerrero A, et al. Chemical</w:t>
      </w:r>
      <w:r>
        <w:t xml:space="preserve"> </w:t>
      </w:r>
      <w:r>
        <w:t xml:space="preserve">Profiling Provides Insights</w:t>
      </w:r>
      <w:r>
        <w:t xml:space="preserve"> </w:t>
      </w:r>
      <w:r>
        <w:t xml:space="preserve">into the</w:t>
      </w:r>
      <w:r>
        <w:t xml:space="preserve"> </w:t>
      </w:r>
      <w:r>
        <w:t xml:space="preserve">Metabolic Machinery</w:t>
      </w:r>
      <w:r>
        <w:t xml:space="preserve"> </w:t>
      </w:r>
      <w:r>
        <w:t xml:space="preserve">of</w:t>
      </w:r>
      <w:r>
        <w:t xml:space="preserve"> </w:t>
      </w:r>
      <w:r>
        <w:t xml:space="preserve">Hydrocarbon-Degrading Deep-Sea Microbes</w:t>
      </w:r>
      <w:r>
        <w:t xml:space="preserve">. mSystems 2020;5.</w:t>
      </w:r>
      <w:r>
        <w:t xml:space="preserve"> </w:t>
      </w:r>
      <w:hyperlink r:id="rId131">
        <w:r>
          <w:rPr>
            <w:rStyle w:val="24"/>
          </w:rPr>
          <w:t xml:space="preserve">https://doi.org/10.1128/mSystems.00824-20</w:t>
        </w:r>
      </w:hyperlink>
      <w:r>
        <w:t xml:space="preserve">.</w:t>
      </w:r>
    </w:p>
    <w:bookmarkEnd w:id="132"/>
    <w:bookmarkStart w:id="134" w:name="ref-2021b"/>
    <w:p>
      <w:pPr>
        <w:pStyle w:val="189"/>
      </w:pPr>
      <w:r>
        <w:t xml:space="preserve">[45]</w:t>
      </w:r>
      <w:r>
        <w:t xml:space="preserve"> </w:t>
      </w:r>
      <w:r>
        <w:t xml:space="preserve">	</w:t>
      </w:r>
      <w:r>
        <w:t xml:space="preserve">Tripathi A, Vázquez-Baeza Y, Gauglitz JM, Wang M, Dührkop K, Nothias-Esposito M, et al. Chemically informed analyses of metabolomics mass spectrometry data with</w:t>
      </w:r>
      <w:r>
        <w:t xml:space="preserve"> </w:t>
      </w:r>
      <w:r>
        <w:t xml:space="preserve">Qemistree</w:t>
      </w:r>
      <w:r>
        <w:t xml:space="preserve">. Nature Chemical Biology 2021;17:146–51.</w:t>
      </w:r>
      <w:r>
        <w:t xml:space="preserve"> </w:t>
      </w:r>
      <w:hyperlink r:id="rId133">
        <w:r>
          <w:rPr>
            <w:rStyle w:val="24"/>
          </w:rPr>
          <w:t xml:space="preserve">https://doi.org/10.1038/s41589-020-00677-3</w:t>
        </w:r>
      </w:hyperlink>
      <w:r>
        <w:t xml:space="preserve">.</w:t>
      </w:r>
    </w:p>
    <w:bookmarkEnd w:id="134"/>
    <w:bookmarkStart w:id="136" w:name="ref-2021da"/>
    <w:p>
      <w:pPr>
        <w:pStyle w:val="189"/>
      </w:pPr>
      <w:r>
        <w:t xml:space="preserve">[46]</w:t>
      </w:r>
      <w:r>
        <w:t xml:space="preserve"> </w:t>
      </w:r>
      <w:r>
        <w:t xml:space="preserve">	</w:t>
      </w:r>
      <w:r>
        <w:t xml:space="preserve">Wang Y-K, Xiao X-R, Zhou Z-M, Xiao Y, Zhu W-F, Liu H-N, et al. A strategy combining solid-phase extraction, multiple mass defect filtering and molecular networking for rapid structural classification and annotation of natural products: Characterization of chemical diversity in</w:t>
      </w:r>
      <w:r>
        <w:t xml:space="preserve"> </w:t>
      </w:r>
      <w:r>
        <w:t xml:space="preserve">Citrus</w:t>
      </w:r>
      <w:r>
        <w:t xml:space="preserve"> </w:t>
      </w:r>
      <w:r>
        <w:t xml:space="preserve">aurantium as a case study. Analytical and Bioanalytical Chemistry 2021;413:2879–91.</w:t>
      </w:r>
      <w:r>
        <w:t xml:space="preserve"> </w:t>
      </w:r>
      <w:hyperlink r:id="rId135">
        <w:r>
          <w:rPr>
            <w:rStyle w:val="24"/>
          </w:rPr>
          <w:t xml:space="preserve">https://doi.org/10.1007/s00216-021-03201-1</w:t>
        </w:r>
      </w:hyperlink>
      <w:r>
        <w:t xml:space="preserve">.</w:t>
      </w:r>
    </w:p>
    <w:bookmarkEnd w:id="136"/>
    <w:bookmarkStart w:id="138" w:name="ref-2021cz"/>
    <w:p>
      <w:pPr>
        <w:pStyle w:val="189"/>
      </w:pPr>
      <w:r>
        <w:t xml:space="preserve">[47]</w:t>
      </w:r>
      <w:r>
        <w:t xml:space="preserve"> </w:t>
      </w:r>
      <w:r>
        <w:t xml:space="preserve">	</w:t>
      </w:r>
      <w:r>
        <w:t xml:space="preserve">Neto FC, Raftery D. Expanding</w:t>
      </w:r>
      <w:r>
        <w:t xml:space="preserve"> </w:t>
      </w:r>
      <w:r>
        <w:t xml:space="preserve">Urinary Metabolite Annotation</w:t>
      </w:r>
      <w:r>
        <w:t xml:space="preserve"> </w:t>
      </w:r>
      <w:r>
        <w:t xml:space="preserve">through</w:t>
      </w:r>
      <w:r>
        <w:t xml:space="preserve"> </w:t>
      </w:r>
      <w:r>
        <w:t xml:space="preserve">Integrated Mass Spectral Similarity Networking</w:t>
      </w:r>
      <w:r>
        <w:t xml:space="preserve">. Analytical Chemistry 2021;93:12001–10.</w:t>
      </w:r>
      <w:r>
        <w:t xml:space="preserve"> </w:t>
      </w:r>
      <w:hyperlink r:id="rId137">
        <w:r>
          <w:rPr>
            <w:rStyle w:val="24"/>
          </w:rPr>
          <w:t xml:space="preserve">https://doi.org/10.1021/acs.analchem.1c02041</w:t>
        </w:r>
      </w:hyperlink>
      <w:r>
        <w:t xml:space="preserve">.</w:t>
      </w:r>
    </w:p>
    <w:bookmarkEnd w:id="138"/>
    <w:bookmarkStart w:id="140" w:name="ref-2022al"/>
    <w:p>
      <w:pPr>
        <w:pStyle w:val="189"/>
      </w:pPr>
      <w:r>
        <w:t xml:space="preserve">[48]</w:t>
      </w:r>
      <w:r>
        <w:t xml:space="preserve"> </w:t>
      </w:r>
      <w:r>
        <w:t xml:space="preserve">	</w:t>
      </w:r>
      <w:r>
        <w:t xml:space="preserve">van Santen JA, Poynton EF, Iskakova D, McMann E, Alsup TA, Clark TN, et al. The</w:t>
      </w:r>
      <w:r>
        <w:t xml:space="preserve"> </w:t>
      </w:r>
      <w:r>
        <w:t xml:space="preserve">Natural Products Atlas</w:t>
      </w:r>
      <w:r>
        <w:t xml:space="preserve"> </w:t>
      </w:r>
      <w:r>
        <w:t xml:space="preserve">2.0: A database of microbially-derived natural products. Nucleic Acids Research 2022;50:D1317–23.</w:t>
      </w:r>
      <w:r>
        <w:t xml:space="preserve"> </w:t>
      </w:r>
      <w:hyperlink r:id="rId139">
        <w:r>
          <w:rPr>
            <w:rStyle w:val="24"/>
          </w:rPr>
          <w:t xml:space="preserve">https://doi.org/10.1093/nar/gkab941</w:t>
        </w:r>
      </w:hyperlink>
      <w:r>
        <w:t xml:space="preserve">.</w:t>
      </w:r>
    </w:p>
    <w:bookmarkEnd w:id="140"/>
    <w:bookmarkStart w:id="142" w:name="ref-2016aq"/>
    <w:p>
      <w:pPr>
        <w:pStyle w:val="189"/>
      </w:pPr>
      <w:r>
        <w:t xml:space="preserve">[49]</w:t>
      </w:r>
      <w:r>
        <w:t xml:space="preserve"> </w:t>
      </w:r>
      <w:r>
        <w:t xml:space="preserve">	</w:t>
      </w:r>
      <w:r>
        <w:t xml:space="preserve">Wishart DS. Emerging applications of metabolomics in drug discovery and precision medicine. Nature Reviews Drug Discovery 2016;15:473–84.</w:t>
      </w:r>
      <w:r>
        <w:t xml:space="preserve"> </w:t>
      </w:r>
      <w:hyperlink r:id="rId141">
        <w:r>
          <w:rPr>
            <w:rStyle w:val="24"/>
          </w:rPr>
          <w:t xml:space="preserve">https://doi.org/10.1038/nrd.2016.32</w:t>
        </w:r>
      </w:hyperlink>
      <w:r>
        <w:t xml:space="preserve">.</w:t>
      </w:r>
    </w:p>
    <w:bookmarkEnd w:id="142"/>
    <w:bookmarkStart w:id="144" w:name="ref-2017at"/>
    <w:p>
      <w:pPr>
        <w:pStyle w:val="189"/>
      </w:pPr>
      <w:r>
        <w:t xml:space="preserve">[50]</w:t>
      </w:r>
      <w:r>
        <w:t xml:space="preserve"> </w:t>
      </w:r>
      <w:r>
        <w:t xml:space="preserve">	</w:t>
      </w:r>
      <w:r>
        <w:t xml:space="preserve">Liu X, Locasale JW. Metabolomics:</w:t>
      </w:r>
      <w:r>
        <w:t xml:space="preserve"> </w:t>
      </w:r>
      <w:r>
        <w:t xml:space="preserve">A Primer</w:t>
      </w:r>
      <w:r>
        <w:t xml:space="preserve">. Trends in Biochemical Sciences 2017;42:274–84.</w:t>
      </w:r>
      <w:r>
        <w:t xml:space="preserve"> </w:t>
      </w:r>
      <w:hyperlink r:id="rId143">
        <w:r>
          <w:rPr>
            <w:rStyle w:val="24"/>
          </w:rPr>
          <w:t xml:space="preserve">https://doi.org/10.1016/j.tibs.2017.01.004</w:t>
        </w:r>
      </w:hyperlink>
      <w:r>
        <w:t xml:space="preserve">.</w:t>
      </w:r>
    </w:p>
    <w:bookmarkEnd w:id="144"/>
    <w:bookmarkStart w:id="146" w:name="ref-2016ar"/>
    <w:p>
      <w:pPr>
        <w:pStyle w:val="189"/>
      </w:pPr>
      <w:r>
        <w:t xml:space="preserve">[51]</w:t>
      </w:r>
      <w:r>
        <w:t xml:space="preserve"> </w:t>
      </w:r>
      <w:r>
        <w:t xml:space="preserve">	</w:t>
      </w:r>
      <w:r>
        <w:t xml:space="preserve">Guma M, Tiziani S, Firestein GS. Metabolomics in rheumatic diseases: Desperately seeking biomarkers. Nature Reviews Rheumatology 2016;12:269–81.</w:t>
      </w:r>
      <w:r>
        <w:t xml:space="preserve"> </w:t>
      </w:r>
      <w:hyperlink r:id="rId145">
        <w:r>
          <w:rPr>
            <w:rStyle w:val="24"/>
          </w:rPr>
          <w:t xml:space="preserve">https://doi.org/10.1038/nrrheum.2016.1</w:t>
        </w:r>
      </w:hyperlink>
      <w:r>
        <w:t xml:space="preserve">.</w:t>
      </w:r>
    </w:p>
    <w:bookmarkEnd w:id="146"/>
    <w:bookmarkStart w:id="148" w:name="ref-2016ao"/>
    <w:p>
      <w:pPr>
        <w:pStyle w:val="189"/>
      </w:pPr>
      <w:r>
        <w:t xml:space="preserve">[52]</w:t>
      </w:r>
      <w:r>
        <w:t xml:space="preserve"> </w:t>
      </w:r>
      <w:r>
        <w:t xml:space="preserve">	</w:t>
      </w:r>
      <w:r>
        <w:t xml:space="preserve">Johnson CH, Ivanisevic J, Siuzdak G. Metabolomics: Beyond biomarkers and towards mechanisms. Nature Reviews Molecular Cell Biology 2016;17:451–9.</w:t>
      </w:r>
      <w:r>
        <w:t xml:space="preserve"> </w:t>
      </w:r>
      <w:hyperlink r:id="rId147">
        <w:r>
          <w:rPr>
            <w:rStyle w:val="24"/>
          </w:rPr>
          <w:t xml:space="preserve">https://doi.org/10.1038/nrm.2016.25</w:t>
        </w:r>
      </w:hyperlink>
      <w:r>
        <w:t xml:space="preserve">.</w:t>
      </w:r>
    </w:p>
    <w:bookmarkEnd w:id="148"/>
    <w:bookmarkStart w:id="150" w:name="ref-2019bv"/>
    <w:p>
      <w:pPr>
        <w:pStyle w:val="189"/>
      </w:pPr>
      <w:r>
        <w:t xml:space="preserve">[53]</w:t>
      </w:r>
      <w:r>
        <w:t xml:space="preserve"> </w:t>
      </w:r>
      <w:r>
        <w:t xml:space="preserve">	</w:t>
      </w:r>
      <w:r>
        <w:t xml:space="preserve">Degenhardt F, Seifert S, Szymczak S. Evaluation of variable selection methods for random forests and omics data sets. Briefings in Bioinformatics 2019;20:492–503.</w:t>
      </w:r>
      <w:r>
        <w:t xml:space="preserve"> </w:t>
      </w:r>
      <w:hyperlink r:id="rId149">
        <w:r>
          <w:rPr>
            <w:rStyle w:val="24"/>
          </w:rPr>
          <w:t xml:space="preserve">https://doi.org/10.1093/bib/bbx124</w:t>
        </w:r>
      </w:hyperlink>
      <w:r>
        <w:t xml:space="preserve">.</w:t>
      </w:r>
    </w:p>
    <w:bookmarkEnd w:id="150"/>
    <w:bookmarkStart w:id="152" w:name="ref-2021de"/>
    <w:p>
      <w:pPr>
        <w:pStyle w:val="189"/>
      </w:pPr>
      <w:r>
        <w:t xml:space="preserve">[54]</w:t>
      </w:r>
      <w:r>
        <w:t xml:space="preserve"> </w:t>
      </w:r>
      <w:r>
        <w:t xml:space="preserve">	</w:t>
      </w:r>
      <w:r>
        <w:t xml:space="preserve">Sharma A, Lysenko A, Boroevich KA, Vans E, Tsunoda T.</w:t>
      </w:r>
      <w:r>
        <w:t xml:space="preserve"> </w:t>
      </w:r>
      <w:r>
        <w:t xml:space="preserve">DeepFeature</w:t>
      </w:r>
      <w:r>
        <w:t xml:space="preserve">: Feature selection in nonimage data using convolutional neural network. Briefings in Bioinformatics 2021;22:bbab297.</w:t>
      </w:r>
      <w:r>
        <w:t xml:space="preserve"> </w:t>
      </w:r>
      <w:hyperlink r:id="rId151">
        <w:r>
          <w:rPr>
            <w:rStyle w:val="24"/>
          </w:rPr>
          <w:t xml:space="preserve">https://doi.org/10.1093/bib/bbab297</w:t>
        </w:r>
      </w:hyperlink>
      <w:r>
        <w:t xml:space="preserve">.</w:t>
      </w:r>
    </w:p>
    <w:bookmarkEnd w:id="152"/>
    <w:bookmarkStart w:id="154" w:name="ref-duhrkop_systematic_2021"/>
    <w:p>
      <w:pPr>
        <w:pStyle w:val="189"/>
      </w:pPr>
      <w:r>
        <w:t xml:space="preserve">[55]</w:t>
      </w:r>
      <w:r>
        <w:t xml:space="preserve"> </w:t>
      </w:r>
      <w:r>
        <w:t xml:space="preserve">	</w:t>
      </w:r>
      <w:r>
        <w:t xml:space="preserve">Dührkop K, Nothias L-F, Fleischauer M, Reher R, Ludwig M, Hoffmann MA, et al. Systematic classification of unknown metabolites using high-resolution fragmentation mass spectra. Nature Biotechnology 2021;39:462–71.</w:t>
      </w:r>
      <w:r>
        <w:t xml:space="preserve"> </w:t>
      </w:r>
      <w:hyperlink r:id="rId153">
        <w:r>
          <w:rPr>
            <w:rStyle w:val="24"/>
          </w:rPr>
          <w:t xml:space="preserve">https://doi.org/10.1038/s41587-020-0740-8</w:t>
        </w:r>
      </w:hyperlink>
      <w:r>
        <w:t xml:space="preserve">.</w:t>
      </w:r>
    </w:p>
    <w:bookmarkEnd w:id="154"/>
    <w:bookmarkStart w:id="156" w:name="ref-2019c"/>
    <w:p>
      <w:pPr>
        <w:pStyle w:val="189"/>
      </w:pPr>
      <w:r>
        <w:t xml:space="preserve">[56]</w:t>
      </w:r>
      <w:r>
        <w:t xml:space="preserve"> </w:t>
      </w:r>
      <w:r>
        <w:t xml:space="preserve">	</w:t>
      </w:r>
      <w:r>
        <w:t xml:space="preserve">Platten M, Nollen EAA, Röhrig UF, Fallarino F, Opitz CA. Tryptophan metabolism as a common therapeutic target in cancer, neurodegeneration and beyond. Nature Reviews Drug Discovery 2019;18:379–401.</w:t>
      </w:r>
      <w:r>
        <w:t xml:space="preserve"> </w:t>
      </w:r>
      <w:hyperlink r:id="rId155">
        <w:r>
          <w:rPr>
            <w:rStyle w:val="24"/>
          </w:rPr>
          <w:t xml:space="preserve">https://doi.org/gfvk74</w:t>
        </w:r>
      </w:hyperlink>
      <w:r>
        <w:t xml:space="preserve">.</w:t>
      </w:r>
    </w:p>
    <w:bookmarkEnd w:id="156"/>
    <w:bookmarkStart w:id="158" w:name="ref-2012a"/>
    <w:p>
      <w:pPr>
        <w:pStyle w:val="189"/>
      </w:pPr>
      <w:r>
        <w:t xml:space="preserve">[57]</w:t>
      </w:r>
      <w:r>
        <w:t xml:space="preserve"> </w:t>
      </w:r>
      <w:r>
        <w:t xml:space="preserve">	</w:t>
      </w:r>
      <w:r>
        <w:t xml:space="preserve">Watrous J, Roach P, Alexandrov T, Heath BS, Yang JY, Kersten RD, et al. Mass spectral molecular networking of living microbial colonies. Proceedings of the National Academy of Sciences 2012;109:E1743–52.</w:t>
      </w:r>
      <w:r>
        <w:t xml:space="preserve"> </w:t>
      </w:r>
      <w:hyperlink r:id="rId157">
        <w:r>
          <w:rPr>
            <w:rStyle w:val="24"/>
          </w:rPr>
          <w:t xml:space="preserve">https://doi.org/10.1073/pnas.1203689109</w:t>
        </w:r>
      </w:hyperlink>
      <w:r>
        <w:t xml:space="preserve">.</w:t>
      </w:r>
    </w:p>
    <w:bookmarkEnd w:id="158"/>
    <w:bookmarkStart w:id="160" w:name="ref-2017g"/>
    <w:p>
      <w:pPr>
        <w:pStyle w:val="189"/>
      </w:pPr>
      <w:r>
        <w:t xml:space="preserve">[58]</w:t>
      </w:r>
      <w:r>
        <w:t xml:space="preserve"> </w:t>
      </w:r>
      <w:r>
        <w:t xml:space="preserve">	</w:t>
      </w:r>
      <w:r>
        <w:t xml:space="preserve">Quinn RA, Nothias L-F, Vining O, Meehan M, Esquenazi E, Dorrestein PC. Molecular</w:t>
      </w:r>
      <w:r>
        <w:t xml:space="preserve"> </w:t>
      </w:r>
      <w:r>
        <w:t xml:space="preserve">Networking As</w:t>
      </w:r>
      <w:r>
        <w:t xml:space="preserve"> </w:t>
      </w:r>
      <w:r>
        <w:t xml:space="preserve">a</w:t>
      </w:r>
      <w:r>
        <w:t xml:space="preserve"> </w:t>
      </w:r>
      <w:r>
        <w:t xml:space="preserve">Drug Discovery</w:t>
      </w:r>
      <w:r>
        <w:t xml:space="preserve">,</w:t>
      </w:r>
      <w:r>
        <w:t xml:space="preserve"> </w:t>
      </w:r>
      <w:r>
        <w:t xml:space="preserve">Drug Metabolism</w:t>
      </w:r>
      <w:r>
        <w:t xml:space="preserve">, and</w:t>
      </w:r>
      <w:r>
        <w:t xml:space="preserve"> </w:t>
      </w:r>
      <w:r>
        <w:t xml:space="preserve">Precision Medicine Strategy</w:t>
      </w:r>
      <w:r>
        <w:t xml:space="preserve">. Trends in Pharmacological Sciences 2017;38:143–54.</w:t>
      </w:r>
      <w:r>
        <w:t xml:space="preserve"> </w:t>
      </w:r>
      <w:hyperlink r:id="rId159">
        <w:r>
          <w:rPr>
            <w:rStyle w:val="24"/>
          </w:rPr>
          <w:t xml:space="preserve">https://doi.org/f9qzvt</w:t>
        </w:r>
      </w:hyperlink>
      <w:r>
        <w:t xml:space="preserve">.</w:t>
      </w:r>
    </w:p>
    <w:bookmarkEnd w:id="160"/>
    <w:bookmarkStart w:id="162" w:name="ref-2018d"/>
    <w:p>
      <w:pPr>
        <w:pStyle w:val="189"/>
      </w:pPr>
      <w:r>
        <w:t xml:space="preserve">[59]</w:t>
      </w:r>
      <w:r>
        <w:t xml:space="preserve"> </w:t>
      </w:r>
      <w:r>
        <w:t xml:space="preserve">	</w:t>
      </w:r>
      <w:r>
        <w:t xml:space="preserve">da Silva RR, Wang M, Nothias L-F, van der Hooft JJJ, Caraballo-Rodríguez AM, Fox E, et al. Propagating annotations of molecular networks using in silico fragmentation. PLOS Computational Biology 2018;14:e1006089.</w:t>
      </w:r>
      <w:r>
        <w:t xml:space="preserve"> </w:t>
      </w:r>
      <w:hyperlink r:id="rId161">
        <w:r>
          <w:rPr>
            <w:rStyle w:val="24"/>
          </w:rPr>
          <w:t xml:space="preserve">https://doi.org/gdc9cj</w:t>
        </w:r>
      </w:hyperlink>
      <w:r>
        <w:t xml:space="preserve">.</w:t>
      </w:r>
    </w:p>
    <w:bookmarkEnd w:id="162"/>
    <w:bookmarkStart w:id="164" w:name="ref-2020e"/>
    <w:p>
      <w:pPr>
        <w:pStyle w:val="189"/>
      </w:pPr>
      <w:r>
        <w:t xml:space="preserve">[60]</w:t>
      </w:r>
      <w:r>
        <w:t xml:space="preserve"> </w:t>
      </w:r>
      <w:r>
        <w:t xml:space="preserve">	</w:t>
      </w:r>
      <w:r>
        <w:t xml:space="preserve">Xie H-F, Kong Y-S, Li R-Z, Nothias L-F, Melnik AV, Zhang H, et al. Feature-</w:t>
      </w:r>
      <w:r>
        <w:t xml:space="preserve">Based Molecular Networking Analysis</w:t>
      </w:r>
      <w:r>
        <w:t xml:space="preserve"> </w:t>
      </w:r>
      <w:r>
        <w:t xml:space="preserve">of the</w:t>
      </w:r>
      <w:r>
        <w:t xml:space="preserve"> </w:t>
      </w:r>
      <w:r>
        <w:t xml:space="preserve">Metabolites Produced</w:t>
      </w:r>
      <w:r>
        <w:t xml:space="preserve"> </w:t>
      </w:r>
      <w:r>
        <w:t xml:space="preserve">by</w:t>
      </w:r>
      <w:r>
        <w:t xml:space="preserve"> </w:t>
      </w:r>
      <w:r>
        <w:rPr>
          <w:iCs/>
          <w:i/>
        </w:rPr>
        <w:t xml:space="preserve">In Vitro</w:t>
      </w:r>
      <w:r>
        <w:t xml:space="preserve"> </w:t>
      </w:r>
      <w:r>
        <w:t xml:space="preserve">Solid-State Fermentation Reveals Pathways</w:t>
      </w:r>
      <w:r>
        <w:t xml:space="preserve"> </w:t>
      </w:r>
      <w:r>
        <w:t xml:space="preserve">for the</w:t>
      </w:r>
      <w:r>
        <w:t xml:space="preserve"> </w:t>
      </w:r>
      <w:r>
        <w:t xml:space="preserve">Bioconversion</w:t>
      </w:r>
      <w:r>
        <w:t xml:space="preserve"> </w:t>
      </w:r>
      <w:r>
        <w:t xml:space="preserve">of</w:t>
      </w:r>
      <w:r>
        <w:t xml:space="preserve"> </w:t>
      </w:r>
      <w:r>
        <w:t xml:space="preserve">Epigallocatechin Gallate</w:t>
      </w:r>
      <w:r>
        <w:t xml:space="preserve">. Journal of Agricultural and Food Chemistry 2020;68:7995–8007.</w:t>
      </w:r>
      <w:r>
        <w:t xml:space="preserve"> </w:t>
      </w:r>
      <w:hyperlink r:id="rId163">
        <w:r>
          <w:rPr>
            <w:rStyle w:val="24"/>
          </w:rPr>
          <w:t xml:space="preserve">https://doi.org/10.1021/acs.jafc.0c02983</w:t>
        </w:r>
      </w:hyperlink>
      <w:r>
        <w:t xml:space="preserve">.</w:t>
      </w:r>
    </w:p>
    <w:bookmarkEnd w:id="164"/>
    <w:bookmarkStart w:id="166" w:name="ref-2021d"/>
    <w:p>
      <w:pPr>
        <w:pStyle w:val="189"/>
      </w:pPr>
      <w:r>
        <w:t xml:space="preserve">[61]</w:t>
      </w:r>
      <w:r>
        <w:t xml:space="preserve"> </w:t>
      </w:r>
      <w:r>
        <w:t xml:space="preserve">	</w:t>
      </w:r>
      <w:r>
        <w:t xml:space="preserve">Schmid R, Petras D, Nothias L-F, Wang M, Aron AT, Jagels A, et al. Ion identity molecular networking for mass spectrometry-based metabolomics in the</w:t>
      </w:r>
      <w:r>
        <w:t xml:space="preserve"> </w:t>
      </w:r>
      <w:r>
        <w:t xml:space="preserve">GNPS</w:t>
      </w:r>
      <w:r>
        <w:t xml:space="preserve"> </w:t>
      </w:r>
      <w:r>
        <w:t xml:space="preserve">environment. Nature Communications 2021;12:3832.</w:t>
      </w:r>
      <w:r>
        <w:t xml:space="preserve"> </w:t>
      </w:r>
      <w:hyperlink r:id="rId165">
        <w:r>
          <w:rPr>
            <w:rStyle w:val="24"/>
          </w:rPr>
          <w:t xml:space="preserve">https://doi.org/10.1038/s41467-021-23953-9</w:t>
        </w:r>
      </w:hyperlink>
      <w:r>
        <w:t xml:space="preserve">.</w:t>
      </w:r>
    </w:p>
    <w:bookmarkEnd w:id="166"/>
    <w:bookmarkStart w:id="168" w:name="ref-bocker_sirius_2009"/>
    <w:p>
      <w:pPr>
        <w:pStyle w:val="189"/>
      </w:pPr>
      <w:r>
        <w:t xml:space="preserve">[62]</w:t>
      </w:r>
      <w:r>
        <w:t xml:space="preserve"> </w:t>
      </w:r>
      <w:r>
        <w:t xml:space="preserve">	</w:t>
      </w:r>
      <w:r>
        <w:t xml:space="preserve">Böcker S, Letzel MC, Lipták Z, Pervukhin A.</w:t>
      </w:r>
      <w:r>
        <w:t xml:space="preserve"> </w:t>
      </w:r>
      <w:r>
        <w:t xml:space="preserve">SIRIUS</w:t>
      </w:r>
      <w:r>
        <w:t xml:space="preserve">: Decomposing isotope patterns for metabolite identification</w:t>
      </w:r>
      <w:r>
        <w:t xml:space="preserve">. Bioinformatics 2009;25:218–24.</w:t>
      </w:r>
      <w:r>
        <w:t xml:space="preserve"> </w:t>
      </w:r>
      <w:hyperlink r:id="rId167">
        <w:r>
          <w:rPr>
            <w:rStyle w:val="24"/>
          </w:rPr>
          <w:t xml:space="preserve">https://doi.org/10.1093/bioinformatics/btn603</w:t>
        </w:r>
      </w:hyperlink>
      <w:r>
        <w:t xml:space="preserve">.</w:t>
      </w:r>
    </w:p>
    <w:bookmarkEnd w:id="168"/>
    <w:bookmarkStart w:id="170" w:name="ref-2015"/>
    <w:p>
      <w:pPr>
        <w:pStyle w:val="189"/>
      </w:pPr>
      <w:r>
        <w:t xml:space="preserve">[63]</w:t>
      </w:r>
      <w:r>
        <w:t xml:space="preserve"> </w:t>
      </w:r>
      <w:r>
        <w:t xml:space="preserve">	</w:t>
      </w:r>
      <w:r>
        <w:t xml:space="preserve">Dührkop K, Böcker S. Fragmentation</w:t>
      </w:r>
      <w:r>
        <w:t xml:space="preserve"> </w:t>
      </w:r>
      <w:r>
        <w:t xml:space="preserve">Trees Reloaded</w:t>
      </w:r>
      <w:r>
        <w:t xml:space="preserve">. In: Przytycka TM, editor. Research in</w:t>
      </w:r>
      <w:r>
        <w:t xml:space="preserve"> </w:t>
      </w:r>
      <w:r>
        <w:t xml:space="preserve">Computational Molecular Biology</w:t>
      </w:r>
      <w:r>
        <w:t xml:space="preserve">, vol. 9029,</w:t>
      </w:r>
      <w:r>
        <w:t xml:space="preserve"> </w:t>
      </w:r>
      <w:r>
        <w:t xml:space="preserve">Cham</w:t>
      </w:r>
      <w:r>
        <w:t xml:space="preserve">:</w:t>
      </w:r>
      <w:r>
        <w:t xml:space="preserve"> </w:t>
      </w:r>
      <w:r>
        <w:t xml:space="preserve">Springer International Publishing</w:t>
      </w:r>
      <w:r>
        <w:t xml:space="preserve">; 2015, p. 65–79.</w:t>
      </w:r>
      <w:r>
        <w:t xml:space="preserve"> </w:t>
      </w:r>
      <w:hyperlink r:id="rId169">
        <w:r>
          <w:rPr>
            <w:rStyle w:val="24"/>
          </w:rPr>
          <w:t xml:space="preserve">https://doi.org/10.1007/978-3-319-16706-0_10</w:t>
        </w:r>
      </w:hyperlink>
      <w:r>
        <w:t xml:space="preserve">.</w:t>
      </w:r>
    </w:p>
    <w:bookmarkEnd w:id="170"/>
    <w:bookmarkStart w:id="172" w:name="ref-ludwig_database-independent_2020"/>
    <w:p>
      <w:pPr>
        <w:pStyle w:val="189"/>
      </w:pPr>
      <w:r>
        <w:t xml:space="preserve">[64]</w:t>
      </w:r>
      <w:r>
        <w:t xml:space="preserve"> </w:t>
      </w:r>
      <w:r>
        <w:t xml:space="preserve">	</w:t>
      </w:r>
      <w:r>
        <w:t xml:space="preserve">Ludwig M, Nothias L-F, Dührkop K, Koester I, Fleischauer M, Hoffmann MA, et al. Database-independent molecular formula annotation using</w:t>
      </w:r>
      <w:r>
        <w:t xml:space="preserve"> </w:t>
      </w:r>
      <w:r>
        <w:t xml:space="preserve">Gibbs</w:t>
      </w:r>
      <w:r>
        <w:t xml:space="preserve"> </w:t>
      </w:r>
      <w:r>
        <w:t xml:space="preserve">sampling through</w:t>
      </w:r>
      <w:r>
        <w:t xml:space="preserve"> </w:t>
      </w:r>
      <w:r>
        <w:t xml:space="preserve">ZODIAC</w:t>
      </w:r>
      <w:r>
        <w:t xml:space="preserve">. Nature Machine Intelligence 2020;2:629–41.</w:t>
      </w:r>
      <w:r>
        <w:t xml:space="preserve"> </w:t>
      </w:r>
      <w:hyperlink r:id="rId171">
        <w:r>
          <w:rPr>
            <w:rStyle w:val="24"/>
          </w:rPr>
          <w:t xml:space="preserve">https://doi.org/10.1038/s42256-020-00234-6</w:t>
        </w:r>
      </w:hyperlink>
      <w:r>
        <w:t xml:space="preserve">.</w:t>
      </w:r>
    </w:p>
    <w:bookmarkEnd w:id="172"/>
    <w:bookmarkStart w:id="174" w:name="ref-2020s"/>
    <w:p>
      <w:pPr>
        <w:pStyle w:val="189"/>
      </w:pPr>
      <w:r>
        <w:t xml:space="preserve">[65]</w:t>
      </w:r>
      <w:r>
        <w:t xml:space="preserve"> </w:t>
      </w:r>
      <w:r>
        <w:t xml:space="preserve">	</w:t>
      </w:r>
      <w:r>
        <w:t xml:space="preserve">Wozniak JM, Mills RH, Olson J, Caldera JR, Sepich-Poore GD, Carrillo-Terrazas M, et al. Mortality</w:t>
      </w:r>
      <w:r>
        <w:t xml:space="preserve"> </w:t>
      </w:r>
      <w:r>
        <w:t xml:space="preserve">Risk Profiling</w:t>
      </w:r>
      <w:r>
        <w:t xml:space="preserve"> </w:t>
      </w:r>
      <w:r>
        <w:t xml:space="preserve">of</w:t>
      </w:r>
      <w:r>
        <w:t xml:space="preserve"> </w:t>
      </w:r>
      <w:r>
        <w:t xml:space="preserve">Staphylococcus</w:t>
      </w:r>
      <w:r>
        <w:t xml:space="preserve"> </w:t>
      </w:r>
      <w:r>
        <w:t xml:space="preserve">aureus</w:t>
      </w:r>
      <w:r>
        <w:t xml:space="preserve"> </w:t>
      </w:r>
      <w:r>
        <w:t xml:space="preserve">Bacteremia</w:t>
      </w:r>
      <w:r>
        <w:t xml:space="preserve"> </w:t>
      </w:r>
      <w:r>
        <w:t xml:space="preserve">by</w:t>
      </w:r>
      <w:r>
        <w:t xml:space="preserve"> </w:t>
      </w:r>
      <w:r>
        <w:t xml:space="preserve">Multi-omic Serum Analysis Reveals Early Predictive</w:t>
      </w:r>
      <w:r>
        <w:t xml:space="preserve"> </w:t>
      </w:r>
      <w:r>
        <w:t xml:space="preserve">and</w:t>
      </w:r>
      <w:r>
        <w:t xml:space="preserve"> </w:t>
      </w:r>
      <w:r>
        <w:t xml:space="preserve">Pathogenic Signatures</w:t>
      </w:r>
      <w:r>
        <w:t xml:space="preserve">. Cell 2020;182:1311–1327.e14.</w:t>
      </w:r>
      <w:r>
        <w:t xml:space="preserve"> </w:t>
      </w:r>
      <w:hyperlink r:id="rId173">
        <w:r>
          <w:rPr>
            <w:rStyle w:val="24"/>
          </w:rPr>
          <w:t xml:space="preserve">https://doi.org/10.1016/j.cell.2020.07.040</w:t>
        </w:r>
      </w:hyperlink>
      <w:r>
        <w:t xml:space="preserve">.</w:t>
      </w:r>
    </w:p>
    <w:bookmarkEnd w:id="174"/>
    <w:bookmarkStart w:id="176" w:name="ref-2021db"/>
    <w:p>
      <w:pPr>
        <w:pStyle w:val="189"/>
      </w:pPr>
      <w:r>
        <w:t xml:space="preserve">[66]</w:t>
      </w:r>
      <w:r>
        <w:t xml:space="preserve"> </w:t>
      </w:r>
      <w:r>
        <w:t xml:space="preserve">	</w:t>
      </w:r>
      <w:r>
        <w:t xml:space="preserve">Chen Y-H, Bi J-H, Xie M, Zhang H, Shi Z-Q, Guo H, et al. Classification-based strategies to simplify complex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(</w:t>
      </w:r>
      <w:r>
        <w:t xml:space="preserve">TCM</w:t>
      </w:r>
      <w:r>
        <w:t xml:space="preserve">) researches through liquid chromatography-mass spectrometry in the last decade (2011</w:t>
      </w:r>
      <w:r>
        <w:t xml:space="preserve">):</w:t>
      </w:r>
      <w:r>
        <w:t xml:space="preserve"> </w:t>
      </w:r>
      <w:r>
        <w:t xml:space="preserve">Theory</w:t>
      </w:r>
      <w:r>
        <w:t xml:space="preserve">, technical route and difficulty. Journal of Chromatography A 2021;1651:462307.</w:t>
      </w:r>
      <w:r>
        <w:t xml:space="preserve"> </w:t>
      </w:r>
      <w:hyperlink r:id="rId175">
        <w:r>
          <w:rPr>
            <w:rStyle w:val="24"/>
          </w:rPr>
          <w:t xml:space="preserve">https://doi.org/10.1016/j.chroma.2021.462307</w:t>
        </w:r>
      </w:hyperlink>
      <w:r>
        <w:t xml:space="preserve">.</w:t>
      </w:r>
    </w:p>
    <w:bookmarkEnd w:id="176"/>
    <w:bookmarkStart w:id="178" w:name="ref-2016at"/>
    <w:p>
      <w:pPr>
        <w:pStyle w:val="189"/>
      </w:pPr>
      <w:r>
        <w:t xml:space="preserve">[67]</w:t>
      </w:r>
      <w:r>
        <w:t xml:space="preserve"> </w:t>
      </w:r>
      <w:r>
        <w:t xml:space="preserve">	</w:t>
      </w:r>
      <w:r>
        <w:t xml:space="preserve">Krautbauer S, Eisinger K, Wiest R, Liebisch G, Buechler C. Systemic saturated lysophosphatidylcholine is associated with hepatic function in patients with liver cirrhosis. Prostaglandins &amp; Other Lipid Mediators 2016;124:27–33.</w:t>
      </w:r>
      <w:r>
        <w:t xml:space="preserve"> </w:t>
      </w:r>
      <w:hyperlink r:id="rId177">
        <w:r>
          <w:rPr>
            <w:rStyle w:val="24"/>
          </w:rPr>
          <w:t xml:space="preserve">https://doi.org/10.1016/j.prostaglandins.2016.06.001</w:t>
        </w:r>
      </w:hyperlink>
      <w:r>
        <w:t xml:space="preserve">.</w:t>
      </w:r>
    </w:p>
    <w:bookmarkEnd w:id="178"/>
    <w:bookmarkStart w:id="180" w:name="ref-2018bi"/>
    <w:p>
      <w:pPr>
        <w:pStyle w:val="189"/>
      </w:pPr>
      <w:r>
        <w:t xml:space="preserve">[68]</w:t>
      </w:r>
      <w:r>
        <w:t xml:space="preserve"> </w:t>
      </w:r>
      <w:r>
        <w:t xml:space="preserve">	</w:t>
      </w:r>
      <w:r>
        <w:t xml:space="preserve">Melone MAB, Valentino A, Margarucci S, Galderisi U, Giordano A, Peluso G. The carnitine system and cancer metabolic plasticity. Cell Death &amp; Disease 2018;9:228.</w:t>
      </w:r>
      <w:r>
        <w:t xml:space="preserve"> </w:t>
      </w:r>
      <w:hyperlink r:id="rId179">
        <w:r>
          <w:rPr>
            <w:rStyle w:val="24"/>
          </w:rPr>
          <w:t xml:space="preserve">https://doi.org/10.1038/s41419-018-0313-7</w:t>
        </w:r>
      </w:hyperlink>
      <w:r>
        <w:t xml:space="preserve">.</w:t>
      </w:r>
    </w:p>
    <w:bookmarkEnd w:id="180"/>
    <w:bookmarkStart w:id="182" w:name="ref-2021n"/>
    <w:p>
      <w:pPr>
        <w:pStyle w:val="189"/>
      </w:pPr>
      <w:r>
        <w:t xml:space="preserve">[69]</w:t>
      </w:r>
      <w:r>
        <w:t xml:space="preserve"> </w:t>
      </w:r>
      <w:r>
        <w:t xml:space="preserve">	</w:t>
      </w:r>
      <w:r>
        <w:t xml:space="preserve">Huang L, Lyu Q, Zheng W, Yang Q, Cao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 Chinese Medicine 2021;16:73.</w:t>
      </w:r>
      <w:r>
        <w:t xml:space="preserve"> </w:t>
      </w:r>
      <w:hyperlink r:id="rId181">
        <w:r>
          <w:rPr>
            <w:rStyle w:val="24"/>
          </w:rPr>
          <w:t xml:space="preserve">https://doi.org/gnmwxx</w:t>
        </w:r>
      </w:hyperlink>
      <w:r>
        <w:t xml:space="preserve">.</w:t>
      </w:r>
    </w:p>
    <w:bookmarkEnd w:id="182"/>
    <w:bookmarkStart w:id="184" w:name="ref-2020cv"/>
    <w:p>
      <w:pPr>
        <w:pStyle w:val="189"/>
      </w:pPr>
      <w:r>
        <w:t xml:space="preserve">[70]</w:t>
      </w:r>
      <w:r>
        <w:t xml:space="preserve"> </w:t>
      </w:r>
      <w:r>
        <w:t xml:space="preserve">	</w:t>
      </w:r>
      <w:r>
        <w:t xml:space="preserve">Knuplez E, Marsche G. An</w:t>
      </w:r>
      <w:r>
        <w:t xml:space="preserve"> </w:t>
      </w:r>
      <w:r>
        <w:t xml:space="preserve">Updated Review</w:t>
      </w:r>
      <w:r>
        <w:t xml:space="preserve"> </w:t>
      </w:r>
      <w:r>
        <w:t xml:space="preserve">of</w:t>
      </w:r>
      <w:r>
        <w:t xml:space="preserve"> </w:t>
      </w:r>
      <w:r>
        <w:t xml:space="preserve">Pro-</w:t>
      </w:r>
      <w:r>
        <w:t xml:space="preserve"> </w:t>
      </w:r>
      <w:r>
        <w:t xml:space="preserve">and</w:t>
      </w:r>
      <w:r>
        <w:t xml:space="preserve"> </w:t>
      </w:r>
      <w:r>
        <w:t xml:space="preserve">Anti-Inflammatory Properties</w:t>
      </w:r>
      <w:r>
        <w:t xml:space="preserve"> </w:t>
      </w:r>
      <w:r>
        <w:t xml:space="preserve">of</w:t>
      </w:r>
      <w:r>
        <w:t xml:space="preserve"> </w:t>
      </w:r>
      <w:r>
        <w:t xml:space="preserve">Plasma Lysophosphatidylcholines</w:t>
      </w:r>
      <w:r>
        <w:t xml:space="preserve"> </w:t>
      </w:r>
      <w:r>
        <w:t xml:space="preserve">in the</w:t>
      </w:r>
      <w:r>
        <w:t xml:space="preserve"> </w:t>
      </w:r>
      <w:r>
        <w:t xml:space="preserve">Vascular System</w:t>
      </w:r>
      <w:r>
        <w:t xml:space="preserve">. International Journal of Molecular Sciences 2020;21:E4501.</w:t>
      </w:r>
      <w:r>
        <w:t xml:space="preserve"> </w:t>
      </w:r>
      <w:hyperlink r:id="rId183">
        <w:r>
          <w:rPr>
            <w:rStyle w:val="24"/>
          </w:rPr>
          <w:t xml:space="preserve">https://doi.org/10.3390/ijms21124501</w:t>
        </w:r>
      </w:hyperlink>
      <w:r>
        <w:t xml:space="preserve">.</w:t>
      </w:r>
    </w:p>
    <w:bookmarkEnd w:id="184"/>
    <w:bookmarkStart w:id="186" w:name="ref-2014ao"/>
    <w:p>
      <w:pPr>
        <w:pStyle w:val="189"/>
      </w:pPr>
      <w:r>
        <w:t xml:space="preserve">[71]</w:t>
      </w:r>
      <w:r>
        <w:t xml:space="preserve"> </w:t>
      </w:r>
      <w:r>
        <w:t xml:space="preserve">	</w:t>
      </w:r>
      <w:r>
        <w:t xml:space="preserve">Park DW, Kwak DS, Park YY, Chang Y, Huh JW, Lim C-M, et al. Impact of serial measurements of lysophosphatidylcholine on 28-day mortality prediction in patients admitted to the intensive care unit with severe sepsis or septic shock. Journal of Critical Care 2014;29:882.e5–11.</w:t>
      </w:r>
      <w:r>
        <w:t xml:space="preserve"> </w:t>
      </w:r>
      <w:hyperlink r:id="rId185">
        <w:r>
          <w:rPr>
            <w:rStyle w:val="24"/>
          </w:rPr>
          <w:t xml:space="preserve">https://doi.org/10.1016/j.jcrc.2014.05.003</w:t>
        </w:r>
      </w:hyperlink>
      <w:r>
        <w:t xml:space="preserve">.</w:t>
      </w:r>
    </w:p>
    <w:bookmarkEnd w:id="186"/>
    <w:bookmarkStart w:id="188" w:name="ref-2003n"/>
    <w:p>
      <w:pPr>
        <w:pStyle w:val="189"/>
      </w:pPr>
      <w:r>
        <w:t xml:space="preserve">[72]</w:t>
      </w:r>
      <w:r>
        <w:t xml:space="preserve"> </w:t>
      </w:r>
      <w:r>
        <w:t xml:space="preserve">	</w:t>
      </w:r>
      <w:r>
        <w:t xml:space="preserve">Drobnik W, Liebisch G, Audebert F-X, Fröhlich D, Glück T, Vogel P, et al. Plasma ceramide and lysophosphatidylcholine inversely correlate with mortality in sepsis patients. Journal of Lipid Research 2003;44:754–61.</w:t>
      </w:r>
      <w:r>
        <w:t xml:space="preserve"> </w:t>
      </w:r>
      <w:hyperlink r:id="rId187">
        <w:r>
          <w:rPr>
            <w:rStyle w:val="24"/>
          </w:rPr>
          <w:t xml:space="preserve">https://doi.org/10.1194/jlr.M200401-JLR200</w:t>
        </w:r>
      </w:hyperlink>
      <w:r>
        <w:t xml:space="preserve">.</w:t>
      </w:r>
    </w:p>
    <w:bookmarkEnd w:id="188"/>
    <w:bookmarkStart w:id="190" w:name="ref-2021dg"/>
    <w:p>
      <w:pPr>
        <w:pStyle w:val="189"/>
      </w:pPr>
      <w:r>
        <w:t xml:space="preserve">[73]</w:t>
      </w:r>
      <w:r>
        <w:t xml:space="preserve"> </w:t>
      </w:r>
      <w:r>
        <w:t xml:space="preserve">	</w:t>
      </w:r>
      <w:r>
        <w:t xml:space="preserve">Perino A, Demagny H, Velazquez-Villegas L, Schoonjans K. Molecular</w:t>
      </w:r>
      <w:r>
        <w:t xml:space="preserve"> </w:t>
      </w:r>
      <w:r>
        <w:t xml:space="preserve">Physiology</w:t>
      </w:r>
      <w:r>
        <w:t xml:space="preserve"> </w:t>
      </w:r>
      <w:r>
        <w:t xml:space="preserve">of</w:t>
      </w:r>
      <w:r>
        <w:t xml:space="preserve"> </w:t>
      </w:r>
      <w:r>
        <w:t xml:space="preserve">Bile Acid Signaling</w:t>
      </w:r>
      <w:r>
        <w:t xml:space="preserve"> </w:t>
      </w:r>
      <w:r>
        <w:t xml:space="preserve">in</w:t>
      </w:r>
      <w:r>
        <w:t xml:space="preserve"> </w:t>
      </w:r>
      <w:r>
        <w:t xml:space="preserve">Health</w:t>
      </w:r>
      <w:r>
        <w:t xml:space="preserve">,</w:t>
      </w:r>
      <w:r>
        <w:t xml:space="preserve"> </w:t>
      </w:r>
      <w:r>
        <w:t xml:space="preserve">Disease</w:t>
      </w:r>
      <w:r>
        <w:t xml:space="preserve">, and</w:t>
      </w:r>
      <w:r>
        <w:t xml:space="preserve"> </w:t>
      </w:r>
      <w:r>
        <w:t xml:space="preserve">Aging</w:t>
      </w:r>
      <w:r>
        <w:t xml:space="preserve">. Physiological Reviews 2021;101:683–731.</w:t>
      </w:r>
      <w:r>
        <w:t xml:space="preserve"> </w:t>
      </w:r>
      <w:hyperlink r:id="rId189">
        <w:r>
          <w:rPr>
            <w:rStyle w:val="24"/>
          </w:rPr>
          <w:t xml:space="preserve">https://doi.org/10.1152/physrev.00049.2019</w:t>
        </w:r>
      </w:hyperlink>
      <w:r>
        <w:t xml:space="preserve">.</w:t>
      </w:r>
    </w:p>
    <w:bookmarkEnd w:id="190"/>
    <w:bookmarkStart w:id="192" w:name="ref-2018bd"/>
    <w:p>
      <w:pPr>
        <w:pStyle w:val="189"/>
      </w:pPr>
      <w:r>
        <w:t xml:space="preserve">[74]</w:t>
      </w:r>
      <w:r>
        <w:t xml:space="preserve"> </w:t>
      </w:r>
      <w:r>
        <w:t xml:space="preserve">	</w:t>
      </w:r>
      <w:r>
        <w:t xml:space="preserve">Wang B, Tontonoz P. Liver</w:t>
      </w:r>
      <w:r>
        <w:t xml:space="preserve"> </w:t>
      </w:r>
      <w:r>
        <w:t xml:space="preserve">X</w:t>
      </w:r>
      <w:r>
        <w:t xml:space="preserve"> </w:t>
      </w:r>
      <w:r>
        <w:t xml:space="preserve">receptors in lipid signalling and membrane homeostasis. Nature Reviews Endocrinology 2018;14:452–63.</w:t>
      </w:r>
      <w:r>
        <w:t xml:space="preserve"> </w:t>
      </w:r>
      <w:hyperlink r:id="rId191">
        <w:r>
          <w:rPr>
            <w:rStyle w:val="24"/>
          </w:rPr>
          <w:t xml:space="preserve">https://doi.org/10.1038/s41574-018-0037-x</w:t>
        </w:r>
      </w:hyperlink>
      <w:r>
        <w:t xml:space="preserve">.</w:t>
      </w:r>
    </w:p>
    <w:bookmarkEnd w:id="192"/>
    <w:bookmarkStart w:id="194" w:name="ref-2021di"/>
    <w:p>
      <w:pPr>
        <w:pStyle w:val="189"/>
      </w:pPr>
      <w:r>
        <w:t xml:space="preserve">[75]</w:t>
      </w:r>
      <w:r>
        <w:t xml:space="preserve"> </w:t>
      </w:r>
      <w:r>
        <w:t xml:space="preserve">	</w:t>
      </w:r>
      <w:r>
        <w:t xml:space="preserve">Zhang Q, Yao D, Rao B, Jian L, Chen Y, Hu K, et al. The structural basis for the phospholipid remodeling by lysophosphatidylcholine acyltransferase 3. Nature Communications 2021;12:6869.</w:t>
      </w:r>
      <w:r>
        <w:t xml:space="preserve"> </w:t>
      </w:r>
      <w:hyperlink r:id="rId193">
        <w:r>
          <w:rPr>
            <w:rStyle w:val="24"/>
          </w:rPr>
          <w:t xml:space="preserve">https://doi.org/10.1038/s41467-021-27244-1</w:t>
        </w:r>
      </w:hyperlink>
      <w:r>
        <w:t xml:space="preserve">.</w:t>
      </w:r>
    </w:p>
    <w:bookmarkEnd w:id="194"/>
    <w:bookmarkStart w:id="196" w:name="ref-2021bi"/>
    <w:p>
      <w:pPr>
        <w:pStyle w:val="189"/>
      </w:pPr>
      <w:r>
        <w:t xml:space="preserve">[76]</w:t>
      </w:r>
      <w:r>
        <w:t xml:space="preserve"> </w:t>
      </w:r>
      <w:r>
        <w:t xml:space="preserve">	</w:t>
      </w:r>
      <w:r>
        <w:t xml:space="preserve">Huang L, Lyu Q, Zheng W, Yang Q, Cao G. Traditional application and modern pharmacological research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 Chinese Medicine 2021;16:73.</w:t>
      </w:r>
      <w:r>
        <w:t xml:space="preserve"> </w:t>
      </w:r>
      <w:hyperlink r:id="rId195">
        <w:r>
          <w:rPr>
            <w:rStyle w:val="24"/>
          </w:rPr>
          <w:t xml:space="preserve">https://doi.org/10.1186/s13020-021-00482-7</w:t>
        </w:r>
      </w:hyperlink>
      <w:r>
        <w:t xml:space="preserve">.</w:t>
      </w:r>
    </w:p>
    <w:bookmarkEnd w:id="196"/>
    <w:bookmarkStart w:id="198" w:name="ref-2014w"/>
    <w:p>
      <w:pPr>
        <w:pStyle w:val="189"/>
      </w:pPr>
      <w:r>
        <w:t xml:space="preserve">[77]</w:t>
      </w:r>
      <w:r>
        <w:t xml:space="preserve"> </w:t>
      </w:r>
      <w:r>
        <w:t xml:space="preserve">	</w:t>
      </w:r>
      <w:r>
        <w:t xml:space="preserve">Huang Y-X, Liu E-W, Wang L, Huo Y, Wang Q, Olaleye O, et al.</w:t>
      </w:r>
      <w:r>
        <w:t xml:space="preserve"> </w:t>
      </w:r>
      <w:r>
        <w:t xml:space="preserve">LC</w:t>
      </w:r>
      <w:r>
        <w:t xml:space="preserve">/</w:t>
      </w:r>
      <w:r>
        <w:t xml:space="preserve">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pharmacokinetic studies of six compounds in rat plasma following oral administration of the single and combined extracts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 and</w:t>
      </w:r>
      <w:r>
        <w:t xml:space="preserve"> </w:t>
      </w:r>
      <w:r>
        <w:t xml:space="preserve">Dipsacus</w:t>
      </w:r>
      <w:r>
        <w:t xml:space="preserve"> </w:t>
      </w:r>
      <w:r>
        <w:t xml:space="preserve">asperoides. Chinese Journal of Natural Medicines 2014;12:469–76.</w:t>
      </w:r>
      <w:r>
        <w:t xml:space="preserve"> </w:t>
      </w:r>
      <w:hyperlink r:id="rId197">
        <w:r>
          <w:rPr>
            <w:rStyle w:val="24"/>
          </w:rPr>
          <w:t xml:space="preserve">https://doi.org/10.1016/S1875-5364(14)60073-X</w:t>
        </w:r>
      </w:hyperlink>
      <w:r>
        <w:t xml:space="preserve">.</w:t>
      </w:r>
    </w:p>
    <w:bookmarkEnd w:id="198"/>
    <w:bookmarkStart w:id="200" w:name="ref-2015v"/>
    <w:p>
      <w:pPr>
        <w:pStyle w:val="189"/>
      </w:pPr>
      <w:r>
        <w:t xml:space="preserve">[78]</w:t>
      </w:r>
      <w:r>
        <w:t xml:space="preserve"> </w:t>
      </w:r>
      <w:r>
        <w:t xml:space="preserve">	</w:t>
      </w:r>
      <w:r>
        <w:t xml:space="preserve">Hu F, An J, Li W, Zhang Z, Chen W, Wang C, et al.</w:t>
      </w:r>
      <w:r>
        <w:t xml:space="preserve"> </w:t>
      </w:r>
      <w:r>
        <w:t xml:space="preserve">UPLC-MS</w:t>
      </w:r>
      <w:r>
        <w:t xml:space="preserve">/</w:t>
      </w:r>
      <w:r>
        <w:t xml:space="preserve">MS</w:t>
      </w:r>
      <w:r>
        <w:t xml:space="preserve"> </w:t>
      </w:r>
      <w:r>
        <w:t xml:space="preserve">determination and gender-related pharmacokinetic study of five active ingredients in rat plasma after oral administration of</w:t>
      </w:r>
      <w:r>
        <w:t xml:space="preserve"> </w:t>
      </w:r>
      <w:r>
        <w:t xml:space="preserve">Eucommia</w:t>
      </w:r>
      <w:r>
        <w:t xml:space="preserve"> </w:t>
      </w:r>
      <w:r>
        <w:t xml:space="preserve">cortex extract. Journal of Ethnopharmacology 2015;169:145–55.</w:t>
      </w:r>
      <w:r>
        <w:t xml:space="preserve"> </w:t>
      </w:r>
      <w:hyperlink r:id="rId199">
        <w:r>
          <w:rPr>
            <w:rStyle w:val="24"/>
          </w:rPr>
          <w:t xml:space="preserve">https://doi.org/10.1016/j.jep.2015.04.007</w:t>
        </w:r>
      </w:hyperlink>
      <w:r>
        <w:t xml:space="preserve">.</w:t>
      </w:r>
    </w:p>
    <w:bookmarkEnd w:id="200"/>
    <w:bookmarkStart w:id="202" w:name="ref-2016aj"/>
    <w:p>
      <w:pPr>
        <w:pStyle w:val="189"/>
      </w:pPr>
      <w:r>
        <w:t xml:space="preserve">[79]</w:t>
      </w:r>
      <w:r>
        <w:t xml:space="preserve"> </w:t>
      </w:r>
      <w:r>
        <w:t xml:space="preserve">	</w:t>
      </w:r>
      <w:r>
        <w:t xml:space="preserve">Li Y, Gong Z, Cao X, Wang Y, Wang A, Zheng L, et al. A</w:t>
      </w:r>
      <w:r>
        <w:t xml:space="preserve"> </w:t>
      </w:r>
      <w:r>
        <w:t xml:space="preserve">UPLC-MS Method</w:t>
      </w:r>
      <w:r>
        <w:t xml:space="preserve"> </w:t>
      </w:r>
      <w:r>
        <w:t xml:space="preserve">for</w:t>
      </w:r>
      <w:r>
        <w:t xml:space="preserve"> </w:t>
      </w:r>
      <w:r>
        <w:t xml:space="preserve">Simultaneous Determination</w:t>
      </w:r>
      <w:r>
        <w:t xml:space="preserve"> </w:t>
      </w:r>
      <w:r>
        <w:t xml:space="preserve">of</w:t>
      </w:r>
      <w:r>
        <w:t xml:space="preserve"> </w:t>
      </w:r>
      <w:r>
        <w:t xml:space="preserve">Geniposidic Acid</w:t>
      </w:r>
      <w:r>
        <w:t xml:space="preserve">,</w:t>
      </w:r>
      <w:r>
        <w:t xml:space="preserve"> </w:t>
      </w:r>
      <w:r>
        <w:t xml:space="preserve">Two Lignans</w:t>
      </w:r>
      <w:r>
        <w:t xml:space="preserve"> </w:t>
      </w:r>
      <w:r>
        <w:t xml:space="preserve">and</w:t>
      </w:r>
      <w:r>
        <w:t xml:space="preserve"> </w:t>
      </w:r>
      <w:r>
        <w:t xml:space="preserve">Phenolics</w:t>
      </w:r>
      <w:r>
        <w:t xml:space="preserve"> </w:t>
      </w:r>
      <w:r>
        <w:t xml:space="preserve">in</w:t>
      </w:r>
      <w:r>
        <w:t xml:space="preserve"> </w:t>
      </w:r>
      <w:r>
        <w:t xml:space="preserve">Rat Plasma</w:t>
      </w:r>
      <w:r>
        <w:t xml:space="preserve"> </w:t>
      </w:r>
      <w:r>
        <w:t xml:space="preserve">and its</w:t>
      </w:r>
      <w:r>
        <w:t xml:space="preserve"> </w:t>
      </w:r>
      <w:r>
        <w:t xml:space="preserve">Application</w:t>
      </w:r>
      <w:r>
        <w:t xml:space="preserve"> </w:t>
      </w:r>
      <w:r>
        <w:t xml:space="preserve">to</w:t>
      </w:r>
      <w:r>
        <w:t xml:space="preserve"> </w:t>
      </w:r>
      <w:r>
        <w:t xml:space="preserve">Pharmacokinetic Studies</w:t>
      </w:r>
      <w:r>
        <w:t xml:space="preserve"> </w:t>
      </w:r>
      <w:r>
        <w:t xml:space="preserve">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Extract</w:t>
      </w:r>
      <w:r>
        <w:t xml:space="preserve"> </w:t>
      </w:r>
      <w:r>
        <w:t xml:space="preserve">in</w:t>
      </w:r>
      <w:r>
        <w:t xml:space="preserve"> </w:t>
      </w:r>
      <w:r>
        <w:t xml:space="preserve">Rats</w:t>
      </w:r>
      <w:r>
        <w:t xml:space="preserve">. European Journal of Drug Metabolism and Pharmacokinetics 2016;41:595–603.</w:t>
      </w:r>
      <w:r>
        <w:t xml:space="preserve"> </w:t>
      </w:r>
      <w:hyperlink r:id="rId201">
        <w:r>
          <w:rPr>
            <w:rStyle w:val="24"/>
          </w:rPr>
          <w:t xml:space="preserve">https://doi.org/10.1007/s13318-015-0282-5</w:t>
        </w:r>
      </w:hyperlink>
      <w:r>
        <w:t xml:space="preserve">.</w:t>
      </w:r>
    </w:p>
    <w:bookmarkEnd w:id="202"/>
    <w:bookmarkStart w:id="204" w:name="ref-2018ah"/>
    <w:p>
      <w:pPr>
        <w:pStyle w:val="189"/>
      </w:pPr>
      <w:r>
        <w:t xml:space="preserve">[80]</w:t>
      </w:r>
      <w:r>
        <w:t xml:space="preserve"> </w:t>
      </w:r>
      <w:r>
        <w:t xml:space="preserve">	</w:t>
      </w:r>
      <w:r>
        <w:t xml:space="preserve">Yan Y, Zhao H, Chen C, Zou L, Liu X, Chai C, et al. Comparison of</w:t>
      </w:r>
      <w:r>
        <w:t xml:space="preserve"> </w:t>
      </w:r>
      <w:r>
        <w:t xml:space="preserve">Multiple Bioactive Constituents</w:t>
      </w:r>
      <w:r>
        <w:t xml:space="preserve"> </w:t>
      </w:r>
      <w:r>
        <w:t xml:space="preserve">in</w:t>
      </w:r>
      <w:r>
        <w:t xml:space="preserve"> </w:t>
      </w:r>
      <w:r>
        <w:t xml:space="preserve">Different Parts</w:t>
      </w:r>
      <w:r>
        <w:t xml:space="preserve"> </w:t>
      </w:r>
      <w:r>
        <w:t xml:space="preserve">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UFLC-QTRAP-MS</w:t>
      </w:r>
      <w:r>
        <w:t xml:space="preserve">/</w:t>
      </w:r>
      <w:r>
        <w:t xml:space="preserve">MS Combined</w:t>
      </w:r>
      <w:r>
        <w:t xml:space="preserve"> </w:t>
      </w:r>
      <w:r>
        <w:t xml:space="preserve">with</w:t>
      </w:r>
      <w:r>
        <w:t xml:space="preserve"> </w:t>
      </w:r>
      <w:r>
        <w:t xml:space="preserve">PCA</w:t>
      </w:r>
      <w:r>
        <w:t xml:space="preserve">. Molecules (Basel, Switzerland) 2018;23.</w:t>
      </w:r>
      <w:r>
        <w:t xml:space="preserve"> </w:t>
      </w:r>
      <w:hyperlink r:id="rId203">
        <w:r>
          <w:rPr>
            <w:rStyle w:val="24"/>
          </w:rPr>
          <w:t xml:space="preserve">https://doi.org/10.3390/molecules23030643</w:t>
        </w:r>
      </w:hyperlink>
      <w:r>
        <w:t xml:space="preserve">.</w:t>
      </w:r>
    </w:p>
    <w:bookmarkEnd w:id="204"/>
    <w:bookmarkStart w:id="206" w:name="ref-2019am"/>
    <w:p>
      <w:pPr>
        <w:pStyle w:val="189"/>
      </w:pPr>
      <w:r>
        <w:t xml:space="preserve">[81]</w:t>
      </w:r>
      <w:r>
        <w:t xml:space="preserve"> </w:t>
      </w:r>
      <w:r>
        <w:t xml:space="preserve">	</w:t>
      </w:r>
      <w:r>
        <w:t xml:space="preserve">Jia J, Liu M, Wen Q, He M, Ouyang H, Chen L, et al. Screening of anti-complement active ingredients from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</w:t>
      </w:r>
      <w:r>
        <w:t xml:space="preserve">. Branches and their metabolism in vivo based on</w:t>
      </w:r>
      <w:r>
        <w:t xml:space="preserve"> </w:t>
      </w:r>
      <w:r>
        <w:t xml:space="preserve">UHPLC-Q-TOF</w:t>
      </w:r>
      <w:r>
        <w:t xml:space="preserve">/</w:t>
      </w:r>
      <w:r>
        <w:t xml:space="preserve">MS</w:t>
      </w:r>
      <w:r>
        <w:t xml:space="preserve">/</w:t>
      </w:r>
      <w:r>
        <w:t xml:space="preserve">MS</w:t>
      </w:r>
      <w:r>
        <w:t xml:space="preserve">. Journal of Chromatography B, Analytical Technologies in the Biomedical and Life Sciences 2019;1124:26–36.</w:t>
      </w:r>
      <w:r>
        <w:t xml:space="preserve"> </w:t>
      </w:r>
      <w:hyperlink r:id="rId205">
        <w:r>
          <w:rPr>
            <w:rStyle w:val="24"/>
          </w:rPr>
          <w:t xml:space="preserve">https://doi.org/10.1016/j.jchromb.2019.05.029</w:t>
        </w:r>
      </w:hyperlink>
      <w:r>
        <w:t xml:space="preserve">.</w:t>
      </w:r>
    </w:p>
    <w:bookmarkEnd w:id="206"/>
    <w:bookmarkStart w:id="208" w:name="ref-2021bt"/>
    <w:p>
      <w:pPr>
        <w:pStyle w:val="189"/>
      </w:pPr>
      <w:r>
        <w:t xml:space="preserve">[82]</w:t>
      </w:r>
      <w:r>
        <w:t xml:space="preserve"> </w:t>
      </w:r>
      <w:r>
        <w:t xml:space="preserve">	</w:t>
      </w:r>
      <w:r>
        <w:t xml:space="preserve">Huang Q, Zhang F, Liu S, Jiang Y, Ouyang D. Systematic investigation of the pharmacological mechanism for renal protection by the leaves of</w:t>
      </w:r>
      <w:r>
        <w:t xml:space="preserve"> </w:t>
      </w:r>
      <w:r>
        <w:t xml:space="preserve">Eucommia</w:t>
      </w:r>
      <w:r>
        <w:t xml:space="preserve"> </w:t>
      </w:r>
      <w:r>
        <w:t xml:space="preserve">ulmoides</w:t>
      </w:r>
      <w:r>
        <w:t xml:space="preserve"> </w:t>
      </w:r>
      <w:r>
        <w:t xml:space="preserve">Oliver</w:t>
      </w:r>
      <w:r>
        <w:t xml:space="preserve"> </w:t>
      </w:r>
      <w:r>
        <w:t xml:space="preserve">using</w:t>
      </w:r>
      <w:r>
        <w:t xml:space="preserve"> </w:t>
      </w:r>
      <w:r>
        <w:t xml:space="preserve">UPLC-Q-TOF</w:t>
      </w:r>
      <w:r>
        <w:t xml:space="preserve">/</w:t>
      </w:r>
      <w:r>
        <w:t xml:space="preserve">MS</w:t>
      </w:r>
      <w:r>
        <w:t xml:space="preserve"> </w:t>
      </w:r>
      <w:r>
        <w:t xml:space="preserve">combined with network pharmacology analysis. Biomedicine &amp; Pharmacotherapy = Biomedecine &amp; Pharmacotherapie 2021;140:111735.</w:t>
      </w:r>
      <w:r>
        <w:t xml:space="preserve"> </w:t>
      </w:r>
      <w:hyperlink r:id="rId207">
        <w:r>
          <w:rPr>
            <w:rStyle w:val="24"/>
          </w:rPr>
          <w:t xml:space="preserve">https://doi.org/10.1016/j.biopha.2021.111735</w:t>
        </w:r>
      </w:hyperlink>
      <w:r>
        <w:t xml:space="preserve">.</w:t>
      </w:r>
    </w:p>
    <w:bookmarkEnd w:id="208"/>
    <w:bookmarkStart w:id="209" w:name="ref-2021z"/>
    <w:p>
      <w:pPr>
        <w:pStyle w:val="189"/>
      </w:pPr>
      <w:r>
        <w:t xml:space="preserve">[83]</w:t>
      </w:r>
      <w:r>
        <w:t xml:space="preserve"> </w:t>
      </w:r>
      <w:r>
        <w:t xml:space="preserve">	</w:t>
      </w:r>
      <w:r>
        <w:t xml:space="preserve">R Core Team. R:</w:t>
      </w:r>
      <w:r>
        <w:t xml:space="preserve"> </w:t>
      </w:r>
      <w:r>
        <w:t xml:space="preserve">A</w:t>
      </w:r>
      <w:r>
        <w:t xml:space="preserve"> </w:t>
      </w:r>
      <w:r>
        <w:t xml:space="preserve">language and environment for statistical computing.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; 2021.</w:t>
      </w:r>
    </w:p>
    <w:bookmarkEnd w:id="209"/>
    <w:bookmarkStart w:id="210" w:name="ref-2016g"/>
    <w:p>
      <w:pPr>
        <w:pStyle w:val="189"/>
      </w:pPr>
      <w:r>
        <w:t xml:space="preserve">[84]</w:t>
      </w:r>
      <w:r>
        <w:t xml:space="preserve"> </w:t>
      </w:r>
      <w:r>
        <w:t xml:space="preserve">	</w:t>
      </w:r>
      <w:r>
        <w:t xml:space="preserve">Wickham H. Ggplot2:</w:t>
      </w:r>
      <w:r>
        <w:t xml:space="preserve"> </w:t>
      </w:r>
      <w:r>
        <w:t xml:space="preserve">Elegant</w:t>
      </w:r>
      <w:r>
        <w:t xml:space="preserve"> </w:t>
      </w:r>
      <w:r>
        <w:t xml:space="preserve">graphics for data analysis.</w:t>
      </w:r>
      <w:r>
        <w:t xml:space="preserve"> </w:t>
      </w:r>
      <w:r>
        <w:t xml:space="preserve">Springer-Verlag New York</w:t>
      </w:r>
      <w:r>
        <w:t xml:space="preserve">; 2016.</w:t>
      </w:r>
    </w:p>
    <w:bookmarkEnd w:id="210"/>
    <w:bookmarkStart w:id="211" w:name="ref-2021ab"/>
    <w:p>
      <w:pPr>
        <w:pStyle w:val="189"/>
      </w:pPr>
      <w:r>
        <w:t xml:space="preserve">[85]</w:t>
      </w:r>
      <w:r>
        <w:t xml:space="preserve"> </w:t>
      </w:r>
      <w:r>
        <w:t xml:space="preserve">	</w:t>
      </w:r>
      <w:r>
        <w:t xml:space="preserve">Horan K, Girke T.</w:t>
      </w:r>
      <w:r>
        <w:t xml:space="preserve"> </w:t>
      </w:r>
      <w:r>
        <w:t xml:space="preserve">ChemmineOB</w:t>
      </w:r>
      <w:r>
        <w:t xml:space="preserve">:</w:t>
      </w:r>
      <w:r>
        <w:t xml:space="preserve"> </w:t>
      </w:r>
      <w:r>
        <w:t xml:space="preserve">R</w:t>
      </w:r>
      <w:r>
        <w:t xml:space="preserve"> </w:t>
      </w:r>
      <w:r>
        <w:t xml:space="preserve">interface to a subset of</w:t>
      </w:r>
      <w:r>
        <w:t xml:space="preserve"> </w:t>
      </w:r>
      <w:r>
        <w:t xml:space="preserve">OpenBabel</w:t>
      </w:r>
      <w:r>
        <w:t xml:space="preserve"> </w:t>
      </w:r>
      <w:r>
        <w:t xml:space="preserve">functionalities. 2021.</w:t>
      </w:r>
    </w:p>
    <w:bookmarkEnd w:id="211"/>
    <w:bookmarkStart w:id="212" w:name="ref-2021y"/>
    <w:p>
      <w:pPr>
        <w:pStyle w:val="189"/>
      </w:pPr>
      <w:r>
        <w:t xml:space="preserve">[86]</w:t>
      </w:r>
      <w:r>
        <w:t xml:space="preserve"> </w:t>
      </w:r>
      <w:r>
        <w:t xml:space="preserve">	</w:t>
      </w:r>
      <w:r>
        <w:t xml:space="preserve">Pedersen TL. Ggraph:</w:t>
      </w:r>
      <w:r>
        <w:t xml:space="preserve"> </w:t>
      </w:r>
      <w:r>
        <w:t xml:space="preserve">An</w:t>
      </w:r>
      <w:r>
        <w:t xml:space="preserve"> </w:t>
      </w:r>
      <w:r>
        <w:t xml:space="preserve">implementation of grammar of graphics for graphs and networks. 2021.</w:t>
      </w:r>
    </w:p>
    <w:bookmarkEnd w:id="212"/>
    <w:bookmarkStart w:id="213" w:name="ref-2018h"/>
    <w:p>
      <w:pPr>
        <w:pStyle w:val="189"/>
      </w:pPr>
      <w:r>
        <w:t xml:space="preserve">[87]</w:t>
      </w:r>
      <w:r>
        <w:t xml:space="preserve"> </w:t>
      </w:r>
      <w:r>
        <w:t xml:space="preserve">	</w:t>
      </w:r>
      <w:r>
        <w:t xml:space="preserve">Xiao N. Ggsci:</w:t>
      </w:r>
      <w:r>
        <w:t xml:space="preserve"> </w:t>
      </w:r>
      <w:r>
        <w:t xml:space="preserve">Scientific</w:t>
      </w:r>
      <w:r>
        <w:t xml:space="preserve"> </w:t>
      </w:r>
      <w:r>
        <w:t xml:space="preserve">journal and sci-fi themed color palettes for ’Ggplot2’. 2018.</w:t>
      </w:r>
    </w:p>
    <w:bookmarkEnd w:id="213"/>
    <w:bookmarkStart w:id="214" w:name="ref-2017j"/>
    <w:p>
      <w:pPr>
        <w:pStyle w:val="189"/>
      </w:pPr>
      <w:r>
        <w:t xml:space="preserve">[88]</w:t>
      </w:r>
      <w:r>
        <w:t xml:space="preserve"> </w:t>
      </w:r>
      <w:r>
        <w:t xml:space="preserve">	</w:t>
      </w:r>
      <w:r>
        <w:t xml:space="preserve">Auguie B.</w:t>
      </w:r>
      <w:r>
        <w:t xml:space="preserve"> </w:t>
      </w:r>
      <w:r>
        <w:t xml:space="preserve">gridExtra</w:t>
      </w:r>
      <w:r>
        <w:t xml:space="preserve">:</w:t>
      </w:r>
      <w:r>
        <w:t xml:space="preserve"> </w:t>
      </w:r>
      <w:r>
        <w:t xml:space="preserve">Miscellaneous</w:t>
      </w:r>
      <w:r>
        <w:t xml:space="preserve"> </w:t>
      </w:r>
      <w:r>
        <w:t xml:space="preserve">functions for "</w:t>
      </w:r>
      <w:r>
        <w:t xml:space="preserve">Grid</w:t>
      </w:r>
      <w:r>
        <w:t xml:space="preserve">" graphics. 2017.</w:t>
      </w:r>
    </w:p>
    <w:bookmarkEnd w:id="214"/>
    <w:bookmarkStart w:id="215" w:name="ref-2019l"/>
    <w:p>
      <w:pPr>
        <w:pStyle w:val="189"/>
      </w:pPr>
      <w:r>
        <w:t xml:space="preserve">[89]</w:t>
      </w:r>
      <w:r>
        <w:t xml:space="preserve"> </w:t>
      </w:r>
      <w:r>
        <w:t xml:space="preserve">	</w:t>
      </w:r>
      <w:r>
        <w:t xml:space="preserve">Potter S, Murrell P.</w:t>
      </w:r>
      <w:r>
        <w:t xml:space="preserve"> </w:t>
      </w:r>
      <w:r>
        <w:t xml:space="preserve">grImport2</w:t>
      </w:r>
      <w:r>
        <w:t xml:space="preserve">:</w:t>
      </w:r>
      <w:r>
        <w:t xml:space="preserve"> </w:t>
      </w:r>
      <w:r>
        <w:t xml:space="preserve">Importing</w:t>
      </w:r>
      <w:r>
        <w:t xml:space="preserve"> </w:t>
      </w:r>
      <w:r>
        <w:t xml:space="preserve">’</w:t>
      </w:r>
      <w:r>
        <w:t xml:space="preserve">SVG</w:t>
      </w:r>
      <w:r>
        <w:t xml:space="preserve">’ graphics. 2019.</w:t>
      </w:r>
    </w:p>
    <w:bookmarkEnd w:id="215"/>
    <w:bookmarkStart w:id="216" w:name="ref-2020u"/>
    <w:p>
      <w:pPr>
        <w:pStyle w:val="189"/>
      </w:pPr>
      <w:r>
        <w:t xml:space="preserve">[90]</w:t>
      </w:r>
      <w:r>
        <w:t xml:space="preserve"> </w:t>
      </w:r>
      <w:r>
        <w:t xml:space="preserve">	</w:t>
      </w:r>
      <w:r>
        <w:t xml:space="preserve">Pedersen TL. Tidygraph:</w:t>
      </w:r>
      <w:r>
        <w:t xml:space="preserve"> </w:t>
      </w:r>
      <w:r>
        <w:t xml:space="preserve">A</w:t>
      </w:r>
      <w:r>
        <w:t xml:space="preserve"> </w:t>
      </w:r>
      <w:r>
        <w:t xml:space="preserve">tidy</w:t>
      </w:r>
      <w:r>
        <w:t xml:space="preserve"> </w:t>
      </w:r>
      <w:r>
        <w:t xml:space="preserve">API</w:t>
      </w:r>
      <w:r>
        <w:t xml:space="preserve"> </w:t>
      </w:r>
      <w:r>
        <w:t xml:space="preserve">for graph manipulation. 2020.</w:t>
      </w:r>
    </w:p>
    <w:bookmarkEnd w:id="216"/>
    <w:bookmarkStart w:id="218" w:name="ref-gentleman_limma_2005-1"/>
    <w:p>
      <w:pPr>
        <w:pStyle w:val="189"/>
      </w:pPr>
      <w:r>
        <w:t xml:space="preserve">[91]</w:t>
      </w:r>
      <w:r>
        <w:t xml:space="preserve"> </w:t>
      </w:r>
      <w:r>
        <w:t xml:space="preserve">	</w:t>
      </w:r>
      <w:r>
        <w:t xml:space="preserve">Smyth GK. Limma:</w:t>
      </w:r>
      <w:r>
        <w:t xml:space="preserve"> </w:t>
      </w:r>
      <w:r>
        <w:t xml:space="preserve">Linear Models</w:t>
      </w:r>
      <w:r>
        <w:t xml:space="preserve"> </w:t>
      </w:r>
      <w:r>
        <w:t xml:space="preserve">for</w:t>
      </w:r>
      <w:r>
        <w:t xml:space="preserve"> </w:t>
      </w:r>
      <w:r>
        <w:t xml:space="preserve">Microarray Data</w:t>
      </w:r>
      <w:r>
        <w:t xml:space="preserve">. In: Gentleman R, Carey VJ, Huber W, Irizarry RA, Dudoit S, editors. Bioinformatics and</w:t>
      </w:r>
      <w:r>
        <w:t xml:space="preserve"> </w:t>
      </w:r>
      <w:r>
        <w:t xml:space="preserve">Computational Biology Solutions Using R</w:t>
      </w:r>
      <w:r>
        <w:t xml:space="preserve"> </w:t>
      </w:r>
      <w:r>
        <w:t xml:space="preserve">and</w:t>
      </w:r>
      <w:r>
        <w:t xml:space="preserve"> </w:t>
      </w:r>
      <w:r>
        <w:t xml:space="preserve">Bioconductor</w:t>
      </w:r>
      <w:r>
        <w:t xml:space="preserve">,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Springer-Verlag</w:t>
      </w:r>
      <w:r>
        <w:t xml:space="preserve">; 2005, p. 397–420.</w:t>
      </w:r>
      <w:r>
        <w:t xml:space="preserve"> </w:t>
      </w:r>
      <w:hyperlink r:id="rId217">
        <w:r>
          <w:rPr>
            <w:rStyle w:val="24"/>
          </w:rPr>
          <w:t xml:space="preserve">https://doi.org/10.1007/0-387-29362-0_23</w:t>
        </w:r>
      </w:hyperlink>
      <w:r>
        <w:t xml:space="preserve">.</w:t>
      </w:r>
    </w:p>
    <w:bookmarkEnd w:id="218"/>
    <w:bookmarkStart w:id="220" w:name="ref-ritchie_limma_2015"/>
    <w:p>
      <w:pPr>
        <w:pStyle w:val="189"/>
      </w:pPr>
      <w:r>
        <w:t xml:space="preserve">[92]</w:t>
      </w:r>
      <w:r>
        <w:t xml:space="preserve"> </w:t>
      </w:r>
      <w:r>
        <w:t xml:space="preserve">	</w:t>
      </w:r>
      <w:r>
        <w:t xml:space="preserve">Ritchie ME, Phipson B, Wu D, Hu Y, Law CW, Shi W, et al. Limma powers differential expression analyses for</w:t>
      </w:r>
      <w:r>
        <w:t xml:space="preserve"> </w:t>
      </w:r>
      <w:r>
        <w:t xml:space="preserve">RNA-sequencing</w:t>
      </w:r>
      <w:r>
        <w:t xml:space="preserve"> </w:t>
      </w:r>
      <w:r>
        <w:t xml:space="preserve">and microarray studies. Nucleic Acids Research 2015;43:e47.</w:t>
      </w:r>
      <w:r>
        <w:t xml:space="preserve"> </w:t>
      </w:r>
      <w:hyperlink r:id="rId219">
        <w:r>
          <w:rPr>
            <w:rStyle w:val="24"/>
          </w:rPr>
          <w:t xml:space="preserve">https://doi.org/10.1093/nar/gkv007</w:t>
        </w:r>
      </w:hyperlink>
      <w:r>
        <w:t xml:space="preserve">.</w:t>
      </w:r>
    </w:p>
    <w:bookmarkEnd w:id="220"/>
    <w:bookmarkStart w:id="222" w:name="ref-law_guide_2020"/>
    <w:p>
      <w:pPr>
        <w:pStyle w:val="189"/>
      </w:pPr>
      <w:r>
        <w:t xml:space="preserve">[93]</w:t>
      </w:r>
      <w:r>
        <w:t xml:space="preserve"> </w:t>
      </w:r>
      <w:r>
        <w:t xml:space="preserve">	</w:t>
      </w:r>
      <w:r>
        <w:t xml:space="preserve">Law CW, Zeglinski K, Dong X, Alhamdoosh M, Smyth GK, Ritchie ME. A guide to creating design matrices for gene expression experiments. F1000Research 2020;9:1444.</w:t>
      </w:r>
      <w:r>
        <w:t xml:space="preserve"> </w:t>
      </w:r>
      <w:hyperlink r:id="rId221">
        <w:r>
          <w:rPr>
            <w:rStyle w:val="24"/>
          </w:rPr>
          <w:t xml:space="preserve">https://doi.org/10.12688/f1000research.27893.1</w:t>
        </w:r>
      </w:hyperlink>
      <w:r>
        <w:t xml:space="preserve">.</w:t>
      </w:r>
    </w:p>
    <w:bookmarkEnd w:id="222"/>
    <w:bookmarkStart w:id="223" w:name="ref-allaire_rmarkdown_2022"/>
    <w:p>
      <w:pPr>
        <w:pStyle w:val="189"/>
      </w:pPr>
      <w:r>
        <w:t xml:space="preserve">[94]</w:t>
      </w:r>
      <w:r>
        <w:t xml:space="preserve"> </w:t>
      </w:r>
      <w:r>
        <w:t xml:space="preserve">	</w:t>
      </w:r>
      <w:r>
        <w:t xml:space="preserve">Allaire J, Xie Y, McPherson J, Luraschi J, Ushey K, Atkins A, et al. Rmarkdown:</w:t>
      </w:r>
      <w:r>
        <w:t xml:space="preserve"> </w:t>
      </w:r>
      <w:r>
        <w:t xml:space="preserve">Dynamic</w:t>
      </w:r>
      <w:r>
        <w:t xml:space="preserve"> </w:t>
      </w:r>
      <w:r>
        <w:t xml:space="preserve">documents for</w:t>
      </w:r>
      <w:r>
        <w:t xml:space="preserve"> </w:t>
      </w:r>
      <w:r>
        <w:t xml:space="preserve">R</w:t>
      </w:r>
      <w:r>
        <w:t xml:space="preserve">. 2022.</w:t>
      </w:r>
    </w:p>
    <w:bookmarkEnd w:id="223"/>
    <w:bookmarkStart w:id="224" w:name="ref-xie_r_2020"/>
    <w:p>
      <w:pPr>
        <w:pStyle w:val="189"/>
      </w:pPr>
      <w:r>
        <w:t xml:space="preserve">[95]</w:t>
      </w:r>
      <w:r>
        <w:t xml:space="preserve"> </w:t>
      </w:r>
      <w:r>
        <w:t xml:space="preserve">	</w:t>
      </w:r>
      <w:r>
        <w:t xml:space="preserve">Xie Y, Dervieux C, Riederer E. R markdown cookbook.</w:t>
      </w:r>
      <w:r>
        <w:t xml:space="preserve"> </w:t>
      </w:r>
      <w:r>
        <w:t xml:space="preserve">Boca Raton, Florida</w:t>
      </w:r>
      <w:r>
        <w:t xml:space="preserve">:</w:t>
      </w:r>
      <w:r>
        <w:t xml:space="preserve"> </w:t>
      </w:r>
      <w:r>
        <w:t xml:space="preserve">Chapman and Hall/CRC</w:t>
      </w:r>
      <w:r>
        <w:t xml:space="preserve">; 2020.</w:t>
      </w:r>
    </w:p>
    <w:bookmarkEnd w:id="224"/>
    <w:bookmarkStart w:id="225" w:name="ref-xie_r_2018"/>
    <w:p>
      <w:pPr>
        <w:pStyle w:val="189"/>
      </w:pPr>
      <w:r>
        <w:t xml:space="preserve">[96]</w:t>
      </w:r>
      <w:r>
        <w:t xml:space="preserve"> </w:t>
      </w:r>
      <w:r>
        <w:t xml:space="preserve">	</w:t>
      </w:r>
      <w:r>
        <w:t xml:space="preserve">Xie Y, Allaire JJ, Grolemund G. R markdown:</w:t>
      </w:r>
      <w:r>
        <w:t xml:space="preserve"> </w:t>
      </w:r>
      <w:r>
        <w:t xml:space="preserve">The</w:t>
      </w:r>
      <w:r>
        <w:t xml:space="preserve"> </w:t>
      </w:r>
      <w:r>
        <w:t xml:space="preserve">definitive guide.</w:t>
      </w:r>
      <w:r>
        <w:t xml:space="preserve"> </w:t>
      </w:r>
      <w:r>
        <w:t xml:space="preserve">Boca Raton, Florida</w:t>
      </w:r>
      <w:r>
        <w:t xml:space="preserve">:</w:t>
      </w:r>
      <w:r>
        <w:t xml:space="preserve"> </w:t>
      </w:r>
      <w:r>
        <w:t xml:space="preserve">Chapman and Hall/CRC</w:t>
      </w:r>
      <w:r>
        <w:t xml:space="preserve">; 2018.</w:t>
      </w:r>
    </w:p>
    <w:bookmarkEnd w:id="225"/>
    <w:bookmarkStart w:id="227" w:name="ref-2021"/>
    <w:p>
      <w:pPr>
        <w:pStyle w:val="189"/>
      </w:pPr>
      <w:r>
        <w:t xml:space="preserve">[97]</w:t>
      </w:r>
      <w:r>
        <w:t xml:space="preserve"> </w:t>
      </w:r>
      <w:r>
        <w:t xml:space="preserve">	</w:t>
      </w:r>
      <w:r>
        <w:t xml:space="preserve">Hoffmann MA, Nothias L-F, Ludwig M, Fleischauer M, Gentry EC, Witting M, et al. High-confidence structural annotation of metabolites absent from spectral libraries. Nature Biotechnology 2021.</w:t>
      </w:r>
      <w:r>
        <w:t xml:space="preserve"> </w:t>
      </w:r>
      <w:hyperlink r:id="rId226">
        <w:r>
          <w:rPr>
            <w:rStyle w:val="24"/>
          </w:rPr>
          <w:t xml:space="preserve">https://doi.org/10.1038/s41587-021-01045-9</w:t>
        </w:r>
      </w:hyperlink>
      <w:r>
        <w:t xml:space="preserve">.</w:t>
      </w:r>
    </w:p>
    <w:bookmarkEnd w:id="227"/>
    <w:bookmarkStart w:id="228" w:name="ref-2007j"/>
    <w:p>
      <w:pPr>
        <w:pStyle w:val="189"/>
      </w:pPr>
      <w:r>
        <w:t xml:space="preserve">[98]</w:t>
      </w:r>
      <w:r>
        <w:t xml:space="preserve"> </w:t>
      </w:r>
      <w:r>
        <w:t xml:space="preserve">	</w:t>
      </w:r>
      <w:r>
        <w:t xml:space="preserve">Guha R. Chemical informatics functionality in</w:t>
      </w:r>
      <w:r>
        <w:t xml:space="preserve"> </w:t>
      </w:r>
      <w:r>
        <w:t xml:space="preserve">R</w:t>
      </w:r>
      <w:r>
        <w:t xml:space="preserve">. Journal of Statistical Software 2007;18.</w:t>
      </w:r>
    </w:p>
    <w:bookmarkEnd w:id="228"/>
    <w:bookmarkStart w:id="229" w:name="ref-2022ak"/>
    <w:p>
      <w:pPr>
        <w:pStyle w:val="189"/>
      </w:pPr>
      <w:r>
        <w:t xml:space="preserve">[99]</w:t>
      </w:r>
      <w:r>
        <w:t xml:space="preserve"> </w:t>
      </w:r>
      <w:r>
        <w:t xml:space="preserve">	</w:t>
      </w:r>
      <w:r>
        <w:t xml:space="preserve">Temple Lang D.</w:t>
      </w:r>
      <w:r>
        <w:t xml:space="preserve"> </w:t>
      </w:r>
      <w:r>
        <w:t xml:space="preserve">RCurl</w:t>
      </w:r>
      <w:r>
        <w:t xml:space="preserve">:</w:t>
      </w:r>
      <w:r>
        <w:t xml:space="preserve"> </w:t>
      </w:r>
      <w:r>
        <w:t xml:space="preserve">General</w:t>
      </w:r>
      <w:r>
        <w:t xml:space="preserve"> </w:t>
      </w:r>
      <w:r>
        <w:t xml:space="preserve">network (</w:t>
      </w:r>
      <w:r>
        <w:t xml:space="preserve">HTTP</w:t>
      </w:r>
      <w:r>
        <w:t xml:space="preserve">/</w:t>
      </w:r>
      <w:r>
        <w:t xml:space="preserve">FTP</w:t>
      </w:r>
      <w:r>
        <w:t xml:space="preserve">/...) Client interface for</w:t>
      </w:r>
      <w:r>
        <w:t xml:space="preserve"> </w:t>
      </w:r>
      <w:r>
        <w:t xml:space="preserve">R</w:t>
      </w:r>
      <w:r>
        <w:t xml:space="preserve">. 2022.</w:t>
      </w:r>
    </w:p>
    <w:bookmarkEnd w:id="229"/>
    <w:bookmarkStart w:id="231" w:name="ref-2012e"/>
    <w:p>
      <w:pPr>
        <w:pStyle w:val="189"/>
      </w:pPr>
      <w:r>
        <w:t xml:space="preserve">[100]</w:t>
      </w:r>
      <w:r>
        <w:t xml:space="preserve"> </w:t>
      </w:r>
      <w:r>
        <w:t xml:space="preserve">	</w:t>
      </w:r>
      <w:r>
        <w:t xml:space="preserve">Pletnev I, Erin A, McNaught A, Blinov K, Tchekhovskoi D, Heller S.</w:t>
      </w:r>
      <w:r>
        <w:t xml:space="preserve"> </w:t>
      </w:r>
      <w:r>
        <w:t xml:space="preserve">InChIKey</w:t>
      </w:r>
      <w:r>
        <w:t xml:space="preserve"> </w:t>
      </w:r>
      <w:r>
        <w:t xml:space="preserve">collision resistance: An experimental testing. Journal of Cheminformatics 2012;4:39.</w:t>
      </w:r>
      <w:r>
        <w:t xml:space="preserve"> </w:t>
      </w:r>
      <w:hyperlink r:id="rId230">
        <w:r>
          <w:rPr>
            <w:rStyle w:val="24"/>
          </w:rPr>
          <w:t xml:space="preserve">https://doi.org/10.1186/1758-2946-4-39</w:t>
        </w:r>
      </w:hyperlink>
      <w:r>
        <w:t xml:space="preserve">.</w:t>
      </w:r>
    </w:p>
    <w:bookmarkEnd w:id="231"/>
    <w:bookmarkStart w:id="233" w:name="ref-2020cx"/>
    <w:p>
      <w:pPr>
        <w:pStyle w:val="189"/>
      </w:pPr>
      <w:r>
        <w:t xml:space="preserve">[101]</w:t>
      </w:r>
      <w:r>
        <w:t xml:space="preserve"> </w:t>
      </w:r>
      <w:r>
        <w:t xml:space="preserve">	</w:t>
      </w:r>
      <w:r>
        <w:t xml:space="preserve">Pang Z, Chong J, Li S, Xia J.</w:t>
      </w:r>
      <w:r>
        <w:t xml:space="preserve"> </w:t>
      </w:r>
      <w:r>
        <w:t xml:space="preserve">MetaboAnalystR</w:t>
      </w:r>
      <w:r>
        <w:t xml:space="preserve"> </w:t>
      </w:r>
      <w:r>
        <w:t xml:space="preserve">3.0:</w:t>
      </w:r>
      <w:r>
        <w:t xml:space="preserve"> </w:t>
      </w:r>
      <w:r>
        <w:t xml:space="preserve">Toward</w:t>
      </w:r>
      <w:r>
        <w:t xml:space="preserve"> </w:t>
      </w:r>
      <w:r>
        <w:t xml:space="preserve">an optimized workflow for global metabolomics. Metabolites 2020.</w:t>
      </w:r>
      <w:r>
        <w:t xml:space="preserve"> </w:t>
      </w:r>
      <w:hyperlink r:id="rId232">
        <w:r>
          <w:rPr>
            <w:rStyle w:val="24"/>
          </w:rPr>
          <w:t xml:space="preserve">https://doi.org/10.3390/metabo10050186</w:t>
        </w:r>
      </w:hyperlink>
      <w:r>
        <w:t xml:space="preserve">.</w:t>
      </w:r>
    </w:p>
    <w:bookmarkEnd w:id="233"/>
    <w:bookmarkStart w:id="235" w:name="ref-2018bj"/>
    <w:p>
      <w:pPr>
        <w:pStyle w:val="189"/>
      </w:pPr>
      <w:r>
        <w:t xml:space="preserve">[102]</w:t>
      </w:r>
      <w:r>
        <w:t xml:space="preserve"> </w:t>
      </w:r>
      <w:r>
        <w:t xml:space="preserve">	</w:t>
      </w:r>
      <w:r>
        <w:t xml:space="preserve">Picart-Armada S, Fernandez-Albert F, Vinaixa M, Yanes O, Perera-Lluna A.</w:t>
      </w:r>
      <w:r>
        <w:t xml:space="preserve"> </w:t>
      </w:r>
      <w:r>
        <w:t xml:space="preserve">FELLA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to enrich metabolomics data. BMC Bioinformatics 2018;19:538.</w:t>
      </w:r>
      <w:r>
        <w:t xml:space="preserve"> </w:t>
      </w:r>
      <w:hyperlink r:id="rId234">
        <w:r>
          <w:rPr>
            <w:rStyle w:val="24"/>
          </w:rPr>
          <w:t xml:space="preserve">https://doi.org/10.1186/s12859-018-2487-5</w:t>
        </w:r>
      </w:hyperlink>
      <w:r>
        <w:t xml:space="preserve">.</w:t>
      </w:r>
    </w:p>
    <w:bookmarkEnd w:id="235"/>
    <w:bookmarkStart w:id="236" w:name="ref-ilprints422"/>
    <w:p>
      <w:pPr>
        <w:pStyle w:val="189"/>
      </w:pPr>
      <w:r>
        <w:t xml:space="preserve">[103]</w:t>
      </w:r>
      <w:r>
        <w:t xml:space="preserve"> </w:t>
      </w:r>
      <w:r>
        <w:t xml:space="preserve">	</w:t>
      </w:r>
      <w:r>
        <w:t xml:space="preserve">Page L, Brin S, Motwani R, Winograd T. The</w:t>
      </w:r>
      <w:r>
        <w:t xml:space="preserve"> </w:t>
      </w:r>
      <w:r>
        <w:t xml:space="preserve">PageRank</w:t>
      </w:r>
      <w:r>
        <w:t xml:space="preserve"> </w:t>
      </w:r>
      <w:r>
        <w:t xml:space="preserve">citation ranking:</w:t>
      </w:r>
      <w:r>
        <w:t xml:space="preserve"> </w:t>
      </w:r>
      <w:r>
        <w:t xml:space="preserve">Bringing</w:t>
      </w:r>
      <w:r>
        <w:t xml:space="preserve"> </w:t>
      </w:r>
      <w:r>
        <w:t xml:space="preserve">order to the web.</w:t>
      </w:r>
      <w:r>
        <w:t xml:space="preserve"> </w:t>
      </w:r>
      <w:r>
        <w:t xml:space="preserve">Stanford InfoLab / Stanford InfoLab</w:t>
      </w:r>
      <w:r>
        <w:t xml:space="preserve">; 1999.</w:t>
      </w:r>
    </w:p>
    <w:bookmarkEnd w:id="236"/>
    <w:bookmarkStart w:id="237" w:name="ref-2010b"/>
    <w:p>
      <w:pPr>
        <w:pStyle w:val="189"/>
      </w:pPr>
      <w:r>
        <w:t xml:space="preserve">[104]</w:t>
      </w:r>
      <w:r>
        <w:t xml:space="preserve"> </w:t>
      </w:r>
      <w:r>
        <w:t xml:space="preserve">	</w:t>
      </w:r>
      <w:r>
        <w:t xml:space="preserve">Cao Y. The history of</w:t>
      </w:r>
      <w:r>
        <w:t xml:space="preserve"> </w:t>
      </w:r>
      <w:r>
        <w:rPr>
          <w:iCs/>
          <w:i/>
        </w:rPr>
        <w:t xml:space="preserve">E</w:t>
      </w:r>
      <w:r>
        <w:rPr>
          <w:iCs/>
          <w:i/>
        </w:rPr>
        <w:t xml:space="preserve">. Ulmoides</w:t>
      </w:r>
      <w:r>
        <w:t xml:space="preserve"> </w:t>
      </w:r>
      <w:r>
        <w:t xml:space="preserve">and the progress of research in the past 20 years 2010.</w:t>
      </w:r>
    </w:p>
    <w:bookmarkEnd w:id="237"/>
    <w:bookmarkStart w:id="239" w:name="ref-2011b"/>
    <w:p>
      <w:pPr>
        <w:pStyle w:val="189"/>
      </w:pPr>
      <w:r>
        <w:t xml:space="preserve">[105]</w:t>
      </w:r>
      <w:r>
        <w:t xml:space="preserve"> </w:t>
      </w:r>
      <w:r>
        <w:t xml:space="preserve">	</w:t>
      </w:r>
      <w:r>
        <w:t xml:space="preserve">Martens L, Chambers M, Sturm M, Kessner D, Levander F, Shofstahl J, et al.</w:t>
      </w:r>
      <w:r>
        <w:t xml:space="preserve"> </w:t>
      </w:r>
      <w:r>
        <w:t xml:space="preserve">mzML</w:t>
      </w:r>
      <w:r>
        <w:t xml:space="preserve">a</w:t>
      </w:r>
      <w:r>
        <w:t xml:space="preserve"> </w:t>
      </w:r>
      <w:r>
        <w:t xml:space="preserve">Community Standard</w:t>
      </w:r>
      <w:r>
        <w:t xml:space="preserve"> </w:t>
      </w:r>
      <w:r>
        <w:t xml:space="preserve">for</w:t>
      </w:r>
      <w:r>
        <w:t xml:space="preserve"> </w:t>
      </w:r>
      <w:r>
        <w:t xml:space="preserve">Mass Spectrometry Data</w:t>
      </w:r>
      <w:r>
        <w:t xml:space="preserve">. Molecular &amp; Cellular Proteomics 2011;10:R110.000133.</w:t>
      </w:r>
      <w:r>
        <w:t xml:space="preserve"> </w:t>
      </w:r>
      <w:hyperlink r:id="rId238">
        <w:r>
          <w:rPr>
            <w:rStyle w:val="24"/>
          </w:rPr>
          <w:t xml:space="preserve">https://doi.org/dxkg99</w:t>
        </w:r>
      </w:hyperlink>
      <w:r>
        <w:t xml:space="preserve">.</w:t>
      </w:r>
    </w:p>
    <w:bookmarkEnd w:id="239"/>
    <w:bookmarkEnd w:id="240"/>
    <w:bookmarkEnd w:id="241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prime.psc.riken.jp/compms/msdial/main.html#MSP" TargetMode="External" /><Relationship Type="http://schemas.openxmlformats.org/officeDocument/2006/relationships/hyperlink" Id="rId23" Target="http://prime.psc.riken.jp/compms/msdial/main.html#MSP%3E" TargetMode="External" /><Relationship Type="http://schemas.openxmlformats.org/officeDocument/2006/relationships/hyperlink" Id="rId37" Target="https://boecker-lab.github.io/docs.sirius.github.io/prerequisites/" TargetMode="External" /><Relationship Type="http://schemas.openxmlformats.org/officeDocument/2006/relationships/hyperlink" Id="rId36" Target="https://ccms-ucsd.github.io/GNPSDocumentation/featurebasedmolecularnetworking-with-mzmine2/" TargetMode="External" /><Relationship Type="http://schemas.openxmlformats.org/officeDocument/2006/relationships/hyperlink" Id="rId71" Target="https://doi.org/10.1002/jms.1777" TargetMode="External" /><Relationship Type="http://schemas.openxmlformats.org/officeDocument/2006/relationships/hyperlink" Id="rId217" Target="https://doi.org/10.1007/0-387-29362-0_23" TargetMode="External" /><Relationship Type="http://schemas.openxmlformats.org/officeDocument/2006/relationships/hyperlink" Id="rId95" Target="https://doi.org/10.1007/978-1-0716-0239-3_11" TargetMode="External" /><Relationship Type="http://schemas.openxmlformats.org/officeDocument/2006/relationships/hyperlink" Id="rId169" Target="https://doi.org/10.1007/978-3-319-16706-0_10" TargetMode="External" /><Relationship Type="http://schemas.openxmlformats.org/officeDocument/2006/relationships/hyperlink" Id="rId97" Target="https://doi.org/10.1007/s00216-019-02351-7" TargetMode="External" /><Relationship Type="http://schemas.openxmlformats.org/officeDocument/2006/relationships/hyperlink" Id="rId135" Target="https://doi.org/10.1007/s00216-021-03201-1" TargetMode="External" /><Relationship Type="http://schemas.openxmlformats.org/officeDocument/2006/relationships/hyperlink" Id="rId83" Target="https://doi.org/10.1007/s11306-014-0676-4" TargetMode="External" /><Relationship Type="http://schemas.openxmlformats.org/officeDocument/2006/relationships/hyperlink" Id="rId89" Target="https://doi.org/10.1007/s11306-017-1258-z" TargetMode="External" /><Relationship Type="http://schemas.openxmlformats.org/officeDocument/2006/relationships/hyperlink" Id="rId201" Target="https://doi.org/10.1007/s13318-015-0282-5" TargetMode="External" /><Relationship Type="http://schemas.openxmlformats.org/officeDocument/2006/relationships/hyperlink" Id="rId49" Target="https://doi.org/10.1016/B978-0-12-409547-2.14645-1" TargetMode="External" /><Relationship Type="http://schemas.openxmlformats.org/officeDocument/2006/relationships/hyperlink" Id="rId197" Target="https://doi.org/10.1016/S1875-5364(14)60073-X" TargetMode="External" /><Relationship Type="http://schemas.openxmlformats.org/officeDocument/2006/relationships/hyperlink" Id="rId207" Target="https://doi.org/10.1016/j.biopha.2021.111735" TargetMode="External" /><Relationship Type="http://schemas.openxmlformats.org/officeDocument/2006/relationships/hyperlink" Id="rId173" Target="https://doi.org/10.1016/j.cell.2020.07.040" TargetMode="External" /><Relationship Type="http://schemas.openxmlformats.org/officeDocument/2006/relationships/hyperlink" Id="rId175" Target="https://doi.org/10.1016/j.chroma.2021.462307" TargetMode="External" /><Relationship Type="http://schemas.openxmlformats.org/officeDocument/2006/relationships/hyperlink" Id="rId127" Target="https://doi.org/10.1016/j.foodchem.2019.05.099" TargetMode="External" /><Relationship Type="http://schemas.openxmlformats.org/officeDocument/2006/relationships/hyperlink" Id="rId205" Target="https://doi.org/10.1016/j.jchromb.2019.05.029" TargetMode="External" /><Relationship Type="http://schemas.openxmlformats.org/officeDocument/2006/relationships/hyperlink" Id="rId185" Target="https://doi.org/10.1016/j.jcrc.2014.05.003" TargetMode="External" /><Relationship Type="http://schemas.openxmlformats.org/officeDocument/2006/relationships/hyperlink" Id="rId199" Target="https://doi.org/10.1016/j.jep.2015.04.007" TargetMode="External" /><Relationship Type="http://schemas.openxmlformats.org/officeDocument/2006/relationships/hyperlink" Id="rId73" Target="https://doi.org/10.1016/j.phytochem.2012.07.007" TargetMode="External" /><Relationship Type="http://schemas.openxmlformats.org/officeDocument/2006/relationships/hyperlink" Id="rId77" Target="https://doi.org/10.1016/j.phytochem.2020.112427" TargetMode="External" /><Relationship Type="http://schemas.openxmlformats.org/officeDocument/2006/relationships/hyperlink" Id="rId177" Target="https://doi.org/10.1016/j.prostaglandins.2016.06.001" TargetMode="External" /><Relationship Type="http://schemas.openxmlformats.org/officeDocument/2006/relationships/hyperlink" Id="rId143" Target="https://doi.org/10.1016/j.tibs.2017.01.004" TargetMode="External" /><Relationship Type="http://schemas.openxmlformats.org/officeDocument/2006/relationships/hyperlink" Id="rId137" Target="https://doi.org/10.1021/acs.analchem.1c02041" TargetMode="External" /><Relationship Type="http://schemas.openxmlformats.org/officeDocument/2006/relationships/hyperlink" Id="rId67" Target="https://doi.org/10.1021/acs.analchem.1c02220" TargetMode="External" /><Relationship Type="http://schemas.openxmlformats.org/officeDocument/2006/relationships/hyperlink" Id="rId75" Target="https://doi.org/10.1021/acs.analchem.5b01559" TargetMode="External" /><Relationship Type="http://schemas.openxmlformats.org/officeDocument/2006/relationships/hyperlink" Id="rId65" Target="https://doi.org/10.1021/acs.analchem.7b02380" TargetMode="External" /><Relationship Type="http://schemas.openxmlformats.org/officeDocument/2006/relationships/hyperlink" Id="rId123" Target="https://doi.org/10.1021/acs.analchem.8b04698" TargetMode="External" /><Relationship Type="http://schemas.openxmlformats.org/officeDocument/2006/relationships/hyperlink" Id="rId163" Target="https://doi.org/10.1021/acs.jafc.0c02983" TargetMode="External" /><Relationship Type="http://schemas.openxmlformats.org/officeDocument/2006/relationships/hyperlink" Id="rId119" Target="https://doi.org/10.1038/75556" TargetMode="External" /><Relationship Type="http://schemas.openxmlformats.org/officeDocument/2006/relationships/hyperlink" Id="rId51" Target="https://doi.org/10.1038/nbt.3597" TargetMode="External" /><Relationship Type="http://schemas.openxmlformats.org/officeDocument/2006/relationships/hyperlink" Id="rId99" Target="https://doi.org/10.1038/nmeth.2551" TargetMode="External" /><Relationship Type="http://schemas.openxmlformats.org/officeDocument/2006/relationships/hyperlink" Id="rId141" Target="https://doi.org/10.1038/nrd.2016.32" TargetMode="External" /><Relationship Type="http://schemas.openxmlformats.org/officeDocument/2006/relationships/hyperlink" Id="rId147" Target="https://doi.org/10.1038/nrm.2016.25" TargetMode="External" /><Relationship Type="http://schemas.openxmlformats.org/officeDocument/2006/relationships/hyperlink" Id="rId145" Target="https://doi.org/10.1038/nrrheum.2016.1" TargetMode="External" /><Relationship Type="http://schemas.openxmlformats.org/officeDocument/2006/relationships/hyperlink" Id="rId179" Target="https://doi.org/10.1038/s41419-018-0313-7" TargetMode="External" /><Relationship Type="http://schemas.openxmlformats.org/officeDocument/2006/relationships/hyperlink" Id="rId165" Target="https://doi.org/10.1038/s41467-021-23953-9" TargetMode="External" /><Relationship Type="http://schemas.openxmlformats.org/officeDocument/2006/relationships/hyperlink" Id="rId113" Target="https://doi.org/10.1038/s41467-021-23986-0" TargetMode="External" /><Relationship Type="http://schemas.openxmlformats.org/officeDocument/2006/relationships/hyperlink" Id="rId193" Target="https://doi.org/10.1038/s41467-021-27244-1" TargetMode="External" /><Relationship Type="http://schemas.openxmlformats.org/officeDocument/2006/relationships/hyperlink" Id="rId191" Target="https://doi.org/10.1038/s41574-018-0037-x" TargetMode="External" /><Relationship Type="http://schemas.openxmlformats.org/officeDocument/2006/relationships/hyperlink" Id="rId79" Target="https://doi.org/10.1038/s41587-019-0375-9" TargetMode="External" /><Relationship Type="http://schemas.openxmlformats.org/officeDocument/2006/relationships/hyperlink" Id="rId45" Target="https://doi.org/10.1038/s41587-020-0531-2" TargetMode="External" /><Relationship Type="http://schemas.openxmlformats.org/officeDocument/2006/relationships/hyperlink" Id="rId153" Target="https://doi.org/10.1038/s41587-020-0740-8" TargetMode="External" /><Relationship Type="http://schemas.openxmlformats.org/officeDocument/2006/relationships/hyperlink" Id="rId226" Target="https://doi.org/10.1038/s41587-021-01045-9" TargetMode="External" /><Relationship Type="http://schemas.openxmlformats.org/officeDocument/2006/relationships/hyperlink" Id="rId133" Target="https://doi.org/10.1038/s41589-020-00677-3" TargetMode="External" /><Relationship Type="http://schemas.openxmlformats.org/officeDocument/2006/relationships/hyperlink" Id="rId115" Target="https://doi.org/10.1038/s41592-019-0344-8" TargetMode="External" /><Relationship Type="http://schemas.openxmlformats.org/officeDocument/2006/relationships/hyperlink" Id="rId117" Target="https://doi.org/10.1038/s41596-020-0317-5" TargetMode="External" /><Relationship Type="http://schemas.openxmlformats.org/officeDocument/2006/relationships/hyperlink" Id="rId63" Target="https://doi.org/10.1038/s41596-021-00636-9" TargetMode="External" /><Relationship Type="http://schemas.openxmlformats.org/officeDocument/2006/relationships/hyperlink" Id="rId171" Target="https://doi.org/10.1038/s42256-020-00234-6" TargetMode="External" /><Relationship Type="http://schemas.openxmlformats.org/officeDocument/2006/relationships/hyperlink" Id="rId129" Target="https://doi.org/10.1039/c9em00321e" TargetMode="External" /><Relationship Type="http://schemas.openxmlformats.org/officeDocument/2006/relationships/hyperlink" Id="rId157" Target="https://doi.org/10.1073/pnas.1203689109" TargetMode="External" /><Relationship Type="http://schemas.openxmlformats.org/officeDocument/2006/relationships/hyperlink" Id="rId105" Target="https://doi.org/10.1073/pnas.1509788112" TargetMode="External" /><Relationship Type="http://schemas.openxmlformats.org/officeDocument/2006/relationships/hyperlink" Id="rId151" Target="https://doi.org/10.1093/bib/bbab297" TargetMode="External" /><Relationship Type="http://schemas.openxmlformats.org/officeDocument/2006/relationships/hyperlink" Id="rId149" Target="https://doi.org/10.1093/bib/bbx124" TargetMode="External" /><Relationship Type="http://schemas.openxmlformats.org/officeDocument/2006/relationships/hyperlink" Id="rId167" Target="https://doi.org/10.1093/bioinformatics/btn603" TargetMode="External" /><Relationship Type="http://schemas.openxmlformats.org/officeDocument/2006/relationships/hyperlink" Id="rId103" Target="https://doi.org/10.1093/bioinformatics/bts437" TargetMode="External" /><Relationship Type="http://schemas.openxmlformats.org/officeDocument/2006/relationships/hyperlink" Id="rId107" Target="https://doi.org/10.1093/bioinformatics/bty245" TargetMode="External" /><Relationship Type="http://schemas.openxmlformats.org/officeDocument/2006/relationships/hyperlink" Id="rId109" Target="https://doi.org/10.1093/bioinformatics/bty577" TargetMode="External" /><Relationship Type="http://schemas.openxmlformats.org/officeDocument/2006/relationships/hyperlink" Id="rId111" Target="https://doi.org/10.1093/bioinformatics/btz319" TargetMode="External" /><Relationship Type="http://schemas.openxmlformats.org/officeDocument/2006/relationships/hyperlink" Id="rId139" Target="https://doi.org/10.1093/nar/gkab941" TargetMode="External" /><Relationship Type="http://schemas.openxmlformats.org/officeDocument/2006/relationships/hyperlink" Id="rId219" Target="https://doi.org/10.1093/nar/gkv007" TargetMode="External" /><Relationship Type="http://schemas.openxmlformats.org/officeDocument/2006/relationships/hyperlink" Id="rId47" Target="https://doi.org/10.1093/nar/gky310" TargetMode="External" /><Relationship Type="http://schemas.openxmlformats.org/officeDocument/2006/relationships/hyperlink" Id="rId131" Target="https://doi.org/10.1128/mSystems.00824-20" TargetMode="External" /><Relationship Type="http://schemas.openxmlformats.org/officeDocument/2006/relationships/hyperlink" Id="rId189" Target="https://doi.org/10.1152/physrev.00049.2019" TargetMode="External" /><Relationship Type="http://schemas.openxmlformats.org/officeDocument/2006/relationships/hyperlink" Id="rId81" Target="https://doi.org/10.1186/1471-2105-11-148" TargetMode="External" /><Relationship Type="http://schemas.openxmlformats.org/officeDocument/2006/relationships/hyperlink" Id="rId230" Target="https://doi.org/10.1186/1758-2946-4-39" TargetMode="External" /><Relationship Type="http://schemas.openxmlformats.org/officeDocument/2006/relationships/hyperlink" Id="rId234" Target="https://doi.org/10.1186/s12859-018-2487-5" TargetMode="External" /><Relationship Type="http://schemas.openxmlformats.org/officeDocument/2006/relationships/hyperlink" Id="rId195" Target="https://doi.org/10.1186/s13020-021-00482-7" TargetMode="External" /><Relationship Type="http://schemas.openxmlformats.org/officeDocument/2006/relationships/hyperlink" Id="rId69" Target="https://doi.org/10.1186/s13040-017-0142-8" TargetMode="External" /><Relationship Type="http://schemas.openxmlformats.org/officeDocument/2006/relationships/hyperlink" Id="rId101" Target="https://doi.org/10.1186/s13321-015-0087-1" TargetMode="External" /><Relationship Type="http://schemas.openxmlformats.org/officeDocument/2006/relationships/hyperlink" Id="rId85" Target="https://doi.org/10.1186/s13321-016-0115-9" TargetMode="External" /><Relationship Type="http://schemas.openxmlformats.org/officeDocument/2006/relationships/hyperlink" Id="rId121" Target="https://doi.org/10.1186/s13321-016-0174-y" TargetMode="External" /><Relationship Type="http://schemas.openxmlformats.org/officeDocument/2006/relationships/hyperlink" Id="rId87" Target="https://doi.org/10.1186/s13321-017-0219-x" TargetMode="External" /><Relationship Type="http://schemas.openxmlformats.org/officeDocument/2006/relationships/hyperlink" Id="rId187" Target="https://doi.org/10.1194/jlr.M200401-JLR200" TargetMode="External" /><Relationship Type="http://schemas.openxmlformats.org/officeDocument/2006/relationships/hyperlink" Id="rId221" Target="https://doi.org/10.12688/f1000research.27893.1" TargetMode="External" /><Relationship Type="http://schemas.openxmlformats.org/officeDocument/2006/relationships/hyperlink" Id="rId91" Target="https://doi.org/10.1371/journal.pcbi.1006089" TargetMode="External" /><Relationship Type="http://schemas.openxmlformats.org/officeDocument/2006/relationships/hyperlink" Id="rId183" Target="https://doi.org/10.3390/ijms21124501" TargetMode="External" /><Relationship Type="http://schemas.openxmlformats.org/officeDocument/2006/relationships/hyperlink" Id="rId232" Target="https://doi.org/10.3390/metabo10050186" TargetMode="External" /><Relationship Type="http://schemas.openxmlformats.org/officeDocument/2006/relationships/hyperlink" Id="rId93" Target="https://doi.org/10.3390/metabo9040072" TargetMode="External" /><Relationship Type="http://schemas.openxmlformats.org/officeDocument/2006/relationships/hyperlink" Id="rId125" Target="https://doi.org/10.3390/metabo9070144" TargetMode="External" /><Relationship Type="http://schemas.openxmlformats.org/officeDocument/2006/relationships/hyperlink" Id="rId203" Target="https://doi.org/10.3390/molecules23030643" TargetMode="External" /><Relationship Type="http://schemas.openxmlformats.org/officeDocument/2006/relationships/hyperlink" Id="rId57" Target="https://doi.org/b58xrd" TargetMode="External" /><Relationship Type="http://schemas.openxmlformats.org/officeDocument/2006/relationships/hyperlink" Id="rId59" Target="https://doi.org/bxbwnj" TargetMode="External" /><Relationship Type="http://schemas.openxmlformats.org/officeDocument/2006/relationships/hyperlink" Id="rId238" Target="https://doi.org/dxkg99" TargetMode="External" /><Relationship Type="http://schemas.openxmlformats.org/officeDocument/2006/relationships/hyperlink" Id="rId55" Target="https://doi.org/f82r32" TargetMode="External" /><Relationship Type="http://schemas.openxmlformats.org/officeDocument/2006/relationships/hyperlink" Id="rId159" Target="https://doi.org/f9qzvt" TargetMode="External" /><Relationship Type="http://schemas.openxmlformats.org/officeDocument/2006/relationships/hyperlink" Id="rId61" Target="https://doi.org/gbrjtm" TargetMode="External" /><Relationship Type="http://schemas.openxmlformats.org/officeDocument/2006/relationships/hyperlink" Id="rId161" Target="https://doi.org/gdc9cj" TargetMode="External" /><Relationship Type="http://schemas.openxmlformats.org/officeDocument/2006/relationships/hyperlink" Id="rId155" Target="https://doi.org/gfvk74" TargetMode="External" /><Relationship Type="http://schemas.openxmlformats.org/officeDocument/2006/relationships/hyperlink" Id="rId53" Target="https://doi.org/ghh626" TargetMode="External" /><Relationship Type="http://schemas.openxmlformats.org/officeDocument/2006/relationships/hyperlink" Id="rId181" Target="https://doi.org/gnmwxx" TargetMode="External" /><Relationship Type="http://schemas.openxmlformats.org/officeDocument/2006/relationships/hyperlink" Id="rId42" Target="https://github.com/Cao-lab-zcmu/MCnebula" TargetMode="External" /><Relationship Type="http://schemas.openxmlformats.org/officeDocument/2006/relationships/hyperlink" Id="rId43" Target="https://github.com/Cao-lab-zcmu/exMCnebula2" TargetMode="External" /><Relationship Type="http://schemas.openxmlformats.org/officeDocument/2006/relationships/hyperlink" Id="rId30" Target="https://github.com/boecker-lab/sirius" TargetMode="External" /><Relationship Type="http://schemas.openxmlformats.org/officeDocument/2006/relationships/hyperlink" Id="rId35" Target="https://massive.ucsd.edu/ProteoSAFe/QueryMSV?id=MSV000079949" TargetMode="External" /><Relationship Type="http://schemas.openxmlformats.org/officeDocument/2006/relationships/hyperlink" Id="rId22" Target="https://mona.fiehnlab.ucdavis.edu/" TargetMode="External" /><Relationship Type="http://schemas.openxmlformats.org/officeDocument/2006/relationships/hyperlink" Id="rId33" Target="https://pubchemdocs.ncbi.nlm.nih.gov/pug-r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prime.psc.riken.jp/compms/msdial/main.html#MSP" TargetMode="External" /><Relationship Type="http://schemas.openxmlformats.org/officeDocument/2006/relationships/hyperlink" Id="rId23" Target="http://prime.psc.riken.jp/compms/msdial/main.html#MSP%3E" TargetMode="External" /><Relationship Type="http://schemas.openxmlformats.org/officeDocument/2006/relationships/hyperlink" Id="rId37" Target="https://boecker-lab.github.io/docs.sirius.github.io/prerequisites/" TargetMode="External" /><Relationship Type="http://schemas.openxmlformats.org/officeDocument/2006/relationships/hyperlink" Id="rId36" Target="https://ccms-ucsd.github.io/GNPSDocumentation/featurebasedmolecularnetworking-with-mzmine2/" TargetMode="External" /><Relationship Type="http://schemas.openxmlformats.org/officeDocument/2006/relationships/hyperlink" Id="rId71" Target="https://doi.org/10.1002/jms.1777" TargetMode="External" /><Relationship Type="http://schemas.openxmlformats.org/officeDocument/2006/relationships/hyperlink" Id="rId217" Target="https://doi.org/10.1007/0-387-29362-0_23" TargetMode="External" /><Relationship Type="http://schemas.openxmlformats.org/officeDocument/2006/relationships/hyperlink" Id="rId95" Target="https://doi.org/10.1007/978-1-0716-0239-3_11" TargetMode="External" /><Relationship Type="http://schemas.openxmlformats.org/officeDocument/2006/relationships/hyperlink" Id="rId169" Target="https://doi.org/10.1007/978-3-319-16706-0_10" TargetMode="External" /><Relationship Type="http://schemas.openxmlformats.org/officeDocument/2006/relationships/hyperlink" Id="rId97" Target="https://doi.org/10.1007/s00216-019-02351-7" TargetMode="External" /><Relationship Type="http://schemas.openxmlformats.org/officeDocument/2006/relationships/hyperlink" Id="rId135" Target="https://doi.org/10.1007/s00216-021-03201-1" TargetMode="External" /><Relationship Type="http://schemas.openxmlformats.org/officeDocument/2006/relationships/hyperlink" Id="rId83" Target="https://doi.org/10.1007/s11306-014-0676-4" TargetMode="External" /><Relationship Type="http://schemas.openxmlformats.org/officeDocument/2006/relationships/hyperlink" Id="rId89" Target="https://doi.org/10.1007/s11306-017-1258-z" TargetMode="External" /><Relationship Type="http://schemas.openxmlformats.org/officeDocument/2006/relationships/hyperlink" Id="rId201" Target="https://doi.org/10.1007/s13318-015-0282-5" TargetMode="External" /><Relationship Type="http://schemas.openxmlformats.org/officeDocument/2006/relationships/hyperlink" Id="rId49" Target="https://doi.org/10.1016/B978-0-12-409547-2.14645-1" TargetMode="External" /><Relationship Type="http://schemas.openxmlformats.org/officeDocument/2006/relationships/hyperlink" Id="rId197" Target="https://doi.org/10.1016/S1875-5364(14)60073-X" TargetMode="External" /><Relationship Type="http://schemas.openxmlformats.org/officeDocument/2006/relationships/hyperlink" Id="rId207" Target="https://doi.org/10.1016/j.biopha.2021.111735" TargetMode="External" /><Relationship Type="http://schemas.openxmlformats.org/officeDocument/2006/relationships/hyperlink" Id="rId173" Target="https://doi.org/10.1016/j.cell.2020.07.040" TargetMode="External" /><Relationship Type="http://schemas.openxmlformats.org/officeDocument/2006/relationships/hyperlink" Id="rId175" Target="https://doi.org/10.1016/j.chroma.2021.462307" TargetMode="External" /><Relationship Type="http://schemas.openxmlformats.org/officeDocument/2006/relationships/hyperlink" Id="rId127" Target="https://doi.org/10.1016/j.foodchem.2019.05.099" TargetMode="External" /><Relationship Type="http://schemas.openxmlformats.org/officeDocument/2006/relationships/hyperlink" Id="rId205" Target="https://doi.org/10.1016/j.jchromb.2019.05.029" TargetMode="External" /><Relationship Type="http://schemas.openxmlformats.org/officeDocument/2006/relationships/hyperlink" Id="rId185" Target="https://doi.org/10.1016/j.jcrc.2014.05.003" TargetMode="External" /><Relationship Type="http://schemas.openxmlformats.org/officeDocument/2006/relationships/hyperlink" Id="rId199" Target="https://doi.org/10.1016/j.jep.2015.04.007" TargetMode="External" /><Relationship Type="http://schemas.openxmlformats.org/officeDocument/2006/relationships/hyperlink" Id="rId73" Target="https://doi.org/10.1016/j.phytochem.2012.07.007" TargetMode="External" /><Relationship Type="http://schemas.openxmlformats.org/officeDocument/2006/relationships/hyperlink" Id="rId77" Target="https://doi.org/10.1016/j.phytochem.2020.112427" TargetMode="External" /><Relationship Type="http://schemas.openxmlformats.org/officeDocument/2006/relationships/hyperlink" Id="rId177" Target="https://doi.org/10.1016/j.prostaglandins.2016.06.001" TargetMode="External" /><Relationship Type="http://schemas.openxmlformats.org/officeDocument/2006/relationships/hyperlink" Id="rId143" Target="https://doi.org/10.1016/j.tibs.2017.01.004" TargetMode="External" /><Relationship Type="http://schemas.openxmlformats.org/officeDocument/2006/relationships/hyperlink" Id="rId137" Target="https://doi.org/10.1021/acs.analchem.1c02041" TargetMode="External" /><Relationship Type="http://schemas.openxmlformats.org/officeDocument/2006/relationships/hyperlink" Id="rId67" Target="https://doi.org/10.1021/acs.analchem.1c02220" TargetMode="External" /><Relationship Type="http://schemas.openxmlformats.org/officeDocument/2006/relationships/hyperlink" Id="rId75" Target="https://doi.org/10.1021/acs.analchem.5b01559" TargetMode="External" /><Relationship Type="http://schemas.openxmlformats.org/officeDocument/2006/relationships/hyperlink" Id="rId65" Target="https://doi.org/10.1021/acs.analchem.7b02380" TargetMode="External" /><Relationship Type="http://schemas.openxmlformats.org/officeDocument/2006/relationships/hyperlink" Id="rId123" Target="https://doi.org/10.1021/acs.analchem.8b04698" TargetMode="External" /><Relationship Type="http://schemas.openxmlformats.org/officeDocument/2006/relationships/hyperlink" Id="rId163" Target="https://doi.org/10.1021/acs.jafc.0c02983" TargetMode="External" /><Relationship Type="http://schemas.openxmlformats.org/officeDocument/2006/relationships/hyperlink" Id="rId119" Target="https://doi.org/10.1038/75556" TargetMode="External" /><Relationship Type="http://schemas.openxmlformats.org/officeDocument/2006/relationships/hyperlink" Id="rId51" Target="https://doi.org/10.1038/nbt.3597" TargetMode="External" /><Relationship Type="http://schemas.openxmlformats.org/officeDocument/2006/relationships/hyperlink" Id="rId99" Target="https://doi.org/10.1038/nmeth.2551" TargetMode="External" /><Relationship Type="http://schemas.openxmlformats.org/officeDocument/2006/relationships/hyperlink" Id="rId141" Target="https://doi.org/10.1038/nrd.2016.32" TargetMode="External" /><Relationship Type="http://schemas.openxmlformats.org/officeDocument/2006/relationships/hyperlink" Id="rId147" Target="https://doi.org/10.1038/nrm.2016.25" TargetMode="External" /><Relationship Type="http://schemas.openxmlformats.org/officeDocument/2006/relationships/hyperlink" Id="rId145" Target="https://doi.org/10.1038/nrrheum.2016.1" TargetMode="External" /><Relationship Type="http://schemas.openxmlformats.org/officeDocument/2006/relationships/hyperlink" Id="rId179" Target="https://doi.org/10.1038/s41419-018-0313-7" TargetMode="External" /><Relationship Type="http://schemas.openxmlformats.org/officeDocument/2006/relationships/hyperlink" Id="rId165" Target="https://doi.org/10.1038/s41467-021-23953-9" TargetMode="External" /><Relationship Type="http://schemas.openxmlformats.org/officeDocument/2006/relationships/hyperlink" Id="rId113" Target="https://doi.org/10.1038/s41467-021-23986-0" TargetMode="External" /><Relationship Type="http://schemas.openxmlformats.org/officeDocument/2006/relationships/hyperlink" Id="rId193" Target="https://doi.org/10.1038/s41467-021-27244-1" TargetMode="External" /><Relationship Type="http://schemas.openxmlformats.org/officeDocument/2006/relationships/hyperlink" Id="rId191" Target="https://doi.org/10.1038/s41574-018-0037-x" TargetMode="External" /><Relationship Type="http://schemas.openxmlformats.org/officeDocument/2006/relationships/hyperlink" Id="rId79" Target="https://doi.org/10.1038/s41587-019-0375-9" TargetMode="External" /><Relationship Type="http://schemas.openxmlformats.org/officeDocument/2006/relationships/hyperlink" Id="rId45" Target="https://doi.org/10.1038/s41587-020-0531-2" TargetMode="External" /><Relationship Type="http://schemas.openxmlformats.org/officeDocument/2006/relationships/hyperlink" Id="rId153" Target="https://doi.org/10.1038/s41587-020-0740-8" TargetMode="External" /><Relationship Type="http://schemas.openxmlformats.org/officeDocument/2006/relationships/hyperlink" Id="rId226" Target="https://doi.org/10.1038/s41587-021-01045-9" TargetMode="External" /><Relationship Type="http://schemas.openxmlformats.org/officeDocument/2006/relationships/hyperlink" Id="rId133" Target="https://doi.org/10.1038/s41589-020-00677-3" TargetMode="External" /><Relationship Type="http://schemas.openxmlformats.org/officeDocument/2006/relationships/hyperlink" Id="rId115" Target="https://doi.org/10.1038/s41592-019-0344-8" TargetMode="External" /><Relationship Type="http://schemas.openxmlformats.org/officeDocument/2006/relationships/hyperlink" Id="rId117" Target="https://doi.org/10.1038/s41596-020-0317-5" TargetMode="External" /><Relationship Type="http://schemas.openxmlformats.org/officeDocument/2006/relationships/hyperlink" Id="rId63" Target="https://doi.org/10.1038/s41596-021-00636-9" TargetMode="External" /><Relationship Type="http://schemas.openxmlformats.org/officeDocument/2006/relationships/hyperlink" Id="rId171" Target="https://doi.org/10.1038/s42256-020-00234-6" TargetMode="External" /><Relationship Type="http://schemas.openxmlformats.org/officeDocument/2006/relationships/hyperlink" Id="rId129" Target="https://doi.org/10.1039/c9em00321e" TargetMode="External" /><Relationship Type="http://schemas.openxmlformats.org/officeDocument/2006/relationships/hyperlink" Id="rId157" Target="https://doi.org/10.1073/pnas.1203689109" TargetMode="External" /><Relationship Type="http://schemas.openxmlformats.org/officeDocument/2006/relationships/hyperlink" Id="rId105" Target="https://doi.org/10.1073/pnas.1509788112" TargetMode="External" /><Relationship Type="http://schemas.openxmlformats.org/officeDocument/2006/relationships/hyperlink" Id="rId151" Target="https://doi.org/10.1093/bib/bbab297" TargetMode="External" /><Relationship Type="http://schemas.openxmlformats.org/officeDocument/2006/relationships/hyperlink" Id="rId149" Target="https://doi.org/10.1093/bib/bbx124" TargetMode="External" /><Relationship Type="http://schemas.openxmlformats.org/officeDocument/2006/relationships/hyperlink" Id="rId167" Target="https://doi.org/10.1093/bioinformatics/btn603" TargetMode="External" /><Relationship Type="http://schemas.openxmlformats.org/officeDocument/2006/relationships/hyperlink" Id="rId103" Target="https://doi.org/10.1093/bioinformatics/bts437" TargetMode="External" /><Relationship Type="http://schemas.openxmlformats.org/officeDocument/2006/relationships/hyperlink" Id="rId107" Target="https://doi.org/10.1093/bioinformatics/bty245" TargetMode="External" /><Relationship Type="http://schemas.openxmlformats.org/officeDocument/2006/relationships/hyperlink" Id="rId109" Target="https://doi.org/10.1093/bioinformatics/bty577" TargetMode="External" /><Relationship Type="http://schemas.openxmlformats.org/officeDocument/2006/relationships/hyperlink" Id="rId111" Target="https://doi.org/10.1093/bioinformatics/btz319" TargetMode="External" /><Relationship Type="http://schemas.openxmlformats.org/officeDocument/2006/relationships/hyperlink" Id="rId139" Target="https://doi.org/10.1093/nar/gkab941" TargetMode="External" /><Relationship Type="http://schemas.openxmlformats.org/officeDocument/2006/relationships/hyperlink" Id="rId219" Target="https://doi.org/10.1093/nar/gkv007" TargetMode="External" /><Relationship Type="http://schemas.openxmlformats.org/officeDocument/2006/relationships/hyperlink" Id="rId47" Target="https://doi.org/10.1093/nar/gky310" TargetMode="External" /><Relationship Type="http://schemas.openxmlformats.org/officeDocument/2006/relationships/hyperlink" Id="rId131" Target="https://doi.org/10.1128/mSystems.00824-20" TargetMode="External" /><Relationship Type="http://schemas.openxmlformats.org/officeDocument/2006/relationships/hyperlink" Id="rId189" Target="https://doi.org/10.1152/physrev.00049.2019" TargetMode="External" /><Relationship Type="http://schemas.openxmlformats.org/officeDocument/2006/relationships/hyperlink" Id="rId81" Target="https://doi.org/10.1186/1471-2105-11-148" TargetMode="External" /><Relationship Type="http://schemas.openxmlformats.org/officeDocument/2006/relationships/hyperlink" Id="rId230" Target="https://doi.org/10.1186/1758-2946-4-39" TargetMode="External" /><Relationship Type="http://schemas.openxmlformats.org/officeDocument/2006/relationships/hyperlink" Id="rId234" Target="https://doi.org/10.1186/s12859-018-2487-5" TargetMode="External" /><Relationship Type="http://schemas.openxmlformats.org/officeDocument/2006/relationships/hyperlink" Id="rId195" Target="https://doi.org/10.1186/s13020-021-00482-7" TargetMode="External" /><Relationship Type="http://schemas.openxmlformats.org/officeDocument/2006/relationships/hyperlink" Id="rId69" Target="https://doi.org/10.1186/s13040-017-0142-8" TargetMode="External" /><Relationship Type="http://schemas.openxmlformats.org/officeDocument/2006/relationships/hyperlink" Id="rId101" Target="https://doi.org/10.1186/s13321-015-0087-1" TargetMode="External" /><Relationship Type="http://schemas.openxmlformats.org/officeDocument/2006/relationships/hyperlink" Id="rId85" Target="https://doi.org/10.1186/s13321-016-0115-9" TargetMode="External" /><Relationship Type="http://schemas.openxmlformats.org/officeDocument/2006/relationships/hyperlink" Id="rId121" Target="https://doi.org/10.1186/s13321-016-0174-y" TargetMode="External" /><Relationship Type="http://schemas.openxmlformats.org/officeDocument/2006/relationships/hyperlink" Id="rId87" Target="https://doi.org/10.1186/s13321-017-0219-x" TargetMode="External" /><Relationship Type="http://schemas.openxmlformats.org/officeDocument/2006/relationships/hyperlink" Id="rId187" Target="https://doi.org/10.1194/jlr.M200401-JLR200" TargetMode="External" /><Relationship Type="http://schemas.openxmlformats.org/officeDocument/2006/relationships/hyperlink" Id="rId221" Target="https://doi.org/10.12688/f1000research.27893.1" TargetMode="External" /><Relationship Type="http://schemas.openxmlformats.org/officeDocument/2006/relationships/hyperlink" Id="rId91" Target="https://doi.org/10.1371/journal.pcbi.1006089" TargetMode="External" /><Relationship Type="http://schemas.openxmlformats.org/officeDocument/2006/relationships/hyperlink" Id="rId183" Target="https://doi.org/10.3390/ijms21124501" TargetMode="External" /><Relationship Type="http://schemas.openxmlformats.org/officeDocument/2006/relationships/hyperlink" Id="rId232" Target="https://doi.org/10.3390/metabo10050186" TargetMode="External" /><Relationship Type="http://schemas.openxmlformats.org/officeDocument/2006/relationships/hyperlink" Id="rId93" Target="https://doi.org/10.3390/metabo9040072" TargetMode="External" /><Relationship Type="http://schemas.openxmlformats.org/officeDocument/2006/relationships/hyperlink" Id="rId125" Target="https://doi.org/10.3390/metabo9070144" TargetMode="External" /><Relationship Type="http://schemas.openxmlformats.org/officeDocument/2006/relationships/hyperlink" Id="rId203" Target="https://doi.org/10.3390/molecules23030643" TargetMode="External" /><Relationship Type="http://schemas.openxmlformats.org/officeDocument/2006/relationships/hyperlink" Id="rId57" Target="https://doi.org/b58xrd" TargetMode="External" /><Relationship Type="http://schemas.openxmlformats.org/officeDocument/2006/relationships/hyperlink" Id="rId59" Target="https://doi.org/bxbwnj" TargetMode="External" /><Relationship Type="http://schemas.openxmlformats.org/officeDocument/2006/relationships/hyperlink" Id="rId238" Target="https://doi.org/dxkg99" TargetMode="External" /><Relationship Type="http://schemas.openxmlformats.org/officeDocument/2006/relationships/hyperlink" Id="rId55" Target="https://doi.org/f82r32" TargetMode="External" /><Relationship Type="http://schemas.openxmlformats.org/officeDocument/2006/relationships/hyperlink" Id="rId159" Target="https://doi.org/f9qzvt" TargetMode="External" /><Relationship Type="http://schemas.openxmlformats.org/officeDocument/2006/relationships/hyperlink" Id="rId61" Target="https://doi.org/gbrjtm" TargetMode="External" /><Relationship Type="http://schemas.openxmlformats.org/officeDocument/2006/relationships/hyperlink" Id="rId161" Target="https://doi.org/gdc9cj" TargetMode="External" /><Relationship Type="http://schemas.openxmlformats.org/officeDocument/2006/relationships/hyperlink" Id="rId155" Target="https://doi.org/gfvk74" TargetMode="External" /><Relationship Type="http://schemas.openxmlformats.org/officeDocument/2006/relationships/hyperlink" Id="rId53" Target="https://doi.org/ghh626" TargetMode="External" /><Relationship Type="http://schemas.openxmlformats.org/officeDocument/2006/relationships/hyperlink" Id="rId181" Target="https://doi.org/gnmwxx" TargetMode="External" /><Relationship Type="http://schemas.openxmlformats.org/officeDocument/2006/relationships/hyperlink" Id="rId42" Target="https://github.com/Cao-lab-zcmu/MCnebula" TargetMode="External" /><Relationship Type="http://schemas.openxmlformats.org/officeDocument/2006/relationships/hyperlink" Id="rId43" Target="https://github.com/Cao-lab-zcmu/exMCnebula2" TargetMode="External" /><Relationship Type="http://schemas.openxmlformats.org/officeDocument/2006/relationships/hyperlink" Id="rId30" Target="https://github.com/boecker-lab/sirius" TargetMode="External" /><Relationship Type="http://schemas.openxmlformats.org/officeDocument/2006/relationships/hyperlink" Id="rId35" Target="https://massive.ucsd.edu/ProteoSAFe/QueryMSV?id=MSV000079949" TargetMode="External" /><Relationship Type="http://schemas.openxmlformats.org/officeDocument/2006/relationships/hyperlink" Id="rId22" Target="https://mona.fiehnlab.ucdavis.edu/" TargetMode="External" /><Relationship Type="http://schemas.openxmlformats.org/officeDocument/2006/relationships/hyperlink" Id="rId33" Target="https://pubchemdocs.ncbi.nlm.nih.gov/pug-r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2023-02-27T06:02:12Z</dcterms:created>
  <dcterms:modified xsi:type="dcterms:W3CDTF">2023-02-27T06:02:12Z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