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260098" w14:textId="77777777" w:rsidR="004740A5" w:rsidRDefault="00000000">
      <w:pPr>
        <w:pStyle w:val="1"/>
      </w:pPr>
      <w:bookmarkStart w:id="0" w:name="Xa51e6d51f5ebd4adcca2a7081d847d183426f4e"/>
      <w:proofErr w:type="spellStart"/>
      <w:r>
        <w:t>MCnebula</w:t>
      </w:r>
      <w:proofErr w:type="spellEnd"/>
      <w:r>
        <w:t>: Classified analysis methods for untargeted LC-MS/MS dataset</w:t>
      </w:r>
    </w:p>
    <w:p w14:paraId="6FF1BBCE" w14:textId="77777777" w:rsidR="004740A5" w:rsidRDefault="00000000">
      <w:pPr>
        <w:pStyle w:val="1"/>
      </w:pPr>
      <w:bookmarkStart w:id="1" w:name="abstract"/>
      <w:bookmarkEnd w:id="0"/>
      <w:r>
        <w:t>Abstract</w:t>
      </w:r>
    </w:p>
    <w:p w14:paraId="27BEBFF4" w14:textId="56209B34" w:rsidR="004740A5" w:rsidRDefault="00000000">
      <w:pPr>
        <w:pStyle w:val="FirstParagraph"/>
      </w:pPr>
      <w:r>
        <w:t xml:space="preserve">   Untargeted mass spectrometry is a robust tool for biological research, but researchers universally time consumed by dataset parsing. We developed </w:t>
      </w:r>
      <w:proofErr w:type="spellStart"/>
      <w:r>
        <w:t>MCnebula</w:t>
      </w:r>
      <w:proofErr w:type="spellEnd"/>
      <w:r>
        <w:t xml:space="preserve"> workflow, a novel strategy proposed with multidimensional view of visualization, termed multi-chemical Nebulae, involving in scope of abundant classes, classification, structures, sub-structural characteristics and fragmentation similarity. </w:t>
      </w:r>
      <w:commentRangeStart w:id="2"/>
      <w:ins w:id="3" w:author="Wang Lu" w:date="2023-01-13T22:16:00Z">
        <w:r w:rsidR="00206140">
          <w:t>1</w:t>
        </w:r>
      </w:ins>
      <w:r>
        <w:t xml:space="preserve">Many state-of-the-art technologies and popular methods were incorporated in </w:t>
      </w:r>
      <w:proofErr w:type="spellStart"/>
      <w:r>
        <w:t>MCnebula</w:t>
      </w:r>
      <w:proofErr w:type="spellEnd"/>
      <w:r>
        <w:t xml:space="preserve"> workflow to boost chemical discovery. </w:t>
      </w:r>
      <w:ins w:id="4" w:author="Wang Lu" w:date="2023-01-13T22:16:00Z">
        <w:r w:rsidR="00206140">
          <w:t>2</w:t>
        </w:r>
      </w:ins>
      <w:r>
        <w:t xml:space="preserve">Notably, </w:t>
      </w:r>
      <w:proofErr w:type="spellStart"/>
      <w:r>
        <w:t>MCnebula</w:t>
      </w:r>
      <w:proofErr w:type="spellEnd"/>
      <w:r>
        <w:t xml:space="preserve"> workflow can be applied to explore classification and structural characteristics of unknown compounds that beyond the limitation of spectral library. </w:t>
      </w:r>
      <w:ins w:id="5" w:author="Wang Lu" w:date="2023-01-13T22:16:00Z">
        <w:r w:rsidR="00206140">
          <w:t>3</w:t>
        </w:r>
      </w:ins>
      <w:r>
        <w:t xml:space="preserve">Researchers were able to </w:t>
      </w:r>
      <w:commentRangeStart w:id="6"/>
      <w:r>
        <w:t>export the analysis process into a report</w:t>
      </w:r>
      <w:commentRangeEnd w:id="6"/>
      <w:r w:rsidR="00684562">
        <w:rPr>
          <w:rStyle w:val="aff1"/>
          <w:rFonts w:asciiTheme="minorHAnsi" w:eastAsiaTheme="minorEastAsia" w:hAnsiTheme="minorHAnsi" w:cstheme="minorBidi"/>
        </w:rPr>
        <w:commentReference w:id="6"/>
      </w:r>
      <w:r>
        <w:t xml:space="preserve">, enabling integrated analysis from initial input to final output. </w:t>
      </w:r>
      <w:commentRangeEnd w:id="2"/>
      <w:r w:rsidR="00206140">
        <w:rPr>
          <w:rStyle w:val="aff1"/>
          <w:rFonts w:asciiTheme="minorHAnsi" w:eastAsiaTheme="minorEastAsia" w:hAnsiTheme="minorHAnsi" w:cstheme="minorBidi"/>
        </w:rPr>
        <w:commentReference w:id="2"/>
      </w:r>
      <w:r>
        <w:t xml:space="preserve">We conducted investigation of human-derived dataset of serum metabolomics by tracing structural classes of biomarkers so that facilitating metabolic pathway spotlight. We also investigated a plant-derived dataset of herbal </w:t>
      </w:r>
      <w:r>
        <w:rPr>
          <w:i/>
          <w:iCs/>
        </w:rPr>
        <w:t xml:space="preserve">E. </w:t>
      </w:r>
      <w:proofErr w:type="spellStart"/>
      <w:r>
        <w:rPr>
          <w:i/>
          <w:iCs/>
        </w:rPr>
        <w:t>ulmoides</w:t>
      </w:r>
      <w:proofErr w:type="spellEnd"/>
      <w:r>
        <w:t xml:space="preserve"> to achieve a rapid identification. The core methods of </w:t>
      </w:r>
      <w:proofErr w:type="spellStart"/>
      <w:r>
        <w:t>MCnebula</w:t>
      </w:r>
      <w:proofErr w:type="spellEnd"/>
      <w:r>
        <w:t xml:space="preserve"> workflow </w:t>
      </w:r>
      <w:proofErr w:type="gramStart"/>
      <w:r>
        <w:t>was</w:t>
      </w:r>
      <w:proofErr w:type="gramEnd"/>
      <w:r>
        <w:t xml:space="preserve"> integrated in R package MCnebula2 and is public available for custom R pipeline analysis.</w:t>
      </w:r>
    </w:p>
    <w:p w14:paraId="5BD6BFB1" w14:textId="77777777" w:rsidR="004740A5" w:rsidRDefault="00000000">
      <w:pPr>
        <w:pStyle w:val="1"/>
      </w:pPr>
      <w:bookmarkStart w:id="7" w:name="introduction"/>
      <w:bookmarkEnd w:id="1"/>
      <w:r>
        <w:t>Introduction</w:t>
      </w:r>
    </w:p>
    <w:p w14:paraId="5884D126" w14:textId="77777777" w:rsidR="004740A5" w:rsidRDefault="00000000">
      <w:pPr>
        <w:pStyle w:val="FirstParagraph"/>
      </w:pPr>
      <w:r>
        <w:t xml:space="preserve">   Analyzing untargeted liquid chromatography/tandem mass spectrometry (LC-MS/MS) dataset is complicated, due to the massive of data volume, complexity of spectrogram profiles, and structural diversity of compounds. In the past decades, a great deal of research </w:t>
      </w:r>
      <w:proofErr w:type="gramStart"/>
      <w:r>
        <w:t>were</w:t>
      </w:r>
      <w:proofErr w:type="gramEnd"/>
      <w:r>
        <w:t xml:space="preserve"> anchored to address the issues. Many technical software or web server attempted to provide a one-stop bulk solution for data analysis</w:t>
      </w:r>
      <w:hyperlink w:anchor="ref-2020p">
        <w:r>
          <w:rPr>
            <w:rStyle w:val="aff"/>
            <w:vertAlign w:val="superscript"/>
          </w:rPr>
          <w:t>1</w:t>
        </w:r>
      </w:hyperlink>
      <w:r>
        <w:rPr>
          <w:vertAlign w:val="superscript"/>
        </w:rPr>
        <w:t>–</w:t>
      </w:r>
      <w:hyperlink w:anchor="ref-2016a">
        <w:r>
          <w:rPr>
            <w:rStyle w:val="aff"/>
            <w:vertAlign w:val="superscript"/>
          </w:rPr>
          <w:t>4</w:t>
        </w:r>
      </w:hyperlink>
      <w:r>
        <w:t xml:space="preserve">. </w:t>
      </w:r>
      <w:proofErr w:type="gramStart"/>
      <w:r>
        <w:t>These solution</w:t>
      </w:r>
      <w:proofErr w:type="gramEnd"/>
      <w:r>
        <w:t xml:space="preserve"> apply or suggest flexible mass spectrogram processing tools or analogous algorithms</w:t>
      </w:r>
      <w:hyperlink w:anchor="ref-2012d">
        <w:r>
          <w:rPr>
            <w:rStyle w:val="aff"/>
            <w:vertAlign w:val="superscript"/>
          </w:rPr>
          <w:t>5</w:t>
        </w:r>
      </w:hyperlink>
      <w:r>
        <w:rPr>
          <w:vertAlign w:val="superscript"/>
        </w:rPr>
        <w:t>–</w:t>
      </w:r>
      <w:hyperlink w:anchor="ref-2010">
        <w:r>
          <w:rPr>
            <w:rStyle w:val="aff"/>
            <w:vertAlign w:val="superscript"/>
          </w:rPr>
          <w:t>8</w:t>
        </w:r>
      </w:hyperlink>
      <w:r>
        <w:t>. To reduce false-positive and false-</w:t>
      </w:r>
      <w:proofErr w:type="spellStart"/>
      <w:r>
        <w:t>negtive</w:t>
      </w:r>
      <w:proofErr w:type="spellEnd"/>
      <w:r>
        <w:t xml:space="preserve"> results, more algorithms have been implemented for peak deconvolution, feature selection or statistical filtering</w:t>
      </w:r>
      <w:hyperlink w:anchor="ref-2017f">
        <w:r>
          <w:rPr>
            <w:rStyle w:val="aff"/>
            <w:vertAlign w:val="superscript"/>
          </w:rPr>
          <w:t>9</w:t>
        </w:r>
      </w:hyperlink>
      <w:r>
        <w:rPr>
          <w:vertAlign w:val="superscript"/>
        </w:rPr>
        <w:t>–</w:t>
      </w:r>
      <w:hyperlink w:anchor="ref-2017i">
        <w:r>
          <w:rPr>
            <w:rStyle w:val="aff"/>
            <w:vertAlign w:val="superscript"/>
          </w:rPr>
          <w:t>13</w:t>
        </w:r>
      </w:hyperlink>
      <w:r>
        <w:t>. Per feature corresponding to compound within sample or parallel samples, and it prevalently equipped with fragmentation spectra to identification. In this context, researchers have to be confronted with a barrier: how to identify the compounds accurately?</w:t>
      </w:r>
    </w:p>
    <w:p w14:paraId="7A589590" w14:textId="77777777" w:rsidR="004740A5" w:rsidRDefault="00000000">
      <w:pPr>
        <w:pStyle w:val="a0"/>
      </w:pPr>
      <w:r>
        <w:t xml:space="preserve">   Until today, several strategies were developed for identifying with fragmentation spectra, including </w:t>
      </w:r>
      <w:r>
        <w:rPr>
          <w:b/>
          <w:bCs/>
        </w:rPr>
        <w:t>1)</w:t>
      </w:r>
      <w:r>
        <w:t xml:space="preserve"> Spectral library matching. A number of public available databases were built to settle that via achieving re-usability of reference fragmentation spectra, such as </w:t>
      </w:r>
      <w:proofErr w:type="spellStart"/>
      <w:r>
        <w:t>MassBank</w:t>
      </w:r>
      <w:proofErr w:type="spellEnd"/>
      <w:r>
        <w:t xml:space="preserve">, </w:t>
      </w:r>
      <w:proofErr w:type="spellStart"/>
      <w:r>
        <w:t>MassBank</w:t>
      </w:r>
      <w:proofErr w:type="spellEnd"/>
      <w:r>
        <w:t xml:space="preserve"> of </w:t>
      </w:r>
      <w:hyperlink r:id="rId11">
        <w:r>
          <w:rPr>
            <w:rStyle w:val="aff"/>
          </w:rPr>
          <w:t>North America (MoNA)</w:t>
        </w:r>
      </w:hyperlink>
      <w:r>
        <w:t>, Global Natural Products Society molecular networking (GNPS)</w:t>
      </w:r>
      <w:hyperlink w:anchor="ref-2016a">
        <w:r>
          <w:rPr>
            <w:rStyle w:val="aff"/>
            <w:vertAlign w:val="superscript"/>
          </w:rPr>
          <w:t>4</w:t>
        </w:r>
      </w:hyperlink>
      <w:r>
        <w:rPr>
          <w:vertAlign w:val="superscript"/>
        </w:rPr>
        <w:t>,</w:t>
      </w:r>
      <w:hyperlink w:anchor="ref-2010p">
        <w:r>
          <w:rPr>
            <w:rStyle w:val="aff"/>
            <w:vertAlign w:val="superscript"/>
          </w:rPr>
          <w:t>14</w:t>
        </w:r>
      </w:hyperlink>
      <w:r>
        <w:rPr>
          <w:vertAlign w:val="superscript"/>
        </w:rPr>
        <w:t>–</w:t>
      </w:r>
      <w:hyperlink w:anchor="ref-2020cp">
        <w:r>
          <w:rPr>
            <w:rStyle w:val="aff"/>
            <w:vertAlign w:val="superscript"/>
          </w:rPr>
          <w:t>17</w:t>
        </w:r>
      </w:hyperlink>
      <w:r>
        <w:t xml:space="preserve">. In counterpart, these fragmentation spectra are available via their web </w:t>
      </w:r>
      <w:proofErr w:type="spellStart"/>
      <w:r>
        <w:t>severs</w:t>
      </w:r>
      <w:proofErr w:type="spellEnd"/>
      <w:r>
        <w:t xml:space="preserve">, third-party platform (e.g., </w:t>
      </w:r>
      <w:hyperlink r:id="rId12" w:anchor="MSP%3E">
        <w:r>
          <w:rPr>
            <w:rStyle w:val="aff"/>
          </w:rPr>
          <w:t>CompMass</w:t>
        </w:r>
      </w:hyperlink>
      <w:r>
        <w:t>) or specific tools (MASST)</w:t>
      </w:r>
      <w:hyperlink w:anchor="ref-2020cm">
        <w:r>
          <w:rPr>
            <w:rStyle w:val="aff"/>
            <w:vertAlign w:val="superscript"/>
          </w:rPr>
          <w:t>18</w:t>
        </w:r>
      </w:hyperlink>
      <w:r>
        <w:t xml:space="preserve">. However, comparing with structure database (PubChem </w:t>
      </w:r>
      <w:proofErr w:type="spellStart"/>
      <w:r>
        <w:t>harbours</w:t>
      </w:r>
      <w:proofErr w:type="spellEnd"/>
      <w:r>
        <w:t xml:space="preserve"> over 100 million records), spectra library is too small in size that limit the application of mass spectrometry. To cross this barrier, </w:t>
      </w:r>
      <w:r>
        <w:rPr>
          <w:b/>
          <w:bCs/>
        </w:rPr>
        <w:t>2)</w:t>
      </w:r>
      <w:r>
        <w:t xml:space="preserve"> Matching with fragmentation spectra of </w:t>
      </w:r>
      <w:r>
        <w:rPr>
          <w:i/>
          <w:iCs/>
        </w:rPr>
        <w:t>in silico</w:t>
      </w:r>
      <w:r>
        <w:t xml:space="preserve"> simulation. </w:t>
      </w:r>
      <w:r>
        <w:rPr>
          <w:i/>
          <w:iCs/>
        </w:rPr>
        <w:t>In silico</w:t>
      </w:r>
      <w:r>
        <w:t xml:space="preserve"> tools have been increasingly developed for simulating fragmentation spectra</w:t>
      </w:r>
      <w:hyperlink w:anchor="ref-2010c">
        <w:r>
          <w:rPr>
            <w:rStyle w:val="aff"/>
            <w:vertAlign w:val="superscript"/>
          </w:rPr>
          <w:t>19</w:t>
        </w:r>
      </w:hyperlink>
      <w:r>
        <w:rPr>
          <w:vertAlign w:val="superscript"/>
        </w:rPr>
        <w:t>–</w:t>
      </w:r>
      <w:hyperlink w:anchor="ref-2020cn">
        <w:r>
          <w:rPr>
            <w:rStyle w:val="aff"/>
            <w:vertAlign w:val="superscript"/>
          </w:rPr>
          <w:t>27</w:t>
        </w:r>
      </w:hyperlink>
      <w:r>
        <w:t xml:space="preserve">. Some databases such as </w:t>
      </w:r>
      <w:proofErr w:type="spellStart"/>
      <w:r>
        <w:t>MoNA</w:t>
      </w:r>
      <w:proofErr w:type="spellEnd"/>
      <w:r>
        <w:t xml:space="preserve"> collated </w:t>
      </w:r>
      <w:r>
        <w:rPr>
          <w:i/>
          <w:iCs/>
        </w:rPr>
        <w:t>in silico</w:t>
      </w:r>
      <w:r>
        <w:t xml:space="preserve"> fragmentation spectra for </w:t>
      </w:r>
      <w:proofErr w:type="gramStart"/>
      <w:r>
        <w:t>public</w:t>
      </w:r>
      <w:proofErr w:type="gramEnd"/>
      <w:r>
        <w:t xml:space="preserve"> available</w:t>
      </w:r>
      <w:hyperlink w:anchor="ref-2013w">
        <w:r>
          <w:rPr>
            <w:rStyle w:val="aff"/>
            <w:vertAlign w:val="superscript"/>
          </w:rPr>
          <w:t>28</w:t>
        </w:r>
      </w:hyperlink>
      <w:r>
        <w:rPr>
          <w:vertAlign w:val="superscript"/>
        </w:rPr>
        <w:t>,</w:t>
      </w:r>
      <w:hyperlink w:anchor="ref-2015aj">
        <w:r>
          <w:rPr>
            <w:rStyle w:val="aff"/>
            <w:vertAlign w:val="superscript"/>
          </w:rPr>
          <w:t>29</w:t>
        </w:r>
      </w:hyperlink>
      <w:r>
        <w:t xml:space="preserve">. </w:t>
      </w:r>
      <w:r>
        <w:rPr>
          <w:b/>
          <w:bCs/>
        </w:rPr>
        <w:t>3)</w:t>
      </w:r>
      <w:r>
        <w:t xml:space="preserve"> </w:t>
      </w:r>
      <w:r>
        <w:rPr>
          <w:i/>
          <w:iCs/>
        </w:rPr>
        <w:t>In silico</w:t>
      </w:r>
      <w:r>
        <w:t xml:space="preserve"> prediction with matching learning. Prevalently, the algorithms make machine train from reference mass dataset or libraries, then </w:t>
      </w:r>
      <w:r>
        <w:lastRenderedPageBreak/>
        <w:t>‘learned’ how to predict chemical fingerprints or principles so as to retrieve the correct structure within structure database</w:t>
      </w:r>
      <w:hyperlink w:anchor="ref-2012ab">
        <w:r>
          <w:rPr>
            <w:rStyle w:val="aff"/>
            <w:vertAlign w:val="superscript"/>
          </w:rPr>
          <w:t>30</w:t>
        </w:r>
      </w:hyperlink>
      <w:r>
        <w:rPr>
          <w:vertAlign w:val="superscript"/>
        </w:rPr>
        <w:t>–</w:t>
      </w:r>
      <w:hyperlink w:anchor="ref-2021cy">
        <w:r>
          <w:rPr>
            <w:rStyle w:val="aff"/>
            <w:vertAlign w:val="superscript"/>
          </w:rPr>
          <w:t>35</w:t>
        </w:r>
      </w:hyperlink>
      <w:r>
        <w:t>.</w:t>
      </w:r>
    </w:p>
    <w:p w14:paraId="336EB1B2" w14:textId="77777777" w:rsidR="004740A5" w:rsidRDefault="00000000">
      <w:pPr>
        <w:pStyle w:val="a0"/>
      </w:pPr>
      <w:r>
        <w:t xml:space="preserve">   </w:t>
      </w:r>
      <w:r>
        <w:rPr>
          <w:i/>
          <w:iCs/>
        </w:rPr>
        <w:t>In silico</w:t>
      </w:r>
      <w:r>
        <w:t xml:space="preserve"> methods are developing quickly. Up to now, the cutting-edge technology, SIRIUS 4</w:t>
      </w:r>
      <w:hyperlink w:anchor="ref-duhrkop_sirius_2019">
        <w:r>
          <w:rPr>
            <w:rStyle w:val="aff"/>
            <w:vertAlign w:val="superscript"/>
          </w:rPr>
          <w:t>36</w:t>
        </w:r>
      </w:hyperlink>
      <w:r>
        <w:t xml:space="preserve">, integrated with many advanced algorithms of artificial intelligence, has been reported accuracy rate reached 70% while retrieving in structure libraries. This method </w:t>
      </w:r>
      <w:proofErr w:type="gramStart"/>
      <w:r>
        <w:t>help</w:t>
      </w:r>
      <w:proofErr w:type="gramEnd"/>
      <w:r>
        <w:t xml:space="preserve"> to identify metabolites beyond the scope of spectra library. While </w:t>
      </w:r>
      <w:r>
        <w:rPr>
          <w:i/>
          <w:iCs/>
        </w:rPr>
        <w:t>in silico</w:t>
      </w:r>
      <w:r>
        <w:t xml:space="preserve"> tools boost chemical identification, it is still lack of an approach that incorporating and leveraging the state-of-the-art technology into biological research, </w:t>
      </w:r>
      <w:proofErr w:type="gramStart"/>
      <w:r>
        <w:t>i.e.</w:t>
      </w:r>
      <w:proofErr w:type="gramEnd"/>
      <w:r>
        <w:t> biomarker discovery in untargeted mass spectral dataset. Identification and screening of biomarkers manually are time-consuming and the results are impressed by subjective factors. In terms of identification, molecular networking is increasingly popular due to its visualization and data transparency</w:t>
      </w:r>
      <w:hyperlink w:anchor="ref-2016a">
        <w:r>
          <w:rPr>
            <w:rStyle w:val="aff"/>
            <w:vertAlign w:val="superscript"/>
          </w:rPr>
          <w:t>4</w:t>
        </w:r>
      </w:hyperlink>
      <w:r>
        <w:rPr>
          <w:vertAlign w:val="superscript"/>
        </w:rPr>
        <w:t>,</w:t>
      </w:r>
      <w:hyperlink w:anchor="ref-2020b">
        <w:r>
          <w:rPr>
            <w:rStyle w:val="aff"/>
            <w:vertAlign w:val="superscript"/>
          </w:rPr>
          <w:t>37</w:t>
        </w:r>
      </w:hyperlink>
      <w:r>
        <w:t>. Thus, we proposed a preliminary idea, could clustering features for visualization based on chemical classification contribute to biomarker discovery or metabolic pathway spotlight?</w:t>
      </w:r>
    </w:p>
    <w:p w14:paraId="38A3C139" w14:textId="77777777" w:rsidR="004740A5" w:rsidRDefault="00000000">
      <w:pPr>
        <w:pStyle w:val="a0"/>
      </w:pPr>
      <w:r>
        <w:t>   The history of classification in chemistry dates back to at least the middle of the last century. The Chemical Fragmentation Coding system developed by Derwent World Patent Index (DWPI) in 1963. Chemical classification like Gene Ontology (GO)</w:t>
      </w:r>
      <w:hyperlink w:anchor="ref-2000g">
        <w:r>
          <w:rPr>
            <w:rStyle w:val="aff"/>
            <w:vertAlign w:val="superscript"/>
          </w:rPr>
          <w:t>38</w:t>
        </w:r>
      </w:hyperlink>
      <w:r>
        <w:t>, has been proposed, more systematically, organizing with taxonomy and ontology in recent years</w:t>
      </w:r>
      <w:hyperlink w:anchor="ref-2016">
        <w:r>
          <w:rPr>
            <w:rStyle w:val="aff"/>
            <w:vertAlign w:val="superscript"/>
          </w:rPr>
          <w:t>39</w:t>
        </w:r>
      </w:hyperlink>
      <w:r>
        <w:t xml:space="preserve">. </w:t>
      </w:r>
      <w:proofErr w:type="spellStart"/>
      <w:r>
        <w:t>ClassyFire</w:t>
      </w:r>
      <w:proofErr w:type="spellEnd"/>
      <w:r>
        <w:t xml:space="preserve"> is increasingly used for compound annotation either in mass dataset analysis or not due to its computation available and systematicness</w:t>
      </w:r>
      <w:hyperlink w:anchor="ref-2019bt">
        <w:r>
          <w:rPr>
            <w:rStyle w:val="aff"/>
            <w:vertAlign w:val="superscript"/>
          </w:rPr>
          <w:t>40</w:t>
        </w:r>
      </w:hyperlink>
      <w:r>
        <w:rPr>
          <w:vertAlign w:val="superscript"/>
        </w:rPr>
        <w:t>–</w:t>
      </w:r>
      <w:hyperlink w:anchor="ref-2022al">
        <w:r>
          <w:rPr>
            <w:rStyle w:val="aff"/>
            <w:vertAlign w:val="superscript"/>
          </w:rPr>
          <w:t>48</w:t>
        </w:r>
      </w:hyperlink>
      <w:r>
        <w:t xml:space="preserve">. The taxonomy and ontology for chemistry is beneficial. For example, a hierarchical classification-based method, termed </w:t>
      </w:r>
      <w:proofErr w:type="spellStart"/>
      <w:r>
        <w:t>Qemistree</w:t>
      </w:r>
      <w:proofErr w:type="spellEnd"/>
      <w:r>
        <w:t>, was proposed to address chemical relationships at a dataset-wide level</w:t>
      </w:r>
      <w:hyperlink w:anchor="ref-2021b">
        <w:r>
          <w:rPr>
            <w:rStyle w:val="aff"/>
            <w:vertAlign w:val="superscript"/>
          </w:rPr>
          <w:t>45</w:t>
        </w:r>
      </w:hyperlink>
      <w:r>
        <w:t xml:space="preserve">. Nevertheless, we found that taxonomy or ontology for chemistry is not a one-off method for pharmacological or biological researches. </w:t>
      </w:r>
      <w:commentRangeStart w:id="8"/>
      <w:r>
        <w:t>Numerous key metabolites or drugs in classes are distributed in diverse hierarchies, such as ‘Bile acids, alcohols and derivatives’ (subclass)</w:t>
      </w:r>
      <w:hyperlink w:anchor="ref-2020cr">
        <w:r>
          <w:rPr>
            <w:rStyle w:val="aff"/>
            <w:vertAlign w:val="superscript"/>
          </w:rPr>
          <w:t>49</w:t>
        </w:r>
      </w:hyperlink>
      <w:r>
        <w:t>, ‘Indoles and derivatives’ (class)</w:t>
      </w:r>
      <w:hyperlink w:anchor="ref-2022am">
        <w:r>
          <w:rPr>
            <w:rStyle w:val="aff"/>
            <w:vertAlign w:val="superscript"/>
          </w:rPr>
          <w:t>50</w:t>
        </w:r>
      </w:hyperlink>
      <w:r>
        <w:t>, ‘Acyl carnitines’ (level 5)</w:t>
      </w:r>
      <w:hyperlink w:anchor="ref-2020s">
        <w:r>
          <w:rPr>
            <w:rStyle w:val="aff"/>
            <w:vertAlign w:val="superscript"/>
          </w:rPr>
          <w:t>51</w:t>
        </w:r>
      </w:hyperlink>
      <w:r>
        <w:t xml:space="preserve">. These classes represent a family of compounds with either similar biological functions or activity, however, function- or activity-independent scattered on different branches of the diverse ranks of taxonomy. It </w:t>
      </w:r>
      <w:proofErr w:type="gramStart"/>
      <w:r>
        <w:t>confuse</w:t>
      </w:r>
      <w:proofErr w:type="gramEnd"/>
      <w:r>
        <w:t xml:space="preserve"> us and which are potential biomarkers? Indeed, untargeted mass spectra dataset is more like a black box. For unknown metabolites, locating the appropriate classes as manifestation from a complicated list of chemical taxonomy (&gt; 4800 different categories) is challenging. Previous study applied such analogous method while in binary comparison but not yet systematized</w:t>
      </w:r>
      <w:hyperlink w:anchor="ref-duhrkop_systematic_2021">
        <w:r>
          <w:rPr>
            <w:rStyle w:val="aff"/>
            <w:vertAlign w:val="superscript"/>
          </w:rPr>
          <w:t>52</w:t>
        </w:r>
      </w:hyperlink>
      <w:r>
        <w:t>.</w:t>
      </w:r>
      <w:commentRangeEnd w:id="8"/>
      <w:r w:rsidR="00A27ECF">
        <w:rPr>
          <w:rStyle w:val="aff1"/>
          <w:rFonts w:asciiTheme="minorHAnsi" w:eastAsiaTheme="minorEastAsia" w:hAnsiTheme="minorHAnsi" w:cstheme="minorBidi"/>
        </w:rPr>
        <w:commentReference w:id="8"/>
      </w:r>
    </w:p>
    <w:p w14:paraId="7D386D16" w14:textId="6B54C15F" w:rsidR="004740A5" w:rsidRDefault="00000000">
      <w:pPr>
        <w:pStyle w:val="a0"/>
      </w:pPr>
      <w:r>
        <w:t xml:space="preserve">   For above comprehensive consideration, we proposed a classified analysis workflow, named </w:t>
      </w:r>
      <w:proofErr w:type="spellStart"/>
      <w:r>
        <w:t>MCnebula</w:t>
      </w:r>
      <w:proofErr w:type="spellEnd"/>
      <w:r>
        <w:t xml:space="preserve">, for untargeted LC-MS/MS dataset analysis. Currently, the core tool for </w:t>
      </w:r>
      <w:proofErr w:type="spellStart"/>
      <w:r>
        <w:t>MCnebula</w:t>
      </w:r>
      <w:proofErr w:type="spellEnd"/>
      <w:r>
        <w:t xml:space="preserve"> workflow is MCnebula2, a R package written primarily in S4 system of object-oriented programming. MCnebula2 leverages the state-of-the-art </w:t>
      </w:r>
      <w:r>
        <w:rPr>
          <w:i/>
          <w:iCs/>
        </w:rPr>
        <w:t>in silico</w:t>
      </w:r>
      <w:r>
        <w:t xml:space="preserve"> tools, SIRIUS workflow (SIRIUS, ZODIAC, </w:t>
      </w:r>
      <w:proofErr w:type="spellStart"/>
      <w:r>
        <w:t>CSI:fingerID</w:t>
      </w:r>
      <w:proofErr w:type="spellEnd"/>
      <w:r>
        <w:t>, CANOPUS)</w:t>
      </w:r>
      <w:hyperlink w:anchor="ref-duhrkop_searching_2015">
        <w:r>
          <w:rPr>
            <w:rStyle w:val="aff"/>
            <w:vertAlign w:val="superscript"/>
          </w:rPr>
          <w:t>31</w:t>
        </w:r>
      </w:hyperlink>
      <w:r>
        <w:rPr>
          <w:vertAlign w:val="superscript"/>
        </w:rPr>
        <w:t>,</w:t>
      </w:r>
      <w:hyperlink w:anchor="ref-duhrkop_sirius_2019">
        <w:r>
          <w:rPr>
            <w:rStyle w:val="aff"/>
            <w:vertAlign w:val="superscript"/>
          </w:rPr>
          <w:t>36</w:t>
        </w:r>
      </w:hyperlink>
      <w:r>
        <w:rPr>
          <w:vertAlign w:val="superscript"/>
        </w:rPr>
        <w:t>,</w:t>
      </w:r>
      <w:hyperlink w:anchor="ref-duhrkop_systematic_2021">
        <w:r>
          <w:rPr>
            <w:rStyle w:val="aff"/>
            <w:vertAlign w:val="superscript"/>
          </w:rPr>
          <w:t>52</w:t>
        </w:r>
      </w:hyperlink>
      <w:r>
        <w:rPr>
          <w:vertAlign w:val="superscript"/>
        </w:rPr>
        <w:t>–</w:t>
      </w:r>
      <w:hyperlink w:anchor="ref-ludwig_database-independent_2020">
        <w:r>
          <w:rPr>
            <w:rStyle w:val="aff"/>
            <w:vertAlign w:val="superscript"/>
          </w:rPr>
          <w:t>55</w:t>
        </w:r>
      </w:hyperlink>
      <w:r>
        <w:t>, for compounds formulae prediction, structures retrieve and classes prediction.</w:t>
      </w:r>
      <w:ins w:id="9" w:author="Wang Lu" w:date="2023-01-13T22:31:00Z">
        <w:r w:rsidR="00A27ECF">
          <w:t>1</w:t>
        </w:r>
      </w:ins>
      <w:r>
        <w:t xml:space="preserve"> </w:t>
      </w:r>
      <w:commentRangeStart w:id="10"/>
      <w:r>
        <w:t xml:space="preserve">For the first time, MCnebula2 integrates an abundance-based classes (ABC) selection algorithm for compounds annotation. </w:t>
      </w:r>
      <w:commentRangeEnd w:id="10"/>
      <w:r w:rsidR="00A27ECF">
        <w:rPr>
          <w:rStyle w:val="aff1"/>
          <w:rFonts w:asciiTheme="minorHAnsi" w:eastAsiaTheme="minorEastAsia" w:hAnsiTheme="minorHAnsi" w:cstheme="minorBidi"/>
        </w:rPr>
        <w:commentReference w:id="10"/>
      </w:r>
      <w:r>
        <w:t xml:space="preserve">The ABC selection algorithm allows researchers to screen chemical classes for downstream data analysis, including statistical analysis, screening for key metabolites, pathway enrichment analysis, etc. With the help of MCnebula2, we can switch from untargeted analysis to targeted analysis which focusing on our interesting compounds or classes precisely. </w:t>
      </w:r>
      <w:ins w:id="11" w:author="Wang Lu" w:date="2023-01-13T22:31:00Z">
        <w:r w:rsidR="00A27ECF">
          <w:t>2</w:t>
        </w:r>
      </w:ins>
      <w:r>
        <w:t xml:space="preserve">In addition, we provide a number of methods featuring </w:t>
      </w:r>
      <w:proofErr w:type="spellStart"/>
      <w:r>
        <w:t>MCnebula</w:t>
      </w:r>
      <w:proofErr w:type="spellEnd"/>
      <w:r>
        <w:t xml:space="preserve"> workflow for downstream custom analysis, involving pathway enrichment analysis, heat map analysis focused on chemical classes, querying compounds for synonyms, assembling identification tables, etc. These tools are integrated in the ‘exMCnebula2’ package to provide users with further options. With the </w:t>
      </w:r>
      <w:proofErr w:type="spellStart"/>
      <w:r>
        <w:t>MCnebula</w:t>
      </w:r>
      <w:proofErr w:type="spellEnd"/>
      <w:r>
        <w:t xml:space="preserve"> workflow, researchers could also export the analysis process into a report, enabling integrated analysis from initial input to final </w:t>
      </w:r>
      <w:r>
        <w:lastRenderedPageBreak/>
        <w:t xml:space="preserve">output. In this article, two datasets were applied to </w:t>
      </w:r>
      <w:proofErr w:type="spellStart"/>
      <w:r>
        <w:t>MCnebula</w:t>
      </w:r>
      <w:proofErr w:type="spellEnd"/>
      <w:r>
        <w:t xml:space="preserve"> in order to demonstrate the broad utility of our method. One was a human-derived serum dataset that correlated with mortality risk profiling of staphylococcus aureus Bacteremia (</w:t>
      </w:r>
      <w:proofErr w:type="spellStart"/>
      <w:r>
        <w:t>SaB</w:t>
      </w:r>
      <w:proofErr w:type="spellEnd"/>
      <w:r>
        <w:t>) The other was a plant-derived herbal dataset that related to the processing of herbal medicine.</w:t>
      </w:r>
    </w:p>
    <w:p w14:paraId="78BDECD6" w14:textId="77777777" w:rsidR="004740A5" w:rsidRDefault="00000000">
      <w:pPr>
        <w:pStyle w:val="1"/>
      </w:pPr>
      <w:bookmarkStart w:id="12" w:name="results"/>
      <w:bookmarkEnd w:id="7"/>
      <w:r>
        <w:t>Results</w:t>
      </w:r>
    </w:p>
    <w:p w14:paraId="2933B3B9" w14:textId="77777777" w:rsidR="004740A5" w:rsidRDefault="00000000">
      <w:pPr>
        <w:pStyle w:val="2"/>
      </w:pPr>
      <w:bookmarkStart w:id="13" w:name="overview"/>
      <w:commentRangeStart w:id="14"/>
      <w:r>
        <w:t>Overview</w:t>
      </w:r>
      <w:commentRangeEnd w:id="14"/>
      <w:r w:rsidR="005D1BB1">
        <w:rPr>
          <w:rStyle w:val="aff1"/>
          <w:rFonts w:asciiTheme="minorHAnsi" w:eastAsiaTheme="minorEastAsia" w:hAnsiTheme="minorHAnsi" w:cstheme="minorBidi"/>
          <w:b w:val="0"/>
          <w:bCs w:val="0"/>
          <w:color w:val="auto"/>
        </w:rPr>
        <w:commentReference w:id="14"/>
      </w:r>
    </w:p>
    <w:p w14:paraId="3F827BED" w14:textId="77777777" w:rsidR="004740A5" w:rsidRDefault="00000000">
      <w:pPr>
        <w:pStyle w:val="FirstParagraph"/>
      </w:pPr>
      <w:r>
        <w:t xml:space="preserve">   </w:t>
      </w:r>
      <w:commentRangeStart w:id="15"/>
      <w:r>
        <w:t>MCnebula2</w:t>
      </w:r>
      <w:commentRangeEnd w:id="15"/>
      <w:r w:rsidR="00A27ECF">
        <w:rPr>
          <w:rStyle w:val="aff1"/>
          <w:rFonts w:asciiTheme="minorHAnsi" w:eastAsiaTheme="minorEastAsia" w:hAnsiTheme="minorHAnsi" w:cstheme="minorBidi"/>
        </w:rPr>
        <w:commentReference w:id="15"/>
      </w:r>
      <w:r>
        <w:t xml:space="preserve"> was an R package for the analysis of LC-MS/MS datasets and was part of the </w:t>
      </w:r>
      <w:proofErr w:type="spellStart"/>
      <w:r>
        <w:t>MCnebula</w:t>
      </w:r>
      <w:proofErr w:type="spellEnd"/>
      <w:r>
        <w:t xml:space="preserve"> workflow. The </w:t>
      </w:r>
      <w:proofErr w:type="spellStart"/>
      <w:r>
        <w:t>MCnebula</w:t>
      </w:r>
      <w:proofErr w:type="spellEnd"/>
      <w:r>
        <w:t xml:space="preserve"> workflow was dedicated to analyzing LC-MS/MS datasets from the beginning, </w:t>
      </w:r>
      <w:proofErr w:type="gramStart"/>
      <w:r>
        <w:t>i.e.</w:t>
      </w:r>
      <w:proofErr w:type="gramEnd"/>
      <w:r>
        <w:t> starting from the raw data obtained from the sample and going through the various stages of analysis to obtain a complete analysis report (</w:t>
      </w:r>
      <w:commentRangeStart w:id="16"/>
      <w:r>
        <w:t>Fig. 1</w:t>
      </w:r>
      <w:commentRangeEnd w:id="16"/>
      <w:r w:rsidR="00037FBF">
        <w:rPr>
          <w:rStyle w:val="aff1"/>
          <w:rFonts w:asciiTheme="minorHAnsi" w:eastAsiaTheme="minorEastAsia" w:hAnsiTheme="minorHAnsi" w:cstheme="minorBidi"/>
        </w:rPr>
        <w:commentReference w:id="16"/>
      </w:r>
      <w:r>
        <w:t xml:space="preserve">). The analysis process followed the general </w:t>
      </w:r>
      <w:proofErr w:type="spellStart"/>
      <w:r>
        <w:t>MCnebula</w:t>
      </w:r>
      <w:proofErr w:type="spellEnd"/>
      <w:r>
        <w:t xml:space="preserve"> analysis templates, from filtering candidates of chemical formula, structural formulae, chemical classes, to creating visual Nebulae; it also allowed for custom advanced analysis, with the help of chemical class focused Nebulae, to perform </w:t>
      </w:r>
      <w:proofErr w:type="spellStart"/>
      <w:r>
        <w:t>statistic</w:t>
      </w:r>
      <w:proofErr w:type="spellEnd"/>
      <w:r>
        <w:t xml:space="preserve"> analysis, features selection, focus on key metabolites and their structural characteristics, pathway enrichment, querying compound synonyms, etc. In a nutshell, chemical classes focused analysis was the core of </w:t>
      </w:r>
      <w:proofErr w:type="spellStart"/>
      <w:r>
        <w:t>MCnebula</w:t>
      </w:r>
      <w:proofErr w:type="spellEnd"/>
      <w:r>
        <w:t xml:space="preserve"> workflow, but it was not only focused on chemical classes.</w:t>
      </w:r>
    </w:p>
    <w:p w14:paraId="0BD90406" w14:textId="77777777" w:rsidR="004740A5" w:rsidRDefault="00000000">
      <w:pPr>
        <w:pStyle w:val="a0"/>
      </w:pPr>
      <w:r>
        <w:t xml:space="preserve">   Currently, the R package MCnebula2 has integrated methods for implementing general templates for </w:t>
      </w:r>
      <w:proofErr w:type="spellStart"/>
      <w:r>
        <w:t>MCnebula</w:t>
      </w:r>
      <w:proofErr w:type="spellEnd"/>
      <w:r>
        <w:t xml:space="preserve"> workflow, involving: application programming interface (APIs) for obtaining data from the cutting-edge SIRIUS software; filtering candidates of chemical formula, structure, classes; creating Nebulae visualizations; forming analytical reports, etc. In addition, methods for customizing advanced analyses, such as statistical analysis, feature selection, pathway enrichment analysis, querying compound synonyms, assembling identification tables, etc., have been initially integrated into the ‘exMCnebula2’ package. Custom advanced analysis was known to be a complex analytical process that requires a priori knowledge and a thorough understanding of the data. The ‘exMCnebula2’ package could not fully undertake automated analysis, but offered a range of functions that has the characteristics of </w:t>
      </w:r>
      <w:proofErr w:type="spellStart"/>
      <w:r>
        <w:t>MCnebula</w:t>
      </w:r>
      <w:proofErr w:type="spellEnd"/>
      <w:r>
        <w:t xml:space="preserve"> workflow, providing users with further options. Next, we would illustrate the </w:t>
      </w:r>
      <w:proofErr w:type="spellStart"/>
      <w:r>
        <w:t>MCnebula</w:t>
      </w:r>
      <w:proofErr w:type="spellEnd"/>
      <w:r>
        <w:t xml:space="preserve"> workflow with demo data.</w:t>
      </w:r>
    </w:p>
    <w:p w14:paraId="1F7C1440" w14:textId="77777777" w:rsidR="004740A5" w:rsidRDefault="00000000">
      <w:pPr>
        <w:pStyle w:val="2"/>
      </w:pPr>
      <w:bookmarkStart w:id="17" w:name="data-analysis"/>
      <w:bookmarkEnd w:id="13"/>
      <w:r>
        <w:t>Data analysis</w:t>
      </w:r>
    </w:p>
    <w:p w14:paraId="7621AC52" w14:textId="77777777" w:rsidR="004740A5" w:rsidRDefault="00000000">
      <w:pPr>
        <w:pStyle w:val="FirstParagraph"/>
      </w:pPr>
      <w:r>
        <w:t xml:space="preserve">   </w:t>
      </w:r>
      <w:r>
        <w:rPr>
          <w:b/>
          <w:bCs/>
        </w:rPr>
        <w:t>Serum metabolic analysis.</w:t>
      </w:r>
      <w:r>
        <w:t xml:space="preserve"> To illustrate the application of MCnebula2 in metabolism, we re-analyzed the serum data from Wozniak et al.</w:t>
      </w:r>
      <w:hyperlink w:anchor="ref-2020s">
        <w:r>
          <w:rPr>
            <w:rStyle w:val="aff"/>
            <w:vertAlign w:val="superscript"/>
          </w:rPr>
          <w:t>51</w:t>
        </w:r>
      </w:hyperlink>
      <w:r>
        <w:t xml:space="preserve">. The serum samples were collected from patients with </w:t>
      </w:r>
      <w:r>
        <w:rPr>
          <w:i/>
          <w:iCs/>
        </w:rPr>
        <w:t>Staphylococcus aureus</w:t>
      </w:r>
      <w:r>
        <w:t xml:space="preserve"> bacteremia (</w:t>
      </w:r>
      <w:proofErr w:type="spellStart"/>
      <w:r>
        <w:t>SaB</w:t>
      </w:r>
      <w:proofErr w:type="spellEnd"/>
      <w:r>
        <w:t xml:space="preserve">) or not and healthy volunteers. Overall, the samples were divided into </w:t>
      </w:r>
      <w:r>
        <w:rPr>
          <w:b/>
          <w:bCs/>
        </w:rPr>
        <w:t>1)</w:t>
      </w:r>
      <w:r>
        <w:t xml:space="preserve"> control groups, involving NN (non-hospital, non-infected) and HN (hospital, non-infected); </w:t>
      </w:r>
      <w:r>
        <w:rPr>
          <w:b/>
          <w:bCs/>
        </w:rPr>
        <w:t>2)</w:t>
      </w:r>
      <w:r>
        <w:t xml:space="preserve"> infection groups, involving HS (hospital, survival), HM (hospital, mortality).</w:t>
      </w:r>
    </w:p>
    <w:p w14:paraId="04DCB42A" w14:textId="77777777" w:rsidR="004740A5" w:rsidRDefault="00000000">
      <w:pPr>
        <w:pStyle w:val="a0"/>
      </w:pPr>
      <w:r>
        <w:t xml:space="preserve">   A total of 7680 ‘features’ were detected using MZmine2 on the LC-MS/MS dataset. After predicting the compounds by MS/MS spectra with SIRIUS software, subsequent analysis was performed using MCnebula2. Of these, 6501 ‘features’ were annotated with molecular formula and further, 3449 ‘features’ were annotated with chemical structure formulae. With the basic workflow of MCnebula2, Parent-Nebula and Child-Nebulae were obtained (Fig. S1, Fig. S2). By interrogating Child-Nebulae, we have a basic insight into the chemical classes contained in the serum dataset. To mine more information from Child-Nebulae: we performed a binary </w:t>
      </w:r>
      <w:r>
        <w:lastRenderedPageBreak/>
        <w:t xml:space="preserve">comparison of HS and HM groups, ranking ‘features’ according to ‘Q-value’; </w:t>
      </w:r>
      <w:commentRangeStart w:id="18"/>
      <w:r>
        <w:t xml:space="preserve">the top 50 ‘features’ were set as ‘tracers’ to mark them in Child-Nebulae (Fig. 2). </w:t>
      </w:r>
      <w:commentRangeEnd w:id="18"/>
      <w:r w:rsidR="007D3FB1">
        <w:rPr>
          <w:rStyle w:val="aff1"/>
          <w:rFonts w:asciiTheme="minorHAnsi" w:eastAsiaTheme="minorEastAsia" w:hAnsiTheme="minorHAnsi" w:cstheme="minorBidi"/>
        </w:rPr>
        <w:commentReference w:id="18"/>
      </w:r>
      <w:r>
        <w:t>By combining the features selection algorithm, the chemical classes exhibited in Child-Nebulae were reduced. The log_2</w:t>
      </w:r>
      <w:proofErr w:type="gramStart"/>
      <w:r>
        <w:t>_(</w:t>
      </w:r>
      <w:proofErr w:type="gramEnd"/>
      <w:r>
        <w:t>Fold Change) (log_2_(FC)) quantification for the HM versus HS groups was visualized in Child-Nebulae (Fig. 3). In Fig. 3, the overall level of ‘Bile acids, alcohols and derivatives’ (BAs) class and ‘Acyl carnitines’ (ACs) class increased remarkably, while the overall level of ‘</w:t>
      </w:r>
      <w:proofErr w:type="spellStart"/>
      <w:r>
        <w:t>Lysophosphatidylcholines</w:t>
      </w:r>
      <w:proofErr w:type="spellEnd"/>
      <w:r>
        <w:t xml:space="preserve">’ (LPCs) class decreased remarkably. Indeed, BAs, ACs and LPCs were reported associated with liver dysfunction, imbalance of intestinal </w:t>
      </w:r>
      <w:proofErr w:type="spellStart"/>
      <w:r>
        <w:t>microphylactic</w:t>
      </w:r>
      <w:proofErr w:type="spellEnd"/>
      <w:r>
        <w:t xml:space="preserve"> homeostasis, and mortality risk</w:t>
      </w:r>
      <w:hyperlink w:anchor="ref-2020s">
        <w:r>
          <w:rPr>
            <w:rStyle w:val="aff"/>
            <w:vertAlign w:val="superscript"/>
          </w:rPr>
          <w:t>51</w:t>
        </w:r>
      </w:hyperlink>
      <w:r>
        <w:rPr>
          <w:vertAlign w:val="superscript"/>
        </w:rPr>
        <w:t>,</w:t>
      </w:r>
      <w:hyperlink w:anchor="ref-2021db">
        <w:r>
          <w:rPr>
            <w:rStyle w:val="aff"/>
            <w:vertAlign w:val="superscript"/>
          </w:rPr>
          <w:t>56</w:t>
        </w:r>
      </w:hyperlink>
      <w:r>
        <w:rPr>
          <w:vertAlign w:val="superscript"/>
        </w:rPr>
        <w:t>,</w:t>
      </w:r>
      <w:hyperlink w:anchor="ref-2016at">
        <w:r>
          <w:rPr>
            <w:rStyle w:val="aff"/>
            <w:vertAlign w:val="superscript"/>
          </w:rPr>
          <w:t>57</w:t>
        </w:r>
      </w:hyperlink>
      <w:r>
        <w:t>. By deep annotation of Child-Nebula, all three classes of compounds have similar structural parent nuclei, and their levels in the NN, HN, HS, and HM groups are similar (Fig. 4, Fig. S3). Subsequently, we performed cluster heat map analysis and pathway enrichment analysis on the compounds of these three classes.</w:t>
      </w:r>
    </w:p>
    <w:p w14:paraId="21F851CD" w14:textId="77777777" w:rsidR="004740A5" w:rsidRDefault="00000000">
      <w:pPr>
        <w:pStyle w:val="a0"/>
      </w:pPr>
      <w:r>
        <w:t xml:space="preserve">   As shown in the clustering heat map (Fig. 5), the control group of ACs and BAs were remarkably separated from the infection group, which implied the infection relevance of ACs and BAs to </w:t>
      </w:r>
      <w:proofErr w:type="spellStart"/>
      <w:r>
        <w:t>SaB.</w:t>
      </w:r>
      <w:proofErr w:type="spellEnd"/>
      <w:r>
        <w:t xml:space="preserve"> In contrast, LPCs did not show remarkable </w:t>
      </w:r>
      <w:proofErr w:type="spellStart"/>
      <w:r>
        <w:t>SaB</w:t>
      </w:r>
      <w:proofErr w:type="spellEnd"/>
      <w:r>
        <w:t xml:space="preserve"> infection relevance or mortality relevance, probably owing to the general consistency of this class of compounds for </w:t>
      </w:r>
      <w:proofErr w:type="spellStart"/>
      <w:r>
        <w:t>SaB</w:t>
      </w:r>
      <w:proofErr w:type="spellEnd"/>
      <w:r>
        <w:t xml:space="preserve"> disease. We performed pathway enrichment analysis for these three classes of significant compounds (HS versus HM group, Q-value &lt; 0.05). The results of BAs showed that four compounds exhibited metabolic pathways associated with ‘Bile secretion’, ‘Cholesterol metabolism’, and ‘Primary bile acid biosynthesis’ </w:t>
      </w:r>
      <w:proofErr w:type="spellStart"/>
      <w:r>
        <w:t>etc</w:t>
      </w:r>
      <w:proofErr w:type="spellEnd"/>
      <w:r>
        <w:t xml:space="preserve"> (Fig. S4b). Among them, βGCS was a class of compounds with the same parent nucleus. The results for LPCs suggested that compounds with similar parent nucleus structure of LPCs implied association with a series of downstream pathways (Fig. S4c). The significant compounds of ACs were not enriched in the pathway. But, A fundamental role of ACs in tuning the switch between the glucose and fatty acid metabolism was reviewed</w:t>
      </w:r>
      <w:hyperlink w:anchor="ref-2018bi">
        <w:r>
          <w:rPr>
            <w:rStyle w:val="aff"/>
            <w:vertAlign w:val="superscript"/>
          </w:rPr>
          <w:t>58</w:t>
        </w:r>
      </w:hyperlink>
      <w:r>
        <w:t>. Their function implemented via bi-directional transport of acyl moieties Between cytosol and mitochondria (Fig. S4a).</w:t>
      </w:r>
    </w:p>
    <w:p w14:paraId="4E66F532" w14:textId="77777777" w:rsidR="004740A5" w:rsidRDefault="00000000">
      <w:pPr>
        <w:pStyle w:val="a0"/>
      </w:pPr>
      <w:r>
        <w:t>   In research of Wozniak et al</w:t>
      </w:r>
      <w:hyperlink w:anchor="ref-2020s">
        <w:r>
          <w:rPr>
            <w:rStyle w:val="aff"/>
            <w:vertAlign w:val="superscript"/>
          </w:rPr>
          <w:t>51</w:t>
        </w:r>
      </w:hyperlink>
      <w:r>
        <w:t xml:space="preserve">, five ACs compounds were identified. In addition, four top metabolites (2-Hexadecanoylthio-1-Ethylphosphorylcholine (HEPC); sphingosine-1-phosphate (S1P); decanoyl-carnitine; L-Thyroxine (T4)) were also identified. In our reanalysis, all identifications were in line except for HEPC (see ‘Data and code availability’ section for the report of serum dataset analysis). In our re-analysis, ‘HEPC’ was identified as 1-pentadecanoyl-sn-glycero-3-phosphocholine (LPC15:0) or its stereoisomers. Indeed, HEPC and LPC15:0 </w:t>
      </w:r>
      <w:proofErr w:type="gramStart"/>
      <w:r>
        <w:t>are</w:t>
      </w:r>
      <w:proofErr w:type="gramEnd"/>
      <w:r>
        <w:t xml:space="preserve"> quite similar in structure, but distinct in element constitution (corresponding to C</w:t>
      </w:r>
      <w:r>
        <w:rPr>
          <w:vertAlign w:val="subscript"/>
        </w:rPr>
        <w:t>23</w:t>
      </w:r>
      <w:r>
        <w:t>H</w:t>
      </w:r>
      <w:r>
        <w:rPr>
          <w:vertAlign w:val="subscript"/>
        </w:rPr>
        <w:t>48</w:t>
      </w:r>
      <w:r>
        <w:t>NO</w:t>
      </w:r>
      <w:r>
        <w:rPr>
          <w:vertAlign w:val="subscript"/>
        </w:rPr>
        <w:t>5</w:t>
      </w:r>
      <w:r>
        <w:t>PS and C</w:t>
      </w:r>
      <w:r>
        <w:rPr>
          <w:vertAlign w:val="subscript"/>
        </w:rPr>
        <w:t>23</w:t>
      </w:r>
      <w:r>
        <w:t>H</w:t>
      </w:r>
      <w:r>
        <w:rPr>
          <w:vertAlign w:val="subscript"/>
        </w:rPr>
        <w:t>48</w:t>
      </w:r>
      <w:r>
        <w:t>NO</w:t>
      </w:r>
      <w:r>
        <w:rPr>
          <w:vertAlign w:val="subscript"/>
        </w:rPr>
        <w:t>7</w:t>
      </w:r>
      <w:r>
        <w:t>P respectively). They were clearly distinct in terms of chemical classification. HEPC belong to ‘</w:t>
      </w:r>
      <w:proofErr w:type="spellStart"/>
      <w:r>
        <w:t>Cholines</w:t>
      </w:r>
      <w:proofErr w:type="spellEnd"/>
      <w:r>
        <w:t>’ (level 5) from ‘Organic nitrogen compounds’ (superclass) family, whereas LPC15:0 belong to ‘</w:t>
      </w:r>
      <w:proofErr w:type="spellStart"/>
      <w:r>
        <w:t>Lysophosphatidylcholines</w:t>
      </w:r>
      <w:proofErr w:type="spellEnd"/>
      <w:r>
        <w:t>’ (level 5) from ‘Lipids and lipid-like molecules’ family. As a part of MCnebula2 workflow, sulfur element is detectable for SIRIUS in isotopes pattern with high mass accuracy</w:t>
      </w:r>
      <w:hyperlink w:anchor="ref-bocker_sirius_2009">
        <w:r>
          <w:rPr>
            <w:rStyle w:val="aff"/>
            <w:vertAlign w:val="superscript"/>
          </w:rPr>
          <w:t>53</w:t>
        </w:r>
      </w:hyperlink>
      <w:r>
        <w:t xml:space="preserve">. However, for the MS/MS spectra of ‘HEPC’, there was no candidate formula that </w:t>
      </w:r>
      <w:proofErr w:type="spellStart"/>
      <w:r>
        <w:t>harbouring</w:t>
      </w:r>
      <w:proofErr w:type="spellEnd"/>
      <w:r>
        <w:t xml:space="preserve"> sulfur element. In addition, the high quality identified compounds were collated in </w:t>
      </w:r>
      <w:commentRangeStart w:id="19"/>
      <w:r>
        <w:t>Tab. S1</w:t>
      </w:r>
      <w:commentRangeEnd w:id="19"/>
      <w:r w:rsidR="006961F1">
        <w:rPr>
          <w:rStyle w:val="aff1"/>
          <w:rFonts w:asciiTheme="minorHAnsi" w:eastAsiaTheme="minorEastAsia" w:hAnsiTheme="minorHAnsi" w:cstheme="minorBidi"/>
        </w:rPr>
        <w:commentReference w:id="19"/>
      </w:r>
    </w:p>
    <w:p w14:paraId="6BB64851" w14:textId="77777777" w:rsidR="006961F1" w:rsidRDefault="00000000" w:rsidP="006961F1">
      <w:pPr>
        <w:pStyle w:val="aff2"/>
        <w:rPr>
          <w:ins w:id="20" w:author="Wang Lu" w:date="2023-01-13T23:03:00Z"/>
        </w:rPr>
      </w:pPr>
      <w:r>
        <w:t xml:space="preserve">   </w:t>
      </w:r>
      <w:r>
        <w:rPr>
          <w:b/>
          <w:bCs/>
        </w:rPr>
        <w:t>Herbal medicine analysis.</w:t>
      </w:r>
      <w:r>
        <w:t xml:space="preserve"> </w:t>
      </w:r>
      <w:r>
        <w:rPr>
          <w:i/>
          <w:iCs/>
        </w:rPr>
        <w:t xml:space="preserve">Eucommia </w:t>
      </w:r>
      <w:proofErr w:type="spellStart"/>
      <w:r>
        <w:rPr>
          <w:i/>
          <w:iCs/>
        </w:rPr>
        <w:t>ulmoides</w:t>
      </w:r>
      <w:proofErr w:type="spellEnd"/>
      <w:r>
        <w:rPr>
          <w:i/>
          <w:iCs/>
        </w:rPr>
        <w:t xml:space="preserve"> </w:t>
      </w:r>
      <w:proofErr w:type="spellStart"/>
      <w:r>
        <w:rPr>
          <w:i/>
          <w:iCs/>
        </w:rPr>
        <w:t>Oliv</w:t>
      </w:r>
      <w:proofErr w:type="spellEnd"/>
      <w:r>
        <w:rPr>
          <w:i/>
          <w:iCs/>
        </w:rPr>
        <w:t>.</w:t>
      </w:r>
      <w:r>
        <w:t xml:space="preserve"> (</w:t>
      </w:r>
      <w:r>
        <w:rPr>
          <w:i/>
          <w:iCs/>
        </w:rPr>
        <w:t xml:space="preserve">E. </w:t>
      </w:r>
      <w:proofErr w:type="spellStart"/>
      <w:r>
        <w:rPr>
          <w:i/>
          <w:iCs/>
        </w:rPr>
        <w:t>ulmoides</w:t>
      </w:r>
      <w:proofErr w:type="spellEnd"/>
      <w:r>
        <w:t>)</w:t>
      </w:r>
      <w:hyperlink w:anchor="ref-2021n">
        <w:r>
          <w:rPr>
            <w:rStyle w:val="aff"/>
            <w:vertAlign w:val="superscript"/>
          </w:rPr>
          <w:t>59</w:t>
        </w:r>
      </w:hyperlink>
      <w:r>
        <w:t xml:space="preserve">, as a traditional Chinese medicine (TCM), after being processed with saline water, was applied to the treatment of renal diseases for a long time in China. Due to its complex composition, discovering chemical changes during processing (such as processed with saline water) is challenging. MCnebula2 was successfully applied to analyze plant-derived chemical composition. </w:t>
      </w:r>
      <w:commentRangeStart w:id="21"/>
      <w:r>
        <w:t>Fig. S5</w:t>
      </w:r>
      <w:commentRangeEnd w:id="21"/>
      <w:r w:rsidR="006961F1">
        <w:rPr>
          <w:rStyle w:val="aff1"/>
        </w:rPr>
        <w:commentReference w:id="21"/>
      </w:r>
      <w:r>
        <w:t xml:space="preserve"> shown the focused classes with top ‘</w:t>
      </w:r>
      <w:proofErr w:type="gramStart"/>
      <w:r>
        <w:t>features’</w:t>
      </w:r>
      <w:proofErr w:type="gramEnd"/>
      <w:r>
        <w:t xml:space="preserve">. It was noticed there were several characteristic classes ‘lignan’, </w:t>
      </w:r>
    </w:p>
    <w:p w14:paraId="5ED96331" w14:textId="4B01329A" w:rsidR="004740A5" w:rsidRDefault="00000000">
      <w:pPr>
        <w:pStyle w:val="a0"/>
      </w:pPr>
      <w:r>
        <w:lastRenderedPageBreak/>
        <w:t xml:space="preserve">‘iridoid’ or ‘terpenoid’. In </w:t>
      </w:r>
      <w:r>
        <w:rPr>
          <w:i/>
          <w:iCs/>
        </w:rPr>
        <w:t xml:space="preserve">E. </w:t>
      </w:r>
      <w:proofErr w:type="spellStart"/>
      <w:r>
        <w:rPr>
          <w:i/>
          <w:iCs/>
        </w:rPr>
        <w:t>ulmoides</w:t>
      </w:r>
      <w:proofErr w:type="spellEnd"/>
      <w:r>
        <w:t>, numerous literatures have reported the medicinal value of compounds in these classes</w:t>
      </w:r>
      <w:hyperlink w:anchor="ref-2021cq">
        <w:r>
          <w:rPr>
            <w:rStyle w:val="aff"/>
            <w:vertAlign w:val="superscript"/>
          </w:rPr>
          <w:t>60</w:t>
        </w:r>
      </w:hyperlink>
      <w:r>
        <w:rPr>
          <w:vertAlign w:val="superscript"/>
        </w:rPr>
        <w:t>–</w:t>
      </w:r>
      <w:hyperlink w:anchor="ref-2015q">
        <w:r>
          <w:rPr>
            <w:rStyle w:val="aff"/>
            <w:vertAlign w:val="superscript"/>
          </w:rPr>
          <w:t>66</w:t>
        </w:r>
      </w:hyperlink>
      <w:r>
        <w:t>. Fig. S6 shown the MS/MS spectra and chemical structure of the identified top ‘</w:t>
      </w:r>
      <w:proofErr w:type="gramStart"/>
      <w:r>
        <w:t>features’</w:t>
      </w:r>
      <w:proofErr w:type="gramEnd"/>
      <w:r>
        <w:t>. All the high quality identified compounds were collated in Tab. S2.</w:t>
      </w:r>
    </w:p>
    <w:p w14:paraId="54BF3B72" w14:textId="77777777" w:rsidR="004740A5" w:rsidRDefault="00000000">
      <w:pPr>
        <w:pStyle w:val="1"/>
      </w:pPr>
      <w:bookmarkStart w:id="22" w:name="discussion"/>
      <w:bookmarkEnd w:id="12"/>
      <w:bookmarkEnd w:id="17"/>
      <w:r>
        <w:t>Discussion</w:t>
      </w:r>
    </w:p>
    <w:p w14:paraId="47586CCA" w14:textId="77777777" w:rsidR="004740A5" w:rsidRDefault="00000000">
      <w:pPr>
        <w:pStyle w:val="FirstParagraph"/>
      </w:pPr>
      <w:r>
        <w:t xml:space="preserve">   </w:t>
      </w:r>
      <w:proofErr w:type="spellStart"/>
      <w:r>
        <w:t>MCnebula</w:t>
      </w:r>
      <w:proofErr w:type="spellEnd"/>
      <w:r>
        <w:t xml:space="preserve"> offers a unique analytical perspective, termed multi-chemical Nebulae to achieve unknown compound identification and classes focus. The visualization is equipped with a more precise, flexible and perceptive capturing ability of chemical classes which is different from classical molecular networking pattern. Meanwhile, it draws on the superiority of the classical pattern. </w:t>
      </w:r>
      <w:commentRangeStart w:id="23"/>
      <w:r>
        <w:t>Recently, molecular networking is a popular method for visualization and annotation of mass spectra. Depending on fragmentation spectra similarity, structural annotations are propagated via network-based method</w:t>
      </w:r>
      <w:hyperlink w:anchor="ref-2012a">
        <w:r>
          <w:rPr>
            <w:rStyle w:val="aff"/>
            <w:vertAlign w:val="superscript"/>
          </w:rPr>
          <w:t>67</w:t>
        </w:r>
      </w:hyperlink>
      <w:r>
        <w:rPr>
          <w:vertAlign w:val="superscript"/>
        </w:rPr>
        <w:t>–</w:t>
      </w:r>
      <w:hyperlink w:anchor="ref-2021d">
        <w:r>
          <w:rPr>
            <w:rStyle w:val="aff"/>
            <w:vertAlign w:val="superscript"/>
          </w:rPr>
          <w:t>71</w:t>
        </w:r>
      </w:hyperlink>
      <w:r>
        <w:t>. Unfortunately, molecular networking is a highly spectral similarity dependent method instead of compounds structural or classified similarity. For example, Flavonoids were expected to be clustered together as its specific class and structural similarity. However, in previous research, it has been reported that some Flavonoids happened to be absent from the cluster of many Flavonoids compounds</w:t>
      </w:r>
      <w:hyperlink w:anchor="ref-duhrkop_systematic_2021">
        <w:r>
          <w:rPr>
            <w:rStyle w:val="aff"/>
            <w:vertAlign w:val="superscript"/>
          </w:rPr>
          <w:t>52</w:t>
        </w:r>
      </w:hyperlink>
      <w:r>
        <w:t>. In this context, visualization in a classified perspective is a better choice for untargeted mass spectra dataset. Earlier in 2012, molecular networking was proposed with visualization for mass data analysis for the first time</w:t>
      </w:r>
      <w:hyperlink w:anchor="ref-2012a">
        <w:r>
          <w:rPr>
            <w:rStyle w:val="aff"/>
            <w:vertAlign w:val="superscript"/>
          </w:rPr>
          <w:t>67</w:t>
        </w:r>
      </w:hyperlink>
      <w:r>
        <w:t xml:space="preserve">. At that time, </w:t>
      </w:r>
      <w:r>
        <w:rPr>
          <w:i/>
          <w:iCs/>
        </w:rPr>
        <w:t>in silico</w:t>
      </w:r>
      <w:r>
        <w:t xml:space="preserve"> tools for predicting compound classification by fragmentation spectra were not available. Nowadays, with the development of automatic classified </w:t>
      </w:r>
      <w:r>
        <w:rPr>
          <w:i/>
          <w:iCs/>
        </w:rPr>
        <w:t>in silico</w:t>
      </w:r>
      <w:r>
        <w:t xml:space="preserve"> tools</w:t>
      </w:r>
      <w:hyperlink w:anchor="ref-2016">
        <w:r>
          <w:rPr>
            <w:rStyle w:val="aff"/>
            <w:vertAlign w:val="superscript"/>
          </w:rPr>
          <w:t>39</w:t>
        </w:r>
      </w:hyperlink>
      <w:r>
        <w:rPr>
          <w:vertAlign w:val="superscript"/>
        </w:rPr>
        <w:t>,</w:t>
      </w:r>
      <w:hyperlink w:anchor="ref-duhrkop_systematic_2021">
        <w:r>
          <w:rPr>
            <w:rStyle w:val="aff"/>
            <w:vertAlign w:val="superscript"/>
          </w:rPr>
          <w:t>52</w:t>
        </w:r>
      </w:hyperlink>
      <w:r>
        <w:t>, it is time for a revolution of the visualization strategy.</w:t>
      </w:r>
      <w:commentRangeEnd w:id="23"/>
      <w:r w:rsidR="00D91333">
        <w:rPr>
          <w:rStyle w:val="aff1"/>
          <w:rFonts w:asciiTheme="minorHAnsi" w:eastAsiaTheme="minorEastAsia" w:hAnsiTheme="minorHAnsi" w:cstheme="minorBidi"/>
        </w:rPr>
        <w:commentReference w:id="23"/>
      </w:r>
    </w:p>
    <w:p w14:paraId="26525C33" w14:textId="77777777" w:rsidR="004740A5" w:rsidRDefault="00000000">
      <w:pPr>
        <w:pStyle w:val="a0"/>
      </w:pPr>
      <w:r>
        <w:t>   Untargeted metabolomics emerged to profile cellular and organismal metabolism without prior knowledge dependence</w:t>
      </w:r>
      <w:hyperlink w:anchor="ref-2016aq">
        <w:r>
          <w:rPr>
            <w:rStyle w:val="aff"/>
            <w:vertAlign w:val="superscript"/>
          </w:rPr>
          <w:t>72</w:t>
        </w:r>
      </w:hyperlink>
      <w:r>
        <w:rPr>
          <w:vertAlign w:val="superscript"/>
        </w:rPr>
        <w:t>,</w:t>
      </w:r>
      <w:hyperlink w:anchor="ref-2017at">
        <w:r>
          <w:rPr>
            <w:rStyle w:val="aff"/>
            <w:vertAlign w:val="superscript"/>
          </w:rPr>
          <w:t>73</w:t>
        </w:r>
      </w:hyperlink>
      <w:r>
        <w:t>. Researchers with the help of statistical methodologies from thousands of features screen out biomarker, towards pharmaceutical, physiological or pathological mechanisms</w:t>
      </w:r>
      <w:hyperlink w:anchor="ref-2016ar">
        <w:r>
          <w:rPr>
            <w:rStyle w:val="aff"/>
            <w:vertAlign w:val="superscript"/>
          </w:rPr>
          <w:t>74</w:t>
        </w:r>
      </w:hyperlink>
      <w:r>
        <w:rPr>
          <w:vertAlign w:val="superscript"/>
        </w:rPr>
        <w:t>,</w:t>
      </w:r>
      <w:hyperlink w:anchor="ref-2016ao">
        <w:r>
          <w:rPr>
            <w:rStyle w:val="aff"/>
            <w:vertAlign w:val="superscript"/>
          </w:rPr>
          <w:t>75</w:t>
        </w:r>
      </w:hyperlink>
      <w:r>
        <w:t>. These statistical approaches involved classical statistic and artificial intelligence (e.g., random forests)</w:t>
      </w:r>
      <w:hyperlink w:anchor="ref-2019bv">
        <w:r>
          <w:rPr>
            <w:rStyle w:val="aff"/>
            <w:vertAlign w:val="superscript"/>
          </w:rPr>
          <w:t>76</w:t>
        </w:r>
      </w:hyperlink>
      <w:r>
        <w:rPr>
          <w:vertAlign w:val="superscript"/>
        </w:rPr>
        <w:t>,</w:t>
      </w:r>
      <w:hyperlink w:anchor="ref-2021de">
        <w:r>
          <w:rPr>
            <w:rStyle w:val="aff"/>
            <w:vertAlign w:val="superscript"/>
          </w:rPr>
          <w:t>77</w:t>
        </w:r>
      </w:hyperlink>
      <w:r>
        <w:t>. Both approaches were impossible to avoid specific biases, owing to the complexity of feature set or algorithmic stability</w:t>
      </w:r>
      <w:hyperlink w:anchor="ref-2017i">
        <w:r>
          <w:rPr>
            <w:rStyle w:val="aff"/>
            <w:vertAlign w:val="superscript"/>
          </w:rPr>
          <w:t>13</w:t>
        </w:r>
      </w:hyperlink>
      <w:r>
        <w:t>. Further, evaluation in per feature level seemed incapable of profiling systematic effects in metabolites</w:t>
      </w:r>
      <w:hyperlink w:anchor="ref-duhrkop_systematic_2021">
        <w:r>
          <w:rPr>
            <w:rStyle w:val="aff"/>
            <w:vertAlign w:val="superscript"/>
          </w:rPr>
          <w:t>52</w:t>
        </w:r>
      </w:hyperlink>
      <w:r>
        <w:t xml:space="preserve">. In this view, analyzing at chemical classified level may be a comprehensive settlement. However, we </w:t>
      </w:r>
      <w:proofErr w:type="spellStart"/>
      <w:r>
        <w:t>can not</w:t>
      </w:r>
      <w:proofErr w:type="spellEnd"/>
      <w:r>
        <w:t xml:space="preserve"> neglect the differences of metabolites at the same classified level. For example, small-molecules belonging to ‘Indoles and derivatives’ </w:t>
      </w:r>
      <w:proofErr w:type="spellStart"/>
      <w:r>
        <w:t>harbour</w:t>
      </w:r>
      <w:proofErr w:type="spellEnd"/>
      <w:r>
        <w:t xml:space="preserve"> structural </w:t>
      </w:r>
      <w:proofErr w:type="spellStart"/>
      <w:r>
        <w:t>denpendent</w:t>
      </w:r>
      <w:proofErr w:type="spellEnd"/>
      <w:r>
        <w:t xml:space="preserve"> affection on aryl hydrocarbon receptor (AHR)</w:t>
      </w:r>
      <w:hyperlink w:anchor="ref-2019c">
        <w:r>
          <w:rPr>
            <w:rStyle w:val="aff"/>
            <w:vertAlign w:val="superscript"/>
          </w:rPr>
          <w:t>78</w:t>
        </w:r>
      </w:hyperlink>
      <w:r>
        <w:t xml:space="preserve">. Different structural characteristics may lead to diverse activities. The settlement for that is integrating either ‘per feature’ level statistic or classified level assessment. Therewith, </w:t>
      </w:r>
      <w:proofErr w:type="spellStart"/>
      <w:r>
        <w:t>MCnebula</w:t>
      </w:r>
      <w:proofErr w:type="spellEnd"/>
      <w:r>
        <w:t xml:space="preserve"> is proposed to screen and trace biomarkers with higher confidence in classified level.</w:t>
      </w:r>
    </w:p>
    <w:p w14:paraId="40A7C9B3" w14:textId="77777777" w:rsidR="004740A5" w:rsidRDefault="00000000">
      <w:pPr>
        <w:pStyle w:val="a0"/>
      </w:pPr>
      <w:r>
        <w:t xml:space="preserve">   </w:t>
      </w:r>
      <w:proofErr w:type="spellStart"/>
      <w:r>
        <w:t>MCnebula</w:t>
      </w:r>
      <w:proofErr w:type="spellEnd"/>
      <w:r>
        <w:t xml:space="preserve"> can be applied to discover biomarkers. We demonstrated the application of </w:t>
      </w:r>
      <w:proofErr w:type="spellStart"/>
      <w:r>
        <w:t>MCnebula</w:t>
      </w:r>
      <w:proofErr w:type="spellEnd"/>
      <w:r>
        <w:t xml:space="preserve"> by re-analyzing serum metabolic dataset. </w:t>
      </w:r>
      <w:commentRangeStart w:id="24"/>
      <w:r>
        <w:t xml:space="preserve">We discovered additional classes, </w:t>
      </w:r>
      <w:proofErr w:type="gramStart"/>
      <w:r>
        <w:t>i.e.</w:t>
      </w:r>
      <w:proofErr w:type="gramEnd"/>
      <w:r>
        <w:t> ‘</w:t>
      </w:r>
      <w:proofErr w:type="spellStart"/>
      <w:r>
        <w:t>Lysophosphatidylcholines</w:t>
      </w:r>
      <w:proofErr w:type="spellEnd"/>
      <w:r>
        <w:t xml:space="preserve">’ (LPCs) and ‘Bile acids, alcohols and derivatives’ (BAs), that were not concerned in previous study. </w:t>
      </w:r>
      <w:commentRangeEnd w:id="24"/>
      <w:r w:rsidR="00D91333">
        <w:rPr>
          <w:rStyle w:val="aff1"/>
          <w:rFonts w:asciiTheme="minorHAnsi" w:eastAsiaTheme="minorEastAsia" w:hAnsiTheme="minorHAnsi" w:cstheme="minorBidi"/>
        </w:rPr>
        <w:commentReference w:id="24"/>
      </w:r>
      <w:r>
        <w:t>Previously, LPCs have been extensively investigated in the context of inflammation and atherosclerosis development</w:t>
      </w:r>
      <w:hyperlink w:anchor="ref-2016at">
        <w:r>
          <w:rPr>
            <w:rStyle w:val="aff"/>
            <w:vertAlign w:val="superscript"/>
          </w:rPr>
          <w:t>57</w:t>
        </w:r>
      </w:hyperlink>
      <w:r>
        <w:rPr>
          <w:vertAlign w:val="superscript"/>
        </w:rPr>
        <w:t>,</w:t>
      </w:r>
      <w:hyperlink w:anchor="ref-2020cv">
        <w:r>
          <w:rPr>
            <w:rStyle w:val="aff"/>
            <w:vertAlign w:val="superscript"/>
          </w:rPr>
          <w:t>79</w:t>
        </w:r>
      </w:hyperlink>
      <w:r>
        <w:rPr>
          <w:vertAlign w:val="superscript"/>
        </w:rPr>
        <w:t>–</w:t>
      </w:r>
      <w:hyperlink w:anchor="ref-2003n">
        <w:r>
          <w:rPr>
            <w:rStyle w:val="aff"/>
            <w:vertAlign w:val="superscript"/>
          </w:rPr>
          <w:t>81</w:t>
        </w:r>
      </w:hyperlink>
      <w:r>
        <w:t>. In a recent review</w:t>
      </w:r>
      <w:hyperlink w:anchor="ref-2020cv">
        <w:r>
          <w:rPr>
            <w:rStyle w:val="aff"/>
            <w:vertAlign w:val="superscript"/>
          </w:rPr>
          <w:t>79</w:t>
        </w:r>
      </w:hyperlink>
      <w:r>
        <w:t>, the complex roles of LPCs in vascular inflammation have been well described, involving the context-dependent pro- or anti-inflammatory action, impact in innate immune cells and adaptive immune system, etc. Decreasing level of LPCs was associated with wild range of diseases of increasing mortality risk</w:t>
      </w:r>
      <w:hyperlink w:anchor="ref-2016at">
        <w:r>
          <w:rPr>
            <w:rStyle w:val="aff"/>
            <w:vertAlign w:val="superscript"/>
          </w:rPr>
          <w:t>57</w:t>
        </w:r>
      </w:hyperlink>
      <w:r>
        <w:t xml:space="preserve">. The investigation of </w:t>
      </w:r>
      <w:proofErr w:type="spellStart"/>
      <w:r>
        <w:t>spesis</w:t>
      </w:r>
      <w:proofErr w:type="spellEnd"/>
      <w:r>
        <w:t xml:space="preserve"> indicated LPCs concentrations in blood were established correlation with severe sepsis or septic shock</w:t>
      </w:r>
      <w:hyperlink w:anchor="ref-2014ao">
        <w:r>
          <w:rPr>
            <w:rStyle w:val="aff"/>
            <w:vertAlign w:val="superscript"/>
          </w:rPr>
          <w:t>80</w:t>
        </w:r>
      </w:hyperlink>
      <w:r>
        <w:t>; In addition, LPCs was reported inversely correlate with mortality in sepsis patients</w:t>
      </w:r>
      <w:hyperlink w:anchor="ref-2003n">
        <w:r>
          <w:rPr>
            <w:rStyle w:val="aff"/>
            <w:vertAlign w:val="superscript"/>
          </w:rPr>
          <w:t>81</w:t>
        </w:r>
      </w:hyperlink>
      <w:r>
        <w:t xml:space="preserve">. BAs’ disorder implied a liver </w:t>
      </w:r>
      <w:r>
        <w:lastRenderedPageBreak/>
        <w:t xml:space="preserve">dysfunction and imbalance of intestinal </w:t>
      </w:r>
      <w:proofErr w:type="spellStart"/>
      <w:r>
        <w:t>microphylactic</w:t>
      </w:r>
      <w:proofErr w:type="spellEnd"/>
      <w:r>
        <w:t xml:space="preserve"> homeostasis</w:t>
      </w:r>
      <w:hyperlink w:anchor="ref-2021dg">
        <w:r>
          <w:rPr>
            <w:rStyle w:val="aff"/>
            <w:vertAlign w:val="superscript"/>
          </w:rPr>
          <w:t>82</w:t>
        </w:r>
      </w:hyperlink>
      <w:r>
        <w:t xml:space="preserve">. The chemical multiversity of BAs, which were discovered in the BAs’ child-nebula, were determined by the intestinal microbiome and allowed for a complex regulation of adaptive responses in host. In our study, the level of BAs showed higher correlation with </w:t>
      </w:r>
      <w:proofErr w:type="spellStart"/>
      <w:r>
        <w:t>SaB</w:t>
      </w:r>
      <w:proofErr w:type="spellEnd"/>
      <w:r>
        <w:t xml:space="preserve"> infection than ACs. The decreased level of LPCs suggested a mortality risk of </w:t>
      </w:r>
      <w:proofErr w:type="spellStart"/>
      <w:r>
        <w:t>SaB</w:t>
      </w:r>
      <w:proofErr w:type="spellEnd"/>
      <w:r>
        <w:t xml:space="preserve"> infection. From LPCs to BAs, steroids related classes, ‘</w:t>
      </w:r>
      <w:proofErr w:type="spellStart"/>
      <w:r>
        <w:t>Lineolic</w:t>
      </w:r>
      <w:proofErr w:type="spellEnd"/>
      <w:r>
        <w:t xml:space="preserve"> acids and derivatives’, and other fatty acids related classes, showed that liver played a central role in </w:t>
      </w:r>
      <w:proofErr w:type="spellStart"/>
      <w:r>
        <w:t>SaB</w:t>
      </w:r>
      <w:proofErr w:type="spellEnd"/>
      <w:r>
        <w:t xml:space="preserve"> infection and mortality. Liver X receptors (LXRs) </w:t>
      </w:r>
      <w:proofErr w:type="spellStart"/>
      <w:r>
        <w:t>harboured</w:t>
      </w:r>
      <w:proofErr w:type="spellEnd"/>
      <w:r>
        <w:t xml:space="preserve"> pivotal roles in the transcriptional control of lipid metabolism</w:t>
      </w:r>
      <w:hyperlink w:anchor="ref-2018bd">
        <w:r>
          <w:rPr>
            <w:rStyle w:val="aff"/>
            <w:vertAlign w:val="superscript"/>
          </w:rPr>
          <w:t>83</w:t>
        </w:r>
      </w:hyperlink>
      <w:r>
        <w:t xml:space="preserve">. LXRs modulate membrane phospholipid composition through activation of </w:t>
      </w:r>
      <w:proofErr w:type="spellStart"/>
      <w:r>
        <w:t>lysophosphatidylcholine</w:t>
      </w:r>
      <w:proofErr w:type="spellEnd"/>
      <w:r>
        <w:t xml:space="preserve"> acyltransferase 3 (LPCAT3), which directly related to LPCs</w:t>
      </w:r>
      <w:hyperlink w:anchor="ref-2021di">
        <w:r>
          <w:rPr>
            <w:rStyle w:val="aff"/>
            <w:vertAlign w:val="superscript"/>
          </w:rPr>
          <w:t>84</w:t>
        </w:r>
      </w:hyperlink>
      <w:r>
        <w:t>. In addition, the above classes showed correlation with LXRs</w:t>
      </w:r>
      <w:hyperlink w:anchor="ref-2018bd">
        <w:r>
          <w:rPr>
            <w:rStyle w:val="aff"/>
            <w:vertAlign w:val="superscript"/>
          </w:rPr>
          <w:t>83</w:t>
        </w:r>
      </w:hyperlink>
      <w:r>
        <w:t xml:space="preserve">. Unfortunately, </w:t>
      </w:r>
      <w:proofErr w:type="spellStart"/>
      <w:r>
        <w:t>LXRs’s</w:t>
      </w:r>
      <w:proofErr w:type="spellEnd"/>
      <w:r>
        <w:t xml:space="preserve"> specific role in </w:t>
      </w:r>
      <w:proofErr w:type="spellStart"/>
      <w:r>
        <w:t>SaB</w:t>
      </w:r>
      <w:proofErr w:type="spellEnd"/>
      <w:r>
        <w:t xml:space="preserve"> infection or mortality has not been documented and beyond the scope of this research.</w:t>
      </w:r>
    </w:p>
    <w:p w14:paraId="7FF1A234" w14:textId="77777777" w:rsidR="004740A5" w:rsidRDefault="00000000">
      <w:pPr>
        <w:pStyle w:val="a0"/>
      </w:pPr>
      <w:r>
        <w:t>  </w:t>
      </w:r>
      <w:commentRangeStart w:id="25"/>
      <w:r>
        <w:t xml:space="preserve"> In herbal dataset analysis, we showed a quick identification in Child-Nebulae with a scope of chemical classes. </w:t>
      </w:r>
      <w:proofErr w:type="spellStart"/>
      <w:r>
        <w:t>MCnebula</w:t>
      </w:r>
      <w:proofErr w:type="spellEnd"/>
      <w:r>
        <w:t xml:space="preserve"> is favorable to compound identification even for unknown compound. Although some specific </w:t>
      </w:r>
      <w:proofErr w:type="gramStart"/>
      <w:r>
        <w:t>database</w:t>
      </w:r>
      <w:proofErr w:type="gramEnd"/>
      <w:r>
        <w:t xml:space="preserve"> of plant-derived compounds have been constructed</w:t>
      </w:r>
      <w:hyperlink w:anchor="ref-2012ac">
        <w:r>
          <w:rPr>
            <w:rStyle w:val="aff"/>
            <w:vertAlign w:val="superscript"/>
          </w:rPr>
          <w:t>15</w:t>
        </w:r>
      </w:hyperlink>
      <w:r>
        <w:rPr>
          <w:vertAlign w:val="superscript"/>
        </w:rPr>
        <w:t>,</w:t>
      </w:r>
      <w:hyperlink w:anchor="ref-2015ak">
        <w:r>
          <w:rPr>
            <w:rStyle w:val="aff"/>
            <w:vertAlign w:val="superscript"/>
          </w:rPr>
          <w:t>16</w:t>
        </w:r>
      </w:hyperlink>
      <w:r>
        <w:t xml:space="preserve">, there were lack of enough fragmentation spectra for comprehensive library match. With the help of </w:t>
      </w:r>
      <w:proofErr w:type="spellStart"/>
      <w:r>
        <w:t>MCnebula</w:t>
      </w:r>
      <w:proofErr w:type="spellEnd"/>
      <w:r>
        <w:t>, mostly via retrieving structural libraries, a rapid and reliable resolution of complex compositions of plant-derived can be achieved.</w:t>
      </w:r>
      <w:commentRangeEnd w:id="25"/>
      <w:r w:rsidR="00D91333">
        <w:rPr>
          <w:rStyle w:val="aff1"/>
          <w:rFonts w:asciiTheme="minorHAnsi" w:eastAsiaTheme="minorEastAsia" w:hAnsiTheme="minorHAnsi" w:cstheme="minorBidi"/>
        </w:rPr>
        <w:commentReference w:id="25"/>
      </w:r>
    </w:p>
    <w:p w14:paraId="73E89E59" w14:textId="77777777" w:rsidR="004740A5" w:rsidRDefault="00000000">
      <w:pPr>
        <w:pStyle w:val="a0"/>
      </w:pPr>
      <w:r>
        <w:t xml:space="preserve">   In this article, due to limited space, few examples demonstrated </w:t>
      </w:r>
      <w:proofErr w:type="spellStart"/>
      <w:r>
        <w:t>MCnebula</w:t>
      </w:r>
      <w:proofErr w:type="spellEnd"/>
      <w:r>
        <w:t xml:space="preserve"> application. Indeed, </w:t>
      </w:r>
      <w:proofErr w:type="spellStart"/>
      <w:r>
        <w:t>MCnebula</w:t>
      </w:r>
      <w:proofErr w:type="spellEnd"/>
      <w:r>
        <w:t xml:space="preserve"> has a great potential in the field of chemistry, pharmacy and medicine. The latter, beyond this article, e.g., fields of application include natural products, </w:t>
      </w:r>
      <w:proofErr w:type="spellStart"/>
      <w:r>
        <w:t>foodomics</w:t>
      </w:r>
      <w:proofErr w:type="spellEnd"/>
      <w:r>
        <w:t xml:space="preserve">, environmental research etc. As an integrated visualization method, </w:t>
      </w:r>
      <w:proofErr w:type="spellStart"/>
      <w:r>
        <w:t>MCnebula</w:t>
      </w:r>
      <w:proofErr w:type="spellEnd"/>
      <w:r>
        <w:t xml:space="preserve"> possibly be more popular with biologists or chemists. </w:t>
      </w:r>
      <w:proofErr w:type="spellStart"/>
      <w:r>
        <w:t>MCnebula</w:t>
      </w:r>
      <w:proofErr w:type="spellEnd"/>
      <w:r>
        <w:t xml:space="preserve"> has been proposed and implemented in the R language with package MCnebula2. In the future, its methods and application will be extensively expanded.</w:t>
      </w:r>
    </w:p>
    <w:p w14:paraId="3E0FA71B" w14:textId="77777777" w:rsidR="004740A5" w:rsidRDefault="00000000">
      <w:pPr>
        <w:pStyle w:val="1"/>
      </w:pPr>
      <w:bookmarkStart w:id="26" w:name="methods"/>
      <w:bookmarkEnd w:id="22"/>
      <w:r>
        <w:t>Methods</w:t>
      </w:r>
    </w:p>
    <w:p w14:paraId="798A8A80" w14:textId="77777777" w:rsidR="004740A5" w:rsidRDefault="00000000">
      <w:pPr>
        <w:pStyle w:val="2"/>
      </w:pPr>
      <w:bookmarkStart w:id="27" w:name="mcnebula2-algorithm"/>
      <w:r>
        <w:t>MCnebula2 algorithm</w:t>
      </w:r>
    </w:p>
    <w:p w14:paraId="52F04C95" w14:textId="77777777" w:rsidR="004740A5" w:rsidRDefault="00000000">
      <w:pPr>
        <w:pStyle w:val="FirstParagraph"/>
      </w:pPr>
      <w:r>
        <w:rPr>
          <w:b/>
          <w:bCs/>
        </w:rPr>
        <w:t>Overall consideration</w:t>
      </w:r>
      <w:r>
        <w:t xml:space="preserve"> We knew that the analysis of untargeted LC-MS/MS dataset generally begin with feature detection. It detected ‘peaks’ as features in MS</w:t>
      </w:r>
      <w:r>
        <w:rPr>
          <w:vertAlign w:val="superscript"/>
        </w:rPr>
        <w:t>1</w:t>
      </w:r>
      <w:r>
        <w:t xml:space="preserve"> (MASS level 1) data. Each feature may </w:t>
      </w:r>
      <w:proofErr w:type="gramStart"/>
      <w:r>
        <w:t>represents</w:t>
      </w:r>
      <w:proofErr w:type="gramEnd"/>
      <w:r>
        <w:t xml:space="preserve"> a compound, and assigned with MS</w:t>
      </w:r>
      <w:r>
        <w:rPr>
          <w:vertAlign w:val="superscript"/>
        </w:rPr>
        <w:t>2</w:t>
      </w:r>
      <w:r>
        <w:t xml:space="preserve"> (MASS level 2) spectra. The MS</w:t>
      </w:r>
      <w:r>
        <w:rPr>
          <w:vertAlign w:val="superscript"/>
        </w:rPr>
        <w:t>2</w:t>
      </w:r>
      <w:r>
        <w:t xml:space="preserve"> spectra was used to find out the compound identity. The difficulty lied in annotating these features to discover their compound identity, mining out meaningful information, so as to serve further biological research. In addition, the untargeted LC-MS/MS dataset was general a huge dataset, which leads to time-consuming analysis of the whole process. Herein, a classified visualization method, called MCnebula2, was used for addressing </w:t>
      </w:r>
      <w:proofErr w:type="gramStart"/>
      <w:r>
        <w:t>these difficulty</w:t>
      </w:r>
      <w:proofErr w:type="gramEnd"/>
      <w:r>
        <w:t>.</w:t>
      </w:r>
    </w:p>
    <w:p w14:paraId="67B6C22C" w14:textId="77777777" w:rsidR="004740A5" w:rsidRDefault="00000000">
      <w:pPr>
        <w:pStyle w:val="a0"/>
      </w:pPr>
      <w:r>
        <w:t>The MCnebula2 package itself did not contain any part of molecular formula prediction, structure prediction and chemical prediction of compounds, so the accuracy of these parts was not involved. Currently, MCnebula2 performed downstream analysis by extracting the prediction data from SIRIUS project. The core of MCnebula2 was its chemical classes filtering algorithm, called abundance-based classes (ABC) selection algorithm. To explain the ABC selection algorithm in details, we need to begin with MS/MS spectral analysis and identification of compounds.</w:t>
      </w:r>
    </w:p>
    <w:p w14:paraId="69440E37" w14:textId="77777777" w:rsidR="004740A5" w:rsidRDefault="00000000">
      <w:pPr>
        <w:pStyle w:val="a0"/>
      </w:pPr>
      <w:r>
        <w:rPr>
          <w:b/>
          <w:bCs/>
        </w:rPr>
        <w:lastRenderedPageBreak/>
        <w:t>Chemical structure and formula.</w:t>
      </w:r>
      <w:r>
        <w:t xml:space="preserve"> The analysis of MS/MS spectrum was a process of inference and prediction. For example, we speculated the composition of elements based on the molecular weight of MS</w:t>
      </w:r>
      <w:r>
        <w:rPr>
          <w:vertAlign w:val="superscript"/>
        </w:rPr>
        <w:t>1</w:t>
      </w:r>
      <w:r>
        <w:t>; combined with the possible fragmentation pattern of MS</w:t>
      </w:r>
      <w:r>
        <w:rPr>
          <w:vertAlign w:val="superscript"/>
        </w:rPr>
        <w:t>2</w:t>
      </w:r>
      <w:r>
        <w:t xml:space="preserve"> spectrum, we speculated the potential molecular formula of a compound; finally, we look for the exact compound from the compound structure database. Sometimes, this process is full of uncertainty, because there are too many factors that affect the reliability of MS/MS data and the correctness of inference. It can be assumed that there are complex candidates for the potential chemical molecular formula, chemical structure and chemical class behind MS/MS spectrum. Suppose we had these data of candidates now, MCnebula2 extracted these candidates and obtained the unique molecular formula and chemical structure for each MS/MS spectrum based on the highest score of chemical structure prediction; in this process, as most algorithms do, we make a choice based on the score, and only select the result of highest score.</w:t>
      </w:r>
    </w:p>
    <w:p w14:paraId="72E233F6" w14:textId="77777777" w:rsidR="004740A5" w:rsidRDefault="00000000">
      <w:pPr>
        <w:pStyle w:val="a0"/>
      </w:pPr>
      <w:r>
        <w:rPr>
          <w:b/>
          <w:bCs/>
        </w:rPr>
        <w:t>Establish reference upon top candidate</w:t>
      </w:r>
      <w:r>
        <w:t xml:space="preserve"> We predicted a potential compound represented by LC-MS/MS spectrum, and obtained the candidates of chemical molecular formula, structure and chemical class. These candidates include both positive and negative results: for chemical molecular formula and chemical structure, the positive prediction was unique; for chemical class, multiple positive predictions that belong to various classification were involved. We did not know the exact negative and positive. Normally, we ranked and filtered these according to the scores. There were numerous scores, for isotopes, for mass error, for structural similarity, for chemical classes… Which score selected to rank candidates depends on the purpose of research. Such as:</w:t>
      </w:r>
    </w:p>
    <w:p w14:paraId="6AF0585B" w14:textId="77777777" w:rsidR="004740A5" w:rsidRDefault="00000000">
      <w:pPr>
        <w:numPr>
          <w:ilvl w:val="0"/>
          <w:numId w:val="3"/>
        </w:numPr>
      </w:pPr>
      <w:r>
        <w:t>To find out the chemical structure mostly be positive, ranking the candidates by structural score.</w:t>
      </w:r>
    </w:p>
    <w:p w14:paraId="217A7BCB" w14:textId="77777777" w:rsidR="004740A5" w:rsidRDefault="00000000">
      <w:pPr>
        <w:numPr>
          <w:ilvl w:val="0"/>
          <w:numId w:val="3"/>
        </w:numPr>
      </w:pPr>
      <w:r>
        <w:t xml:space="preserve">To determine whether the potential compound may be of a </w:t>
      </w:r>
      <w:proofErr w:type="gramStart"/>
      <w:r>
        <w:t>certain chemical classes</w:t>
      </w:r>
      <w:proofErr w:type="gramEnd"/>
      <w:r>
        <w:t>, ranking the candidates by the classified score.</w:t>
      </w:r>
    </w:p>
    <w:p w14:paraId="72EBE167" w14:textId="77777777" w:rsidR="004740A5" w:rsidRDefault="00000000">
      <w:pPr>
        <w:pStyle w:val="FirstParagraph"/>
      </w:pPr>
      <w:r>
        <w:t>Ether by functions in MCnebula2 of ‘</w:t>
      </w:r>
      <w:proofErr w:type="spellStart"/>
      <w:r>
        <w:t>filter_</w:t>
      </w:r>
      <w:proofErr w:type="gramStart"/>
      <w:r>
        <w:t>formula</w:t>
      </w:r>
      <w:proofErr w:type="spellEnd"/>
      <w:r>
        <w:t>(</w:t>
      </w:r>
      <w:proofErr w:type="gramEnd"/>
      <w:r>
        <w:t>)’, ‘</w:t>
      </w:r>
      <w:proofErr w:type="spellStart"/>
      <w:r>
        <w:t>filter_structure</w:t>
      </w:r>
      <w:proofErr w:type="spellEnd"/>
      <w:r>
        <w:t>()’ or ‘</w:t>
      </w:r>
      <w:proofErr w:type="spellStart"/>
      <w:r>
        <w:t>filter_ppcp</w:t>
      </w:r>
      <w:proofErr w:type="spellEnd"/>
      <w:r>
        <w:t xml:space="preserve">()’, the candidate with top score can be obtained. However, for the three </w:t>
      </w:r>
      <w:proofErr w:type="gramStart"/>
      <w:r>
        <w:t>module</w:t>
      </w:r>
      <w:proofErr w:type="gramEnd"/>
      <w:r>
        <w:t xml:space="preserve"> (formula, structure, classes), sometimes their top score candidates were not in line with each other. That was, their top score towards different chemical molecular formulas. To find out the corresponding data in other modules, ‘</w:t>
      </w:r>
      <w:proofErr w:type="spellStart"/>
      <w:r>
        <w:t>create_</w:t>
      </w:r>
      <w:proofErr w:type="gramStart"/>
      <w:r>
        <w:t>reference</w:t>
      </w:r>
      <w:proofErr w:type="spellEnd"/>
      <w:r>
        <w:t>(</w:t>
      </w:r>
      <w:proofErr w:type="gramEnd"/>
      <w:r>
        <w:t>)’ should be performed to establish the ‘specific candidate’ as reference for subsequent data integrating.</w:t>
      </w:r>
    </w:p>
    <w:p w14:paraId="5E331145" w14:textId="77777777" w:rsidR="004740A5" w:rsidRDefault="00000000">
      <w:pPr>
        <w:pStyle w:val="a0"/>
      </w:pPr>
      <w:r>
        <w:t>Above, we talked about chemical molecular formula, chemical structural formula and chemical classes. We obtained the unique chemical molecular formula and chemical structure formula for reference by scoring and ranking. But for chemical classes, we can’t adopt such a simple way to get things done.</w:t>
      </w:r>
    </w:p>
    <w:p w14:paraId="682A70C9" w14:textId="77777777" w:rsidR="004740A5" w:rsidRDefault="00000000">
      <w:pPr>
        <w:pStyle w:val="a0"/>
      </w:pPr>
      <w:r>
        <w:rPr>
          <w:b/>
          <w:bCs/>
        </w:rPr>
        <w:t>Chemical classification.</w:t>
      </w:r>
      <w:r>
        <w:t xml:space="preserve"> Chemical classification is a complex system. Here, we only discuss the </w:t>
      </w:r>
      <w:proofErr w:type="gramStart"/>
      <w:r>
        <w:t>structure based</w:t>
      </w:r>
      <w:proofErr w:type="gramEnd"/>
      <w:r>
        <w:t xml:space="preserve"> chemo taxonomy system</w:t>
      </w:r>
      <w:hyperlink w:anchor="ref-2016">
        <w:r>
          <w:rPr>
            <w:rStyle w:val="aff"/>
            <w:vertAlign w:val="superscript"/>
          </w:rPr>
          <w:t>39</w:t>
        </w:r>
      </w:hyperlink>
      <w:r>
        <w:t>, because the MS/MS spectrum is more indicative of the structure of compounds than biological activity and other information.</w:t>
      </w:r>
    </w:p>
    <w:p w14:paraId="3F35BE5D" w14:textId="77777777" w:rsidR="004740A5" w:rsidRDefault="00000000">
      <w:pPr>
        <w:pStyle w:val="a0"/>
      </w:pPr>
      <w:r>
        <w:t>According to the division of the overall structure and local structure of compounds, we can call the structural characteristics as the dominant structure and substructure</w:t>
      </w:r>
      <w:hyperlink w:anchor="ref-2016">
        <w:r>
          <w:rPr>
            <w:rStyle w:val="aff"/>
            <w:vertAlign w:val="superscript"/>
          </w:rPr>
          <w:t>39</w:t>
        </w:r>
      </w:hyperlink>
      <w:r>
        <w:t xml:space="preserve">. Correspondingly, in the chemical classification system, we can not only classify according to the dominant structure, but also classify according to the substructure. The chemical classification based on the dominant structure of compounds is easy to understand, because we generally define it in this way. For example, we will classify Taxifolin as ‘flavones’, not ‘phenols’, although its local structure has a substructure of ‘phenol’. We hope to classify a compound by its dominant </w:t>
      </w:r>
      <w:r>
        <w:lastRenderedPageBreak/>
        <w:t>structure rather than substructure, because such classify is more concise and contains more information. However, in the process of MS/MS spectral analysis, we sometimes can only make chemical classification based on the substructure of compounds, which may be due to: uncertainty in the process of structural analysis; it may be an unknown compound; MS/MS spectral fragment information is insufficient. In this case, it was necessary for us to classify the compounds with the aid of substructure information, otherwise we had no knowledge of the compounds for which we cannot obtain dominant structure information.</w:t>
      </w:r>
    </w:p>
    <w:p w14:paraId="0BD4CC7B" w14:textId="77777777" w:rsidR="004740A5" w:rsidRDefault="00000000">
      <w:pPr>
        <w:pStyle w:val="a0"/>
      </w:pPr>
      <w:r>
        <w:t>We should also be clear about the complexity of another aspect of chemo taxonomy, i.e., the hierarchy of classification. This was easy to understand. For example, ‘Flavones’ belongs to its superior, ‘Flavonoids’; its next higher level, ‘</w:t>
      </w:r>
      <w:proofErr w:type="spellStart"/>
      <w:r>
        <w:t>Phynylpropanoids</w:t>
      </w:r>
      <w:proofErr w:type="spellEnd"/>
      <w:r>
        <w:t xml:space="preserve"> and polyketides’; the further upward classification is ‘organic compounds’.</w:t>
      </w:r>
    </w:p>
    <w:p w14:paraId="7DB5443A" w14:textId="77777777" w:rsidR="004740A5" w:rsidRDefault="00000000">
      <w:pPr>
        <w:pStyle w:val="a0"/>
      </w:pPr>
      <w:r>
        <w:rPr>
          <w:b/>
          <w:bCs/>
        </w:rPr>
        <w:t>ABC selection.</w:t>
      </w:r>
      <w:r>
        <w:t xml:space="preserve"> The above section discusses the inferential prediction of individual MS/MS spectrum. In the untargeted LC-MS/MS dataset, each feature has a corresponding MS/MS spectrum, and there are thousands of features in total. The ABC selection algorithm regards all features as a whole, examined the number and abundance of features of each chemical classification (classification at different levels, classification of substructure and dominant structure), and then selected representative classes (mainly screening the classes according to the number or abundance range of features) to serve the subsequent analysis (</w:t>
      </w:r>
      <w:commentRangeStart w:id="28"/>
      <w:r>
        <w:t>Fig. 6</w:t>
      </w:r>
      <w:commentRangeEnd w:id="28"/>
      <w:r w:rsidR="00037FBF">
        <w:rPr>
          <w:rStyle w:val="aff1"/>
          <w:rFonts w:asciiTheme="minorHAnsi" w:eastAsiaTheme="minorEastAsia" w:hAnsiTheme="minorHAnsi" w:cstheme="minorBidi"/>
        </w:rPr>
        <w:commentReference w:id="28"/>
      </w:r>
      <w:r>
        <w:t>).</w:t>
      </w:r>
    </w:p>
    <w:p w14:paraId="2E075218" w14:textId="77777777" w:rsidR="004740A5" w:rsidRDefault="00000000">
      <w:pPr>
        <w:numPr>
          <w:ilvl w:val="0"/>
          <w:numId w:val="4"/>
        </w:numPr>
      </w:pPr>
      <w:r>
        <w:t>Create Stardust Classes (Inner filter). The posterior probability of classification prediction (PPCP) data belonged to each ‘feature’. When performing the filtering, only simple threshold conditions or absolute conditions were set to filter the chemical classes; there was no crossover between the different attributes and no crossover between the ‘</w:t>
      </w:r>
      <w:proofErr w:type="gramStart"/>
      <w:r>
        <w:t>features’</w:t>
      </w:r>
      <w:proofErr w:type="gramEnd"/>
      <w:r>
        <w:t>. Therefore, we considered this as ‘inner’ filtering.</w:t>
      </w:r>
    </w:p>
    <w:p w14:paraId="69E52148" w14:textId="77777777" w:rsidR="004740A5" w:rsidRDefault="00000000">
      <w:pPr>
        <w:numPr>
          <w:ilvl w:val="0"/>
          <w:numId w:val="4"/>
        </w:numPr>
      </w:pPr>
      <w:r>
        <w:t xml:space="preserve">Cross filter Stardust Classes. The data of the chemical classes and their classified ‘features’, </w:t>
      </w:r>
      <w:proofErr w:type="gramStart"/>
      <w:r>
        <w:t>i.e.</w:t>
      </w:r>
      <w:proofErr w:type="gramEnd"/>
      <w:r>
        <w:t xml:space="preserve"> Stardust Classes data, were combined and then grouped upon the chemical classes. After grouping, each chemical class had a certain quantity of ‘</w:t>
      </w:r>
      <w:proofErr w:type="gramStart"/>
      <w:r>
        <w:t>features’</w:t>
      </w:r>
      <w:proofErr w:type="gramEnd"/>
      <w:r>
        <w:t>. When filtering, statistics may be performed on ‘features’ data within a group; statistics may be performed on these data in conjunction with ‘features annotation’ data; and statistics may be performed to compare groups with each other. As its crossover of attributes for filtering, we consider this as ‘cross’ filtering. (See details in next subsection about Cross filter Stardust Classes.)</w:t>
      </w:r>
    </w:p>
    <w:p w14:paraId="163ABAB3" w14:textId="77777777" w:rsidR="004740A5" w:rsidRDefault="00000000">
      <w:pPr>
        <w:pStyle w:val="FirstParagraph"/>
      </w:pPr>
      <w:r>
        <w:t>Whether it is all filtered by the algorithm provided by MCnebula2 function or custom filtered for some chemical classes, we now have a data called Nebula-Index. This data records a number of chemical classes and the ‘features’ attributed to them. The subsequent analysis process or visualization will be based on it. Each chemical class is considered as a ‘nebula’ and its classified ‘features’ are the components of these ‘nebulae’. In the visualization, these ‘nebulae’ will be visualized as networks. Formally, we call these ‘nebulae’ formed on the basis of Nebula-Index data as Child-Nebulae. In comparison, when we put all the ‘features’ together to form a large network, then this ‘nebula’ is called Parent-Nebula.</w:t>
      </w:r>
    </w:p>
    <w:p w14:paraId="66191BF3" w14:textId="77777777" w:rsidR="004740A5" w:rsidRDefault="00000000">
      <w:pPr>
        <w:pStyle w:val="a0"/>
      </w:pPr>
      <w:r>
        <w:rPr>
          <w:b/>
          <w:bCs/>
        </w:rPr>
        <w:t>Details of Cross filter Stardust Classes</w:t>
      </w:r>
      <w:r>
        <w:t xml:space="preserve">. This method </w:t>
      </w:r>
      <w:proofErr w:type="gramStart"/>
      <w:r>
        <w:t>were</w:t>
      </w:r>
      <w:proofErr w:type="gramEnd"/>
      <w:r>
        <w:t xml:space="preserve"> integration of the following three module (Fig. 6):</w:t>
      </w:r>
    </w:p>
    <w:p w14:paraId="6C521895" w14:textId="77777777" w:rsidR="004740A5" w:rsidRDefault="00000000">
      <w:pPr>
        <w:pStyle w:val="a0"/>
      </w:pPr>
      <w:r>
        <w:rPr>
          <w:i/>
          <w:iCs/>
        </w:rPr>
        <w:t>Cross filter by ‘quantity’</w:t>
      </w:r>
      <w:r>
        <w:t xml:space="preserve">. Set ‘features’ quantity limitation for each group (each group, </w:t>
      </w:r>
      <w:proofErr w:type="gramStart"/>
      <w:r>
        <w:t>i.e.</w:t>
      </w:r>
      <w:proofErr w:type="gramEnd"/>
      <w:r>
        <w:t> a chemical class with its classified ‘features’). The groups with too many ‘features’ or too few ‘features’ would be filtered out. This means the chemical class would be filtered out. These thresholds are about:</w:t>
      </w:r>
    </w:p>
    <w:p w14:paraId="24860E22" w14:textId="77777777" w:rsidR="004740A5" w:rsidRDefault="00000000">
      <w:pPr>
        <w:pStyle w:val="Compact"/>
        <w:numPr>
          <w:ilvl w:val="0"/>
          <w:numId w:val="5"/>
        </w:numPr>
      </w:pPr>
      <w:r>
        <w:lastRenderedPageBreak/>
        <w:t>Minimum quantity: the ‘features’ within the group.</w:t>
      </w:r>
    </w:p>
    <w:p w14:paraId="45D8E786" w14:textId="77777777" w:rsidR="004740A5" w:rsidRDefault="00000000">
      <w:pPr>
        <w:pStyle w:val="Compact"/>
        <w:numPr>
          <w:ilvl w:val="0"/>
          <w:numId w:val="5"/>
        </w:numPr>
      </w:pPr>
      <w:r>
        <w:t>Maximum proportion: the ‘features’ quantity within the group versus all ‘features’ (unique) quantity of all groups.</w:t>
      </w:r>
    </w:p>
    <w:p w14:paraId="2D36C9DC" w14:textId="77777777" w:rsidR="004740A5" w:rsidRDefault="00000000">
      <w:pPr>
        <w:pStyle w:val="FirstParagraph"/>
      </w:pPr>
      <w:r>
        <w:t>The purpose of this step is to filter out chemical classes that have too large or too subtle a conceptual scope. For example, ‘Organic compounds’, which covers almost all compounds that can be detected in metabolomics data, is too large in scope to be of any help to our biological research. The setting of parameters is not absolute, and there is no optimal solution. Users can draw up thresholds according to the necessity of the study.</w:t>
      </w:r>
    </w:p>
    <w:p w14:paraId="29EAD005" w14:textId="77777777" w:rsidR="004740A5" w:rsidRDefault="00000000">
      <w:pPr>
        <w:pStyle w:val="a0"/>
      </w:pPr>
      <w:r>
        <w:rPr>
          <w:i/>
          <w:iCs/>
        </w:rPr>
        <w:t>Cross filter by ‘score’</w:t>
      </w:r>
      <w:r>
        <w:t>. This step associate Stardust Classes data with ‘features’ annotation data. For each group, the Goodness assessment is performed for each target attribute (continuous attribute, generally be a scoring attribute of compound identification, such as ‘</w:t>
      </w:r>
      <w:proofErr w:type="spellStart"/>
      <w:r>
        <w:t>Tanimoto</w:t>
      </w:r>
      <w:proofErr w:type="spellEnd"/>
      <w:r>
        <w:t xml:space="preserve"> similarity’). If the group met all the expected Goodness, the chemical class would be retained; otherwise, the chemical class would be filtered out. The Goodness (</w:t>
      </w:r>
      <m:oMath>
        <m:r>
          <w:rPr>
            <w:rFonts w:ascii="Cambria Math" w:hAnsi="Cambria Math"/>
          </w:rPr>
          <m:t>G</m:t>
        </m:r>
      </m:oMath>
      <w:r>
        <w:t>) related with the ‘features’ within the group:</w:t>
      </w:r>
    </w:p>
    <w:p w14:paraId="303B1427" w14:textId="77777777" w:rsidR="004740A5" w:rsidRDefault="00000000">
      <w:pPr>
        <w:numPr>
          <w:ilvl w:val="0"/>
          <w:numId w:val="6"/>
        </w:numPr>
      </w:pPr>
      <m:oMath>
        <m:r>
          <w:rPr>
            <w:rFonts w:ascii="Cambria Math" w:hAnsi="Cambria Math"/>
          </w:rPr>
          <m:t>n</m:t>
        </m:r>
      </m:oMath>
      <w:r>
        <w:t>: the quantity of ‘features’ of which target attributes satisfied with the cut-off.</w:t>
      </w:r>
    </w:p>
    <w:p w14:paraId="6580E8D1" w14:textId="77777777" w:rsidR="004740A5" w:rsidRDefault="00000000">
      <w:pPr>
        <w:numPr>
          <w:ilvl w:val="0"/>
          <w:numId w:val="6"/>
        </w:numPr>
      </w:pPr>
      <m:oMath>
        <m:r>
          <w:rPr>
            <w:rFonts w:ascii="Cambria Math" w:hAnsi="Cambria Math"/>
          </w:rPr>
          <m:t>N</m:t>
        </m:r>
      </m:oMath>
      <w:r>
        <w:t>: the quantity of all ‘</w:t>
      </w:r>
      <w:proofErr w:type="gramStart"/>
      <w:r>
        <w:t>features’</w:t>
      </w:r>
      <w:proofErr w:type="gramEnd"/>
      <w:r>
        <w:t>.</w:t>
      </w:r>
    </w:p>
    <w:p w14:paraId="1D70932A" w14:textId="77777777" w:rsidR="004740A5" w:rsidRDefault="00000000">
      <w:pPr>
        <w:pStyle w:val="FirstParagraph"/>
      </w:pPr>
      <w:r>
        <w:t xml:space="preserve">The Goodness: </w:t>
      </w:r>
      <m:oMath>
        <m:r>
          <w:rPr>
            <w:rFonts w:ascii="Cambria Math" w:hAnsi="Cambria Math"/>
          </w:rPr>
          <m:t>G</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N</m:t>
        </m:r>
      </m:oMath>
      <w:r>
        <w:t>.</w:t>
      </w:r>
    </w:p>
    <w:p w14:paraId="02CA61B1" w14:textId="77777777" w:rsidR="004740A5" w:rsidRDefault="00000000">
      <w:pPr>
        <w:pStyle w:val="a0"/>
      </w:pPr>
      <w:r>
        <w:t>The assessment of Goodness is related to the parameters of ‘tolerance’ and ‘cutoff’:</w:t>
      </w:r>
    </w:p>
    <w:p w14:paraId="291275F4" w14:textId="77777777" w:rsidR="004740A5" w:rsidRDefault="00000000">
      <w:pPr>
        <w:pStyle w:val="Compact"/>
        <w:numPr>
          <w:ilvl w:val="0"/>
          <w:numId w:val="7"/>
        </w:numPr>
      </w:pPr>
      <w:r>
        <w:t xml:space="preserve">Expected Goodness, </w:t>
      </w:r>
      <w:proofErr w:type="gramStart"/>
      <w:r>
        <w:t>i.e.</w:t>
      </w:r>
      <w:proofErr w:type="gramEnd"/>
      <w:r>
        <w:t> value of ‘tolerance’.</w:t>
      </w:r>
    </w:p>
    <w:p w14:paraId="4443E364" w14:textId="77777777" w:rsidR="004740A5" w:rsidRDefault="00000000">
      <w:pPr>
        <w:pStyle w:val="Compact"/>
        <w:numPr>
          <w:ilvl w:val="0"/>
          <w:numId w:val="7"/>
        </w:numPr>
      </w:pPr>
      <w:r>
        <w:t xml:space="preserve">Actual Goodness, related to parameter ‘cutoff’. </w:t>
      </w:r>
      <m:oMath>
        <m:r>
          <w:rPr>
            <w:rFonts w:ascii="Cambria Math" w:hAnsi="Cambria Math"/>
          </w:rPr>
          <m:t>G</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N</m:t>
        </m:r>
      </m:oMath>
      <w:r>
        <w:t>.</w:t>
      </w:r>
    </w:p>
    <w:p w14:paraId="7B774453" w14:textId="77777777" w:rsidR="004740A5" w:rsidRDefault="00000000">
      <w:pPr>
        <w:pStyle w:val="FirstParagraph"/>
      </w:pPr>
      <w:r>
        <w:t>Goodness assessment can be given to plural target attributes. Note that the chemical class would retained only if it passed the Goodness assessment of all target attributes. The main purpose of this step is to filter out those chemical classes with too many ‘features’ of low structural identification.</w:t>
      </w:r>
    </w:p>
    <w:p w14:paraId="29850B8E" w14:textId="77777777" w:rsidR="004740A5" w:rsidRDefault="00000000">
      <w:pPr>
        <w:pStyle w:val="a0"/>
      </w:pPr>
      <w:r>
        <w:rPr>
          <w:i/>
          <w:iCs/>
        </w:rPr>
        <w:t>Cross filter by ‘identical’</w:t>
      </w:r>
      <w:r>
        <w:t>. A similarity assessment of chemical classes. Set a hierarchical range for chemical classification and let groups within this range be compared for similarity to each other. For two groups, if the classified ‘features’ almost identical to each other, the chemical class represented by one of the groups would be discarded. The assessment of identical degree of two groups (A and B):</w:t>
      </w:r>
    </w:p>
    <w:p w14:paraId="70191389" w14:textId="77777777" w:rsidR="004740A5" w:rsidRDefault="00000000">
      <w:pPr>
        <w:pStyle w:val="Compact"/>
        <w:numPr>
          <w:ilvl w:val="0"/>
          <w:numId w:val="8"/>
        </w:numPr>
      </w:pPr>
      <m:oMath>
        <m:r>
          <w:rPr>
            <w:rFonts w:ascii="Cambria Math" w:hAnsi="Cambria Math"/>
          </w:rPr>
          <m:t>x</m:t>
        </m:r>
      </m:oMath>
      <w:r>
        <w:t>: ratio of the classified ‘features’ of A belonging to B</w:t>
      </w:r>
    </w:p>
    <w:p w14:paraId="0D0F5D84" w14:textId="77777777" w:rsidR="004740A5" w:rsidRDefault="00000000">
      <w:pPr>
        <w:pStyle w:val="Compact"/>
        <w:numPr>
          <w:ilvl w:val="0"/>
          <w:numId w:val="8"/>
        </w:numPr>
      </w:pPr>
      <m:oMath>
        <m:r>
          <w:rPr>
            <w:rFonts w:ascii="Cambria Math" w:hAnsi="Cambria Math"/>
          </w:rPr>
          <m:t>y</m:t>
        </m:r>
      </m:oMath>
      <w:r>
        <w:t>: ratio of the classified ‘features’ of B belonging to A</w:t>
      </w:r>
    </w:p>
    <w:p w14:paraId="2183566A" w14:textId="77777777" w:rsidR="004740A5" w:rsidRDefault="00000000">
      <w:pPr>
        <w:pStyle w:val="Compact"/>
        <w:numPr>
          <w:ilvl w:val="0"/>
          <w:numId w:val="8"/>
        </w:numPr>
      </w:pPr>
      <m:oMath>
        <m:r>
          <w:rPr>
            <w:rFonts w:ascii="Cambria Math" w:hAnsi="Cambria Math"/>
          </w:rPr>
          <m:t>i</m:t>
        </m:r>
      </m:oMath>
      <w:r>
        <w:t>: value of parameter ‘</w:t>
      </w:r>
      <w:proofErr w:type="spellStart"/>
      <w:r>
        <w:t>identical_factor</w:t>
      </w:r>
      <w:proofErr w:type="spellEnd"/>
      <w:r>
        <w:t>’</w:t>
      </w:r>
    </w:p>
    <w:p w14:paraId="4696E298" w14:textId="77777777" w:rsidR="004740A5" w:rsidRDefault="00000000">
      <w:pPr>
        <w:pStyle w:val="FirstParagraph"/>
      </w:pPr>
      <w:r>
        <w:t xml:space="preserve">If </w:t>
      </w:r>
      <m:oMath>
        <m:r>
          <w:rPr>
            <w:rFonts w:ascii="Cambria Math" w:hAnsi="Cambria Math"/>
          </w:rPr>
          <m:t>x</m:t>
        </m:r>
        <m:r>
          <m:rPr>
            <m:sty m:val="p"/>
          </m:rPr>
          <w:rPr>
            <w:rFonts w:ascii="Cambria Math" w:hAnsi="Cambria Math"/>
          </w:rPr>
          <m:t>&gt;</m:t>
        </m:r>
        <m:r>
          <w:rPr>
            <w:rFonts w:ascii="Cambria Math" w:hAnsi="Cambria Math"/>
          </w:rPr>
          <m:t>i</m:t>
        </m:r>
      </m:oMath>
      <w:r>
        <w:t xml:space="preserve"> and </w:t>
      </w:r>
      <m:oMath>
        <m:r>
          <w:rPr>
            <w:rFonts w:ascii="Cambria Math" w:hAnsi="Cambria Math"/>
          </w:rPr>
          <m:t>y</m:t>
        </m:r>
        <m:r>
          <m:rPr>
            <m:sty m:val="p"/>
          </m:rPr>
          <w:rPr>
            <w:rFonts w:ascii="Cambria Math" w:hAnsi="Cambria Math"/>
          </w:rPr>
          <m:t>&gt;</m:t>
        </m:r>
        <m:r>
          <w:rPr>
            <w:rFonts w:ascii="Cambria Math" w:hAnsi="Cambria Math"/>
          </w:rPr>
          <m:t>i</m:t>
        </m:r>
      </m:oMath>
      <w:r>
        <w:t xml:space="preserve">, the two groups would be considered as identical. Then the group with fewer ‘features’ would be discarded. The purpose of this step is to filter out classes that may incorporate each other and are similar in scope. The </w:t>
      </w:r>
      <w:r>
        <w:rPr>
          <w:i/>
          <w:iCs/>
        </w:rPr>
        <w:t>in silico</w:t>
      </w:r>
      <w:r>
        <w:t xml:space="preserve"> </w:t>
      </w:r>
      <w:proofErr w:type="spellStart"/>
      <w:r>
        <w:t>prediection</w:t>
      </w:r>
      <w:proofErr w:type="spellEnd"/>
      <w:r>
        <w:t xml:space="preserve"> approach may not be able to distinguish which class the potential compound belongs to from the LC-MS/MS spectra.</w:t>
      </w:r>
    </w:p>
    <w:p w14:paraId="257FC301" w14:textId="77777777" w:rsidR="004740A5" w:rsidRDefault="00000000">
      <w:pPr>
        <w:pStyle w:val="a0"/>
      </w:pPr>
      <w:r>
        <w:rPr>
          <w:b/>
          <w:bCs/>
        </w:rPr>
        <w:t>Network graph presentation</w:t>
      </w:r>
      <w:r>
        <w:t xml:space="preserve"> </w:t>
      </w:r>
      <w:proofErr w:type="gramStart"/>
      <w:r>
        <w:t>As</w:t>
      </w:r>
      <w:proofErr w:type="gramEnd"/>
      <w:r>
        <w:t xml:space="preserve"> mentioned above, ‘features’ and their annotations were integrated as Nebulae according to the Nebula-Index. These Nebulae were network-type graph data. The ‘features’ annotation data contains top candidate of chemical formula and structure (obtained with the MCnebula2 function ’filter_*</w:t>
      </w:r>
      <w:proofErr w:type="gramStart"/>
      <w:r>
        <w:t>()‘</w:t>
      </w:r>
      <w:proofErr w:type="gramEnd"/>
      <w:r>
        <w:t>). The MS/MS spectral similarity (</w:t>
      </w:r>
      <w:proofErr w:type="spellStart"/>
      <w:r>
        <w:t>dotproduct</w:t>
      </w:r>
      <w:proofErr w:type="spellEnd"/>
      <w:r>
        <w:t>) of the ’features’ was calculated and used to form the edge data for the network graph.</w:t>
      </w:r>
    </w:p>
    <w:p w14:paraId="3168B26A" w14:textId="77777777" w:rsidR="004740A5" w:rsidRDefault="00000000">
      <w:pPr>
        <w:pStyle w:val="a0"/>
      </w:pPr>
      <w:r>
        <w:rPr>
          <w:b/>
          <w:bCs/>
        </w:rPr>
        <w:lastRenderedPageBreak/>
        <w:t>Visualization system</w:t>
      </w:r>
      <w:r>
        <w:t xml:space="preserve"> MCnebula2 used a number of existing R packages to integrate and reformat data</w:t>
      </w:r>
      <w:hyperlink w:anchor="ref-2021z">
        <w:r>
          <w:rPr>
            <w:rStyle w:val="aff"/>
            <w:vertAlign w:val="superscript"/>
          </w:rPr>
          <w:t>85</w:t>
        </w:r>
      </w:hyperlink>
      <w:r>
        <w:rPr>
          <w:vertAlign w:val="superscript"/>
        </w:rPr>
        <w:t>–</w:t>
      </w:r>
      <w:hyperlink w:anchor="ref-2020u">
        <w:r>
          <w:rPr>
            <w:rStyle w:val="aff"/>
            <w:vertAlign w:val="superscript"/>
          </w:rPr>
          <w:t>92</w:t>
        </w:r>
      </w:hyperlink>
      <w:r>
        <w:t>. In particular, the network graph data was equipped with ‘ggplot2’ package for visualization. The ggplot2 package is known for its elaborate and aesthetic mapping characteristics. We designed the ‘</w:t>
      </w:r>
      <w:proofErr w:type="spellStart"/>
      <w:r>
        <w:t>ggset</w:t>
      </w:r>
      <w:proofErr w:type="spellEnd"/>
      <w:r>
        <w:t>’ data class to store pre-defined ggplot2 plotting functions and parameters for visualizing Nebulae. This allows users to completely customize the visualization to suit their needs or the needs of the publisher. Its flexibility depends on the user’s knowledge of the ‘ggplot2’ package. If users were not experienced in ‘ggplot2’, then just follow the preset to visualization.</w:t>
      </w:r>
    </w:p>
    <w:p w14:paraId="18915710" w14:textId="77777777" w:rsidR="004740A5" w:rsidRDefault="00000000">
      <w:pPr>
        <w:pStyle w:val="a0"/>
      </w:pPr>
      <w:r>
        <w:rPr>
          <w:b/>
          <w:bCs/>
        </w:rPr>
        <w:t>Data structure</w:t>
      </w:r>
      <w:r>
        <w:t xml:space="preserve"> MCnebula2 was written mainly in R S4 system of object-oriented programming. When analyzing data with MCnebula2, all data (whether ‘features’ annotation data or visualization data) was stored in a one object (class ‘</w:t>
      </w:r>
      <w:proofErr w:type="spellStart"/>
      <w:r>
        <w:t>mcnebula</w:t>
      </w:r>
      <w:proofErr w:type="spellEnd"/>
      <w:r>
        <w:t>’). This reduced the difficulty of using the MCnebula2 package, and made the data easy to manage and the analysis easy to repeat.</w:t>
      </w:r>
    </w:p>
    <w:p w14:paraId="1AC5D064" w14:textId="77777777" w:rsidR="004740A5" w:rsidRDefault="00000000">
      <w:pPr>
        <w:pStyle w:val="a0"/>
      </w:pPr>
      <w:r>
        <w:rPr>
          <w:b/>
          <w:bCs/>
        </w:rPr>
        <w:t>Report system</w:t>
      </w:r>
      <w:r>
        <w:t xml:space="preserve"> MCnebula2 integrated a reporting system that allows the analysis process to be output as a PDF document or in other formats. The reporting system was based on the data class ‘report’, which could </w:t>
      </w:r>
      <w:proofErr w:type="gramStart"/>
      <w:r>
        <w:t>stores</w:t>
      </w:r>
      <w:proofErr w:type="gramEnd"/>
      <w:r>
        <w:t xml:space="preserve"> each step of the analysis as a section and could be flexibly modified according to the user’s needs. In addition, the reporting system can be used to generate reports even if the analysis is completely irrelevant to MCnebula2 package. The reporting system was associated with the ‘</w:t>
      </w:r>
      <w:proofErr w:type="spellStart"/>
      <w:r>
        <w:t>rmarkdown</w:t>
      </w:r>
      <w:proofErr w:type="spellEnd"/>
      <w:r>
        <w:t>’ R package</w:t>
      </w:r>
      <w:hyperlink w:anchor="ref-allaire_rmarkdown_2022">
        <w:r>
          <w:rPr>
            <w:rStyle w:val="aff"/>
            <w:vertAlign w:val="superscript"/>
          </w:rPr>
          <w:t>93</w:t>
        </w:r>
      </w:hyperlink>
      <w:r>
        <w:rPr>
          <w:vertAlign w:val="superscript"/>
        </w:rPr>
        <w:t>–</w:t>
      </w:r>
      <w:hyperlink w:anchor="ref-xie_r_2018">
        <w:r>
          <w:rPr>
            <w:rStyle w:val="aff"/>
            <w:vertAlign w:val="superscript"/>
          </w:rPr>
          <w:t>95</w:t>
        </w:r>
      </w:hyperlink>
      <w:r>
        <w:t>.</w:t>
      </w:r>
    </w:p>
    <w:p w14:paraId="31D83C0F" w14:textId="77777777" w:rsidR="004740A5" w:rsidRDefault="00000000">
      <w:pPr>
        <w:pStyle w:val="a0"/>
      </w:pPr>
      <w:r>
        <w:rPr>
          <w:b/>
          <w:bCs/>
        </w:rPr>
        <w:t>Code Compatibility</w:t>
      </w:r>
      <w:r>
        <w:t xml:space="preserve"> MCnebula2 performs downstream analysis by extracting the data from the already computed SIRIUS project. The SIRIUS project is the main source of data for MCnebula2 2. The SIRIUS software is still being updated and improved. In fact, from SIRIUS version 4 to version 5 (</w:t>
      </w:r>
      <w:hyperlink r:id="rId13">
        <w:r>
          <w:rPr>
            <w:rStyle w:val="aff"/>
          </w:rPr>
          <w:t>https://github.com/boecker-lab/sirius</w:t>
        </w:r>
      </w:hyperlink>
      <w:r>
        <w:t>), the data structure and attributes name in the project directory have changed. In order that the functionality of MCnebula2 is not invalidated due to versioning issues, its application program interface (API) for the SIRIUS project has been designed to be flexible. MCnebula2 is able to perform data extraction for different SIRIUS versions.</w:t>
      </w:r>
    </w:p>
    <w:p w14:paraId="4F84D9F9" w14:textId="77777777" w:rsidR="004740A5" w:rsidRDefault="00000000">
      <w:pPr>
        <w:pStyle w:val="2"/>
      </w:pPr>
      <w:bookmarkStart w:id="29" w:name="serum-dataset"/>
      <w:bookmarkEnd w:id="27"/>
      <w:r>
        <w:t>Serum dataset</w:t>
      </w:r>
    </w:p>
    <w:p w14:paraId="36AB0D15" w14:textId="77777777" w:rsidR="004740A5" w:rsidRDefault="00000000">
      <w:pPr>
        <w:pStyle w:val="FirstParagraph"/>
      </w:pPr>
      <w:r>
        <w:t>   We re-analyzed 245 LC-MS/MS data (.</w:t>
      </w:r>
      <w:proofErr w:type="spellStart"/>
      <w:r>
        <w:t>mzML</w:t>
      </w:r>
      <w:proofErr w:type="spellEnd"/>
      <w:r>
        <w:t xml:space="preserve">) from MASSIVE (id no. </w:t>
      </w:r>
      <w:hyperlink r:id="rId14">
        <w:r>
          <w:rPr>
            <w:rStyle w:val="aff"/>
          </w:rPr>
          <w:t>MSV000083593</w:t>
        </w:r>
      </w:hyperlink>
      <w:r>
        <w:t>) (blanks, controls and samples)</w:t>
      </w:r>
      <w:hyperlink w:anchor="ref-2020s">
        <w:r>
          <w:rPr>
            <w:rStyle w:val="aff"/>
            <w:vertAlign w:val="superscript"/>
          </w:rPr>
          <w:t>51</w:t>
        </w:r>
      </w:hyperlink>
      <w:r>
        <w:t xml:space="preserve">. MZmine2 (version 2.53) was performed for feature detection. The detection workflow mainly involves </w:t>
      </w:r>
      <w:r>
        <w:rPr>
          <w:b/>
          <w:bCs/>
        </w:rPr>
        <w:t>1)</w:t>
      </w:r>
      <w:r>
        <w:t xml:space="preserve"> Automated Data Analysis Pipeline (ADAP) for peak detection and deconvolution</w:t>
      </w:r>
      <w:hyperlink w:anchor="ref-2017f">
        <w:r>
          <w:rPr>
            <w:rStyle w:val="aff"/>
            <w:vertAlign w:val="superscript"/>
          </w:rPr>
          <w:t>9</w:t>
        </w:r>
      </w:hyperlink>
      <w:r>
        <w:t xml:space="preserve">, </w:t>
      </w:r>
      <w:r>
        <w:rPr>
          <w:b/>
          <w:bCs/>
        </w:rPr>
        <w:t>2)</w:t>
      </w:r>
      <w:r>
        <w:t xml:space="preserve"> isotopes peak finder, </w:t>
      </w:r>
      <w:r>
        <w:rPr>
          <w:b/>
          <w:bCs/>
        </w:rPr>
        <w:t>4)</w:t>
      </w:r>
      <w:r>
        <w:t xml:space="preserve"> parallel samples join alignment, </w:t>
      </w:r>
      <w:r>
        <w:rPr>
          <w:b/>
          <w:bCs/>
        </w:rPr>
        <w:t>5)</w:t>
      </w:r>
      <w:r>
        <w:t xml:space="preserve"> gap filling algorithm. While exporting MS/MS spectra (.</w:t>
      </w:r>
      <w:proofErr w:type="spellStart"/>
      <w:r>
        <w:t>mgf</w:t>
      </w:r>
      <w:proofErr w:type="spellEnd"/>
      <w:r>
        <w:t xml:space="preserve">) for SIRIUS 4 software computation, spectra were merged across samples into one fragmentation list with 30% Peak Count threshold filtering. The feature detection workflow was refer to </w:t>
      </w:r>
      <w:hyperlink r:id="rId15">
        <w:r>
          <w:rPr>
            <w:rStyle w:val="aff"/>
          </w:rPr>
          <w:t>FBMN preprocessing</w:t>
        </w:r>
      </w:hyperlink>
      <w:r>
        <w:t xml:space="preserve"> and </w:t>
      </w:r>
      <w:hyperlink r:id="rId16">
        <w:r>
          <w:rPr>
            <w:rStyle w:val="aff"/>
          </w:rPr>
          <w:t>SIRIUS computational prerequisites</w:t>
        </w:r>
      </w:hyperlink>
      <w:r>
        <w:t>. The output .</w:t>
      </w:r>
      <w:proofErr w:type="spellStart"/>
      <w:r>
        <w:t>mgf</w:t>
      </w:r>
      <w:proofErr w:type="spellEnd"/>
      <w:r>
        <w:t xml:space="preserve"> was run with SIRIUS 4 software (version 4.9.12) for computation with SIRIUS</w:t>
      </w:r>
      <w:hyperlink w:anchor="ref-duhrkop_sirius_2019">
        <w:r>
          <w:rPr>
            <w:rStyle w:val="aff"/>
            <w:vertAlign w:val="superscript"/>
          </w:rPr>
          <w:t>36</w:t>
        </w:r>
      </w:hyperlink>
      <w:r>
        <w:rPr>
          <w:vertAlign w:val="superscript"/>
        </w:rPr>
        <w:t>,</w:t>
      </w:r>
      <w:hyperlink w:anchor="ref-bocker_sirius_2009">
        <w:r>
          <w:rPr>
            <w:rStyle w:val="aff"/>
            <w:vertAlign w:val="superscript"/>
          </w:rPr>
          <w:t>53</w:t>
        </w:r>
      </w:hyperlink>
      <w:r>
        <w:t>, ZODIAC</w:t>
      </w:r>
      <w:hyperlink w:anchor="ref-ludwig_database-independent_2020">
        <w:r>
          <w:rPr>
            <w:rStyle w:val="aff"/>
            <w:vertAlign w:val="superscript"/>
          </w:rPr>
          <w:t>55</w:t>
        </w:r>
      </w:hyperlink>
      <w:r>
        <w:t>, CSI:fingerID</w:t>
      </w:r>
      <w:hyperlink w:anchor="ref-duhrkop_searching_2015">
        <w:r>
          <w:rPr>
            <w:rStyle w:val="aff"/>
            <w:vertAlign w:val="superscript"/>
          </w:rPr>
          <w:t>31</w:t>
        </w:r>
      </w:hyperlink>
      <w:r>
        <w:t>, CANOPUS</w:t>
      </w:r>
      <w:hyperlink w:anchor="ref-duhrkop_systematic_2021">
        <w:r>
          <w:rPr>
            <w:rStyle w:val="aff"/>
            <w:vertAlign w:val="superscript"/>
          </w:rPr>
          <w:t>52</w:t>
        </w:r>
      </w:hyperlink>
      <w:r>
        <w:t xml:space="preserve">. In particular, SIRIUS was customized set to detect Iodine element while predicting formula. MCnebula2 package were used for subsequent data analysis. All subsequent analysis </w:t>
      </w:r>
      <w:proofErr w:type="gramStart"/>
      <w:r>
        <w:t>have</w:t>
      </w:r>
      <w:proofErr w:type="gramEnd"/>
      <w:r>
        <w:t xml:space="preserve"> been organized into concise code and exported as reports (see section of Data and code availability).</w:t>
      </w:r>
    </w:p>
    <w:p w14:paraId="5B21C07C" w14:textId="77777777" w:rsidR="004740A5" w:rsidRDefault="00000000">
      <w:pPr>
        <w:pStyle w:val="a0"/>
      </w:pPr>
      <w:r>
        <w:t>   Kyoto Encyclopedia of Genes and Genomes (KEGG) metabolic pathway enrichment analysis was performed with ‘</w:t>
      </w:r>
      <w:proofErr w:type="spellStart"/>
      <w:r>
        <w:t>Lysophosphatidylcholines</w:t>
      </w:r>
      <w:proofErr w:type="spellEnd"/>
      <w:r>
        <w:t xml:space="preserve">’ (LPCs) and ‘Bile acids, alcohols and derivatives’ (BAs), respectively. We used the identified </w:t>
      </w:r>
      <w:proofErr w:type="spellStart"/>
      <w:r>
        <w:t>InChIKey</w:t>
      </w:r>
      <w:proofErr w:type="spellEnd"/>
      <w:r>
        <w:t xml:space="preserve"> planar of structures to hit compounds in metabolic pathway. In detail, firstly, in order to avoid the identified structural deviations due to stereoisomerism, the </w:t>
      </w:r>
      <w:proofErr w:type="spellStart"/>
      <w:r>
        <w:t>InChIKey</w:t>
      </w:r>
      <w:proofErr w:type="spellEnd"/>
      <w:r>
        <w:t xml:space="preserve"> planar were used to obtain all possible </w:t>
      </w:r>
      <w:proofErr w:type="spellStart"/>
      <w:r>
        <w:t>InChIKeys</w:t>
      </w:r>
      <w:proofErr w:type="spellEnd"/>
      <w:r>
        <w:t xml:space="preserve"> via PubChem </w:t>
      </w:r>
      <w:r>
        <w:lastRenderedPageBreak/>
        <w:t xml:space="preserve">API. In this step, PubChem CID of those compounds were also obtained. The R package of </w:t>
      </w:r>
      <w:proofErr w:type="spellStart"/>
      <w:r>
        <w:t>MetaboAnalystR</w:t>
      </w:r>
      <w:proofErr w:type="spellEnd"/>
      <w:r>
        <w:t xml:space="preserve"> was used for converting PubChem CID to KEGG ID</w:t>
      </w:r>
      <w:hyperlink w:anchor="ref-2020cx">
        <w:r>
          <w:rPr>
            <w:rStyle w:val="aff"/>
            <w:vertAlign w:val="superscript"/>
          </w:rPr>
          <w:t>96</w:t>
        </w:r>
      </w:hyperlink>
      <w:r>
        <w:t>. Many compounds were not related to metabolic pathway so those were filtered out. The R package of FELLA was used for KEGG enrichment with ‘</w:t>
      </w:r>
      <w:proofErr w:type="spellStart"/>
      <w:r>
        <w:t>pagerank</w:t>
      </w:r>
      <w:proofErr w:type="spellEnd"/>
      <w:r>
        <w:t>’ algorithm</w:t>
      </w:r>
      <w:hyperlink w:anchor="ref-2018bj">
        <w:r>
          <w:rPr>
            <w:rStyle w:val="aff"/>
            <w:vertAlign w:val="superscript"/>
          </w:rPr>
          <w:t>97</w:t>
        </w:r>
      </w:hyperlink>
      <w:r>
        <w:rPr>
          <w:vertAlign w:val="superscript"/>
        </w:rPr>
        <w:t>,</w:t>
      </w:r>
      <w:hyperlink w:anchor="ref-ilprints422">
        <w:r>
          <w:rPr>
            <w:rStyle w:val="aff"/>
            <w:vertAlign w:val="superscript"/>
          </w:rPr>
          <w:t>98</w:t>
        </w:r>
      </w:hyperlink>
      <w:r>
        <w:t xml:space="preserve">. The above methods have been integrated as functions to interface with the </w:t>
      </w:r>
      <w:proofErr w:type="spellStart"/>
      <w:r>
        <w:t>MCnebula</w:t>
      </w:r>
      <w:proofErr w:type="spellEnd"/>
      <w:r>
        <w:t xml:space="preserve"> workflow. These functions are available in the ‘exMCnebula2’ package.</w:t>
      </w:r>
    </w:p>
    <w:p w14:paraId="38E2376E" w14:textId="77777777" w:rsidR="004740A5" w:rsidRDefault="00000000">
      <w:pPr>
        <w:pStyle w:val="2"/>
      </w:pPr>
      <w:bookmarkStart w:id="30" w:name="herbal-dataset"/>
      <w:bookmarkEnd w:id="29"/>
      <w:r>
        <w:t>Herbal dataset</w:t>
      </w:r>
    </w:p>
    <w:p w14:paraId="59753D64" w14:textId="77777777" w:rsidR="004740A5" w:rsidRDefault="00000000">
      <w:pPr>
        <w:pStyle w:val="FirstParagraph"/>
      </w:pPr>
      <w:r>
        <w:t xml:space="preserve">   </w:t>
      </w:r>
      <w:r>
        <w:rPr>
          <w:b/>
          <w:bCs/>
        </w:rPr>
        <w:t>Material and processing.</w:t>
      </w:r>
      <w:r>
        <w:t xml:space="preserve"> </w:t>
      </w:r>
      <w:r>
        <w:rPr>
          <w:i/>
          <w:iCs/>
        </w:rPr>
        <w:t xml:space="preserve">E. </w:t>
      </w:r>
      <w:proofErr w:type="spellStart"/>
      <w:r>
        <w:rPr>
          <w:i/>
          <w:iCs/>
        </w:rPr>
        <w:t>ulmoides</w:t>
      </w:r>
      <w:proofErr w:type="spellEnd"/>
      <w:r>
        <w:t xml:space="preserve"> dried bark was obtained from company of </w:t>
      </w:r>
      <w:proofErr w:type="spellStart"/>
      <w:r>
        <w:t>ZheJiang</w:t>
      </w:r>
      <w:proofErr w:type="spellEnd"/>
      <w:r>
        <w:t xml:space="preserve"> </w:t>
      </w:r>
      <w:proofErr w:type="spellStart"/>
      <w:r>
        <w:t>ZuoLi</w:t>
      </w:r>
      <w:proofErr w:type="spellEnd"/>
      <w:r>
        <w:t xml:space="preserve"> Chinese Medical Pieces LTD. Raw-Eucommia and Pro-Eucommia were prepared as following: (1) Raw-Eucommia: The shreds or blocks of </w:t>
      </w:r>
      <w:r>
        <w:rPr>
          <w:i/>
          <w:iCs/>
        </w:rPr>
        <w:t xml:space="preserve">E. </w:t>
      </w:r>
      <w:proofErr w:type="spellStart"/>
      <w:r>
        <w:rPr>
          <w:i/>
          <w:iCs/>
        </w:rPr>
        <w:t>ulmoides</w:t>
      </w:r>
      <w:proofErr w:type="spellEnd"/>
      <w:r>
        <w:t xml:space="preserve"> dried bark were took, powdered and passed through 80-mesh sieves for further process. (2) Pro-Eucommia: The shreds or blocks of </w:t>
      </w:r>
      <w:r>
        <w:rPr>
          <w:i/>
          <w:iCs/>
        </w:rPr>
        <w:t xml:space="preserve">E. </w:t>
      </w:r>
      <w:proofErr w:type="spellStart"/>
      <w:r>
        <w:rPr>
          <w:i/>
          <w:iCs/>
        </w:rPr>
        <w:t>ulmoides</w:t>
      </w:r>
      <w:proofErr w:type="spellEnd"/>
      <w:r>
        <w:t xml:space="preserve"> dried bark were took, fried with saline water (the amount of salt is 2% of </w:t>
      </w:r>
      <w:r>
        <w:rPr>
          <w:i/>
          <w:iCs/>
        </w:rPr>
        <w:t xml:space="preserve">E. </w:t>
      </w:r>
      <w:proofErr w:type="spellStart"/>
      <w:r>
        <w:rPr>
          <w:i/>
          <w:iCs/>
        </w:rPr>
        <w:t>ulmoides</w:t>
      </w:r>
      <w:proofErr w:type="spellEnd"/>
      <w:r>
        <w:t xml:space="preserve">, add </w:t>
      </w:r>
      <w:proofErr w:type="gramStart"/>
      <w:r>
        <w:t>10 fold</w:t>
      </w:r>
      <w:proofErr w:type="gramEnd"/>
      <w:r>
        <w:t xml:space="preserve"> of water to dissolve), and smothered in airtight for 30 min. Then, the barks were dried in oven at 60 °C, followed by baking at 140 °C for 60 min. Finally, the baked barks were powdered and passed through 80-mesh sieves for further process. The processing method was based on previous studies of </w:t>
      </w:r>
      <w:r>
        <w:rPr>
          <w:i/>
          <w:iCs/>
        </w:rPr>
        <w:t>E. ulmoides</w:t>
      </w:r>
      <w:hyperlink w:anchor="ref-2010b">
        <w:r>
          <w:rPr>
            <w:rStyle w:val="aff"/>
            <w:vertAlign w:val="superscript"/>
          </w:rPr>
          <w:t>99</w:t>
        </w:r>
      </w:hyperlink>
      <w:r>
        <w:t>.</w:t>
      </w:r>
    </w:p>
    <w:p w14:paraId="01C11BA5" w14:textId="77777777" w:rsidR="004740A5" w:rsidRDefault="00000000">
      <w:pPr>
        <w:pStyle w:val="a0"/>
      </w:pPr>
      <w:r>
        <w:t xml:space="preserve">   </w:t>
      </w:r>
      <w:r>
        <w:rPr>
          <w:b/>
          <w:bCs/>
        </w:rPr>
        <w:t>Sample preparation.</w:t>
      </w:r>
      <w:r>
        <w:t xml:space="preserve"> 2 g of Raw-Eucommia powder and Pro-Eucommia powder were weighed, respectively, added 50 ml of methanol/water (1:1, v/v) followed by ultrasonic (20 kHz for 40 min). After ultrasonic, the mixture was filtered to obtain filtrate and residue. The residue was added with 50 ml of methanol/water (1:1, v/v) and extracted with ultrasonic (40 kHz, 250 W for 20 min) again. The mixture was filtered. Then, the filtrate of the two extracts was combined, the solvent was evaporated. Methanol/water (1:1, v/v) was added to redissolve the extract and the volume was fixed to 5 ml. Finally, the supernatant was obtained by centrifugation (12,000 </w:t>
      </w:r>
      <w:proofErr w:type="spellStart"/>
      <w:r>
        <w:t>r.p.m</w:t>
      </w:r>
      <w:proofErr w:type="spellEnd"/>
      <w:r>
        <w:t>. for 10 min) for further LC−MS analysis.</w:t>
      </w:r>
    </w:p>
    <w:p w14:paraId="684E3526" w14:textId="77777777" w:rsidR="004740A5" w:rsidRDefault="00000000">
      <w:pPr>
        <w:pStyle w:val="a0"/>
      </w:pPr>
      <w:r>
        <w:t xml:space="preserve">   </w:t>
      </w:r>
      <w:r>
        <w:rPr>
          <w:b/>
          <w:bCs/>
        </w:rPr>
        <w:t>LC–MS experiments.</w:t>
      </w:r>
      <w:r>
        <w:t xml:space="preserve"> LC−MS analysis was performed using a </w:t>
      </w:r>
      <w:proofErr w:type="spellStart"/>
      <w:r>
        <w:t>Dionex</w:t>
      </w:r>
      <w:proofErr w:type="spellEnd"/>
      <w:r>
        <w:t xml:space="preserve"> Ultimate 3000 UHPLC system (</w:t>
      </w:r>
      <w:proofErr w:type="spellStart"/>
      <w:r>
        <w:t>Dionex</w:t>
      </w:r>
      <w:proofErr w:type="spellEnd"/>
      <w:r>
        <w:t xml:space="preserve">, Germany) coupled with a high-resolution Fourier-transform mass spectrometer (Orbitrap Elite, </w:t>
      </w:r>
      <w:proofErr w:type="spellStart"/>
      <w:r>
        <w:t>Thermo</w:t>
      </w:r>
      <w:proofErr w:type="spellEnd"/>
      <w:r>
        <w:t xml:space="preserve"> Fisher Scientific, Germany) using a Waters </w:t>
      </w:r>
      <w:proofErr w:type="spellStart"/>
      <w:r>
        <w:t>Acquity</w:t>
      </w:r>
      <w:proofErr w:type="spellEnd"/>
      <w:r>
        <w:t xml:space="preserve"> HSS T3 column (1.8 </w:t>
      </w:r>
      <w:proofErr w:type="spellStart"/>
      <w:r>
        <w:t>μm</w:t>
      </w:r>
      <w:proofErr w:type="spellEnd"/>
      <w:r>
        <w:t xml:space="preserve">, 100 mm </w:t>
      </w:r>
      <m:oMath>
        <m:r>
          <m:rPr>
            <m:sty m:val="p"/>
          </m:rPr>
          <w:rPr>
            <w:rFonts w:ascii="Cambria Math" w:hAnsi="Cambria Math"/>
          </w:rPr>
          <m:t>×</m:t>
        </m:r>
      </m:oMath>
      <w:r>
        <w:t xml:space="preserve"> 2.1 mm, Waters Corporation, Milford, MA, USA). Solvent A, formic acid/water (0.1:99, v/v), and solvent B, formic acid/acetonitrile (0.1:99, v/v), were used as the mobile phase. The gradient profile for separation was as follows: 2% of solvent B at 0min, 5% of solvent B at 2 min, 15% of solvent B at 10 min, 25% of solvent B at 15 min, 50% of solvent B at 18 min, 100% of solvent B at 23 min, 2% of solvent B at 25 min, and 2% of solvent B at 30 min. The flow rate was 0.3 ml/min. The column temperature was set at 40°C. Mass spectrometric analysis was performed using an Orbitrap Elite instrument equipped with an ESI source (</w:t>
      </w:r>
      <w:proofErr w:type="spellStart"/>
      <w:r>
        <w:t>Thermo</w:t>
      </w:r>
      <w:proofErr w:type="spellEnd"/>
      <w:r>
        <w:t xml:space="preserve"> </w:t>
      </w:r>
      <w:proofErr w:type="spellStart"/>
      <w:r>
        <w:t>FisherScientific</w:t>
      </w:r>
      <w:proofErr w:type="spellEnd"/>
      <w:r>
        <w:t xml:space="preserve">, Germany) that operated in the </w:t>
      </w:r>
      <w:proofErr w:type="spellStart"/>
      <w:r>
        <w:t>negtive</w:t>
      </w:r>
      <w:proofErr w:type="spellEnd"/>
      <w:r>
        <w:t xml:space="preserve"> ionization mode. The ESI source was operated at 50 °C with a capillary temperature of 275 °C, an ionization voltage of 3.5 kV, and a sheath gas flow rate of 35 L/min. The survey scans were obtained in the Orbitrap mass analyzer operating at a 120,000 (full width at half-maximum) resolving power. A mass range of 100−1500 m/z and a normalized collision energy of 30 eV were used for survey scans. The analysis method was set to analyze the top 10 most intense ions from the survey scan, and a dynamic exclusion was enabled for 15 s.</w:t>
      </w:r>
    </w:p>
    <w:p w14:paraId="1B59D318" w14:textId="77777777" w:rsidR="004740A5" w:rsidRDefault="00000000">
      <w:pPr>
        <w:pStyle w:val="a0"/>
      </w:pPr>
      <w:r>
        <w:t xml:space="preserve">   </w:t>
      </w:r>
      <w:proofErr w:type="spellStart"/>
      <w:r>
        <w:rPr>
          <w:b/>
          <w:bCs/>
        </w:rPr>
        <w:t>MCnebula</w:t>
      </w:r>
      <w:proofErr w:type="spellEnd"/>
      <w:r>
        <w:rPr>
          <w:b/>
          <w:bCs/>
        </w:rPr>
        <w:t xml:space="preserve"> Workflow.</w:t>
      </w:r>
      <w:r>
        <w:t xml:space="preserve"> </w:t>
      </w:r>
      <w:proofErr w:type="spellStart"/>
      <w:proofErr w:type="gramStart"/>
      <w:r>
        <w:t>E.ulmoides</w:t>
      </w:r>
      <w:proofErr w:type="spellEnd"/>
      <w:proofErr w:type="gramEnd"/>
      <w:r>
        <w:t xml:space="preserve"> dataset were preprocessed with MZmine2 for feature detection, followed by SIRIUS software computation. The subsequent analysis was similar to serum metabolic dataset and also been organized as a report (see section of Data and code availability).</w:t>
      </w:r>
    </w:p>
    <w:p w14:paraId="6003F37E" w14:textId="77777777" w:rsidR="004740A5" w:rsidRDefault="00000000">
      <w:pPr>
        <w:pStyle w:val="2"/>
      </w:pPr>
      <w:bookmarkStart w:id="31" w:name="data-processing"/>
      <w:bookmarkEnd w:id="30"/>
      <w:r>
        <w:lastRenderedPageBreak/>
        <w:t>Data processing</w:t>
      </w:r>
    </w:p>
    <w:p w14:paraId="12A11652" w14:textId="77777777" w:rsidR="004740A5" w:rsidRDefault="00000000">
      <w:pPr>
        <w:pStyle w:val="FirstParagraph"/>
      </w:pPr>
      <w:r>
        <w:t>   Raw data (.raw) were converted to m/z extensible markup language (</w:t>
      </w:r>
      <w:proofErr w:type="spellStart"/>
      <w:r>
        <w:t>mzML</w:t>
      </w:r>
      <w:proofErr w:type="spellEnd"/>
      <w:r>
        <w:t>, i.e.</w:t>
      </w:r>
      <w:proofErr w:type="gramStart"/>
      <w:r>
        <w:t>, .</w:t>
      </w:r>
      <w:proofErr w:type="spellStart"/>
      <w:r>
        <w:t>mzml</w:t>
      </w:r>
      <w:proofErr w:type="spellEnd"/>
      <w:proofErr w:type="gramEnd"/>
      <w:r>
        <w:t xml:space="preserve"> format data) in centroid mode using </w:t>
      </w:r>
      <w:proofErr w:type="spellStart"/>
      <w:r>
        <w:t>MSConvert</w:t>
      </w:r>
      <w:proofErr w:type="spellEnd"/>
      <w:r>
        <w:t xml:space="preserve"> ProteoWizard</w:t>
      </w:r>
      <w:hyperlink w:anchor="ref-2012d">
        <w:r>
          <w:rPr>
            <w:rStyle w:val="aff"/>
            <w:vertAlign w:val="superscript"/>
          </w:rPr>
          <w:t>5</w:t>
        </w:r>
      </w:hyperlink>
      <w:r>
        <w:rPr>
          <w:vertAlign w:val="superscript"/>
        </w:rPr>
        <w:t>,</w:t>
      </w:r>
      <w:hyperlink w:anchor="ref-2011b">
        <w:r>
          <w:rPr>
            <w:rStyle w:val="aff"/>
            <w:vertAlign w:val="superscript"/>
          </w:rPr>
          <w:t>100</w:t>
        </w:r>
      </w:hyperlink>
      <w:r>
        <w:t>. The .</w:t>
      </w:r>
      <w:proofErr w:type="spellStart"/>
      <w:r>
        <w:t>mzml</w:t>
      </w:r>
      <w:proofErr w:type="spellEnd"/>
      <w:r>
        <w:t xml:space="preserve"> files were processed with MZmine2 (v.2.53) and followed by SIRIUS 4 in </w:t>
      </w:r>
      <w:proofErr w:type="gramStart"/>
      <w:r>
        <w:t>Pop!-</w:t>
      </w:r>
      <w:proofErr w:type="gramEnd"/>
      <w:r>
        <w:t xml:space="preserve">OS (Ubuntu) 22.04 LTS 64-bits workstation (Intel Core i9-10900X, 3.70GHz </w:t>
      </w:r>
      <m:oMath>
        <m:r>
          <m:rPr>
            <m:sty m:val="p"/>
          </m:rPr>
          <w:rPr>
            <w:rFonts w:ascii="Cambria Math" w:hAnsi="Cambria Math"/>
          </w:rPr>
          <m:t>×</m:t>
        </m:r>
      </m:oMath>
      <w:r>
        <w:t xml:space="preserve"> 20, 125.5 Gb of RAM)</w:t>
      </w:r>
      <w:hyperlink w:anchor="ref-2010">
        <w:r>
          <w:rPr>
            <w:rStyle w:val="aff"/>
            <w:vertAlign w:val="superscript"/>
          </w:rPr>
          <w:t>8</w:t>
        </w:r>
      </w:hyperlink>
      <w:r>
        <w:rPr>
          <w:vertAlign w:val="superscript"/>
        </w:rPr>
        <w:t>,</w:t>
      </w:r>
      <w:hyperlink w:anchor="ref-duhrkop_sirius_2019">
        <w:r>
          <w:rPr>
            <w:rStyle w:val="aff"/>
            <w:vertAlign w:val="superscript"/>
          </w:rPr>
          <w:t>36</w:t>
        </w:r>
      </w:hyperlink>
      <w:r>
        <w:t xml:space="preserve">. MCnebula2 and other R packages were executed in </w:t>
      </w:r>
      <w:proofErr w:type="spellStart"/>
      <w:proofErr w:type="gramStart"/>
      <w:r>
        <w:t>Pop!_</w:t>
      </w:r>
      <w:proofErr w:type="gramEnd"/>
      <w:r>
        <w:t>OS</w:t>
      </w:r>
      <w:proofErr w:type="spellEnd"/>
      <w:r>
        <w:t xml:space="preserve"> (Ubuntu) 22.04 LTS 64-bits PC (Intel Core i7-1065G7, 1.3 GHz </w:t>
      </w:r>
      <m:oMath>
        <m:r>
          <m:rPr>
            <m:sty m:val="p"/>
          </m:rPr>
          <w:rPr>
            <w:rFonts w:ascii="Cambria Math" w:hAnsi="Cambria Math"/>
          </w:rPr>
          <m:t>×</m:t>
        </m:r>
      </m:oMath>
      <w:r>
        <w:t xml:space="preserve"> 8, 16 Gb of RAM).</w:t>
      </w:r>
    </w:p>
    <w:p w14:paraId="48E210B2" w14:textId="77777777" w:rsidR="004740A5" w:rsidRDefault="00000000">
      <w:pPr>
        <w:pStyle w:val="1"/>
      </w:pPr>
      <w:bookmarkStart w:id="32" w:name="data-and-code-availability"/>
      <w:bookmarkEnd w:id="26"/>
      <w:bookmarkEnd w:id="31"/>
      <w:r>
        <w:t>Data and code availability</w:t>
      </w:r>
    </w:p>
    <w:p w14:paraId="23A74C64" w14:textId="77777777" w:rsidR="004740A5" w:rsidRDefault="00000000">
      <w:pPr>
        <w:pStyle w:val="FirstParagraph"/>
      </w:pPr>
      <w:r>
        <w:t xml:space="preserve">   The serum dataset </w:t>
      </w:r>
      <w:proofErr w:type="gramStart"/>
      <w:r>
        <w:t>were</w:t>
      </w:r>
      <w:proofErr w:type="gramEnd"/>
      <w:r>
        <w:t xml:space="preserve"> available at </w:t>
      </w:r>
      <w:proofErr w:type="spellStart"/>
      <w:r>
        <w:t>MassIVE</w:t>
      </w:r>
      <w:proofErr w:type="spellEnd"/>
      <w:r>
        <w:t xml:space="preserve"> web service (id no. </w:t>
      </w:r>
      <w:hyperlink r:id="rId17">
        <w:r>
          <w:rPr>
            <w:rStyle w:val="aff"/>
          </w:rPr>
          <w:t>MSV000083593</w:t>
        </w:r>
      </w:hyperlink>
      <w:r>
        <w:t xml:space="preserve">). The source code of MCnebula2 is available at </w:t>
      </w:r>
      <w:hyperlink r:id="rId18">
        <w:r>
          <w:rPr>
            <w:rStyle w:val="aff"/>
          </w:rPr>
          <w:t>https://github.com/Cao-lab-zcmu/MCnebula2</w:t>
        </w:r>
      </w:hyperlink>
      <w:r>
        <w:t xml:space="preserve">. The source code of exMCnebula2 is available at </w:t>
      </w:r>
      <w:hyperlink r:id="rId19">
        <w:r>
          <w:rPr>
            <w:rStyle w:val="aff"/>
          </w:rPr>
          <w:t>https://github.com/Cao-lab-zcmu/exMCnebula2</w:t>
        </w:r>
      </w:hyperlink>
      <w:r>
        <w:t>. The code for all the analysis in this study can be found in the internal data directory (‘</w:t>
      </w:r>
      <w:proofErr w:type="spellStart"/>
      <w:r>
        <w:t>inst</w:t>
      </w:r>
      <w:proofErr w:type="spellEnd"/>
      <w:r>
        <w:t>/</w:t>
      </w:r>
      <w:proofErr w:type="spellStart"/>
      <w:r>
        <w:t>extdata</w:t>
      </w:r>
      <w:proofErr w:type="spellEnd"/>
      <w:r>
        <w:t>/’) of the ‘exMCnebula2’ package. In addition, .</w:t>
      </w:r>
      <w:proofErr w:type="spellStart"/>
      <w:r>
        <w:t>mgf</w:t>
      </w:r>
      <w:proofErr w:type="spellEnd"/>
      <w:r>
        <w:t xml:space="preserve"> files (</w:t>
      </w:r>
      <w:proofErr w:type="spellStart"/>
      <w:r>
        <w:t>msms</w:t>
      </w:r>
      <w:proofErr w:type="spellEnd"/>
      <w:r>
        <w:t xml:space="preserve"> spectra) and .csv files (feature quantification) and SIRIUS output files (use MCnebula2 function to filter and compress tens of GB of data to just a few tens of MB) and analysis report of serum and herbal dataset were compressed and stored in the exMCnebula2 package. By downloading and installing MCnebula2 package and exMCnebula2 package, all the analyses of this study can be reproduced by executing a few lines of R codes (while using tools beyond R, such as </w:t>
      </w:r>
      <w:proofErr w:type="spellStart"/>
      <w:r>
        <w:t>MSconvert</w:t>
      </w:r>
      <w:proofErr w:type="spellEnd"/>
      <w:r>
        <w:t xml:space="preserve"> software, SIRIUS 4 software and MZmine2 are excluded).</w:t>
      </w:r>
    </w:p>
    <w:p w14:paraId="642A55FE" w14:textId="77777777" w:rsidR="004740A5" w:rsidRDefault="00000000">
      <w:pPr>
        <w:pStyle w:val="1"/>
      </w:pPr>
      <w:bookmarkStart w:id="33" w:name="bibliography"/>
      <w:bookmarkEnd w:id="32"/>
      <w:r>
        <w:t>Reference</w:t>
      </w:r>
    </w:p>
    <w:p w14:paraId="4731DDEB" w14:textId="77777777" w:rsidR="004740A5" w:rsidRDefault="00000000">
      <w:pPr>
        <w:pStyle w:val="afa"/>
      </w:pPr>
      <w:bookmarkStart w:id="34" w:name="ref-2020p"/>
      <w:bookmarkStart w:id="35" w:name="refs"/>
      <w:r>
        <w:t xml:space="preserve">1. </w:t>
      </w:r>
      <w:r>
        <w:tab/>
      </w:r>
      <w:proofErr w:type="spellStart"/>
      <w:r>
        <w:t>Tsugawa</w:t>
      </w:r>
      <w:proofErr w:type="spellEnd"/>
      <w:r>
        <w:t xml:space="preserve"> H, Ikeda K, Takahashi M, Satoh A, Mori Y, Uchino H, et al. </w:t>
      </w:r>
      <w:hyperlink r:id="rId20">
        <w:r>
          <w:rPr>
            <w:rStyle w:val="aff"/>
          </w:rPr>
          <w:t>A lipidome atlas in MS-DIAL 4</w:t>
        </w:r>
      </w:hyperlink>
      <w:r>
        <w:t xml:space="preserve">. Nature Biotechnology. 2020 Oct;38(10):1159–63. </w:t>
      </w:r>
    </w:p>
    <w:p w14:paraId="5F1B68BF" w14:textId="77777777" w:rsidR="004740A5" w:rsidRDefault="00000000">
      <w:pPr>
        <w:pStyle w:val="afa"/>
      </w:pPr>
      <w:bookmarkStart w:id="36" w:name="ref-2018az"/>
      <w:bookmarkEnd w:id="34"/>
      <w:r>
        <w:t xml:space="preserve">2. </w:t>
      </w:r>
      <w:r>
        <w:tab/>
        <w:t xml:space="preserve">Chong J, </w:t>
      </w:r>
      <w:proofErr w:type="spellStart"/>
      <w:r>
        <w:t>Soufan</w:t>
      </w:r>
      <w:proofErr w:type="spellEnd"/>
      <w:r>
        <w:t xml:space="preserve"> O, Li C, </w:t>
      </w:r>
      <w:proofErr w:type="spellStart"/>
      <w:r>
        <w:t>Caraus</w:t>
      </w:r>
      <w:proofErr w:type="spellEnd"/>
      <w:r>
        <w:t xml:space="preserve"> I, Li S, Bourque G, et al. </w:t>
      </w:r>
      <w:hyperlink r:id="rId21">
        <w:r>
          <w:rPr>
            <w:rStyle w:val="aff"/>
          </w:rPr>
          <w:t>MetaboAnalyst 4.0: Towards more transparent and integrative metabolomics analysis</w:t>
        </w:r>
      </w:hyperlink>
      <w:r>
        <w:t>. Nucleic Acids Research. 2018 Jul;46(W1</w:t>
      </w:r>
      <w:proofErr w:type="gramStart"/>
      <w:r>
        <w:t>):W</w:t>
      </w:r>
      <w:proofErr w:type="gramEnd"/>
      <w:r>
        <w:t xml:space="preserve">486–94. </w:t>
      </w:r>
    </w:p>
    <w:p w14:paraId="398E4233" w14:textId="77777777" w:rsidR="004740A5" w:rsidRDefault="00000000">
      <w:pPr>
        <w:pStyle w:val="afa"/>
      </w:pPr>
      <w:bookmarkStart w:id="37" w:name="ref-2020co"/>
      <w:bookmarkEnd w:id="36"/>
      <w:r>
        <w:t xml:space="preserve">3. </w:t>
      </w:r>
      <w:r>
        <w:tab/>
      </w:r>
      <w:proofErr w:type="spellStart"/>
      <w:r>
        <w:t>Tsugawa</w:t>
      </w:r>
      <w:proofErr w:type="spellEnd"/>
      <w:r>
        <w:t xml:space="preserve"> H. </w:t>
      </w:r>
      <w:hyperlink r:id="rId22">
        <w:r>
          <w:rPr>
            <w:rStyle w:val="aff"/>
          </w:rPr>
          <w:t>Computational MS/MS Fragmentation and Structure Elucidation Using MS-FINDER Software</w:t>
        </w:r>
      </w:hyperlink>
      <w:r>
        <w:t xml:space="preserve">. In: Comprehensive Natural Products III. Elsevier; 2020. p. 189–210. </w:t>
      </w:r>
    </w:p>
    <w:p w14:paraId="218E7E10" w14:textId="77777777" w:rsidR="004740A5" w:rsidRDefault="00000000">
      <w:pPr>
        <w:pStyle w:val="afa"/>
      </w:pPr>
      <w:bookmarkStart w:id="38" w:name="ref-2016a"/>
      <w:bookmarkEnd w:id="37"/>
      <w:r>
        <w:t xml:space="preserve">4. </w:t>
      </w:r>
      <w:r>
        <w:tab/>
        <w:t xml:space="preserve">Wang M, Carver JJ, Phelan VV, Sanchez LM, Garg N, Peng Y, et al. </w:t>
      </w:r>
      <w:hyperlink r:id="rId23">
        <w:r>
          <w:rPr>
            <w:rStyle w:val="aff"/>
          </w:rPr>
          <w:t>Sharing and community curation of mass spectrometry data with Global Natural Products Social Molecular Networking</w:t>
        </w:r>
      </w:hyperlink>
      <w:r>
        <w:t xml:space="preserve">. Nature Biotechnology. 2016 Aug;34(8):828–37. </w:t>
      </w:r>
    </w:p>
    <w:p w14:paraId="7286F5FD" w14:textId="77777777" w:rsidR="004740A5" w:rsidRDefault="00000000">
      <w:pPr>
        <w:pStyle w:val="afa"/>
      </w:pPr>
      <w:bookmarkStart w:id="39" w:name="ref-2012d"/>
      <w:bookmarkEnd w:id="38"/>
      <w:r>
        <w:t xml:space="preserve">5. </w:t>
      </w:r>
      <w:r>
        <w:tab/>
        <w:t xml:space="preserve">Chambers MC, Maclean B, Burke R, </w:t>
      </w:r>
      <w:proofErr w:type="spellStart"/>
      <w:r>
        <w:t>Amodei</w:t>
      </w:r>
      <w:proofErr w:type="spellEnd"/>
      <w:r>
        <w:t xml:space="preserve"> D, Ruderman DL, Neumann S, et al. </w:t>
      </w:r>
      <w:hyperlink r:id="rId24">
        <w:r>
          <w:rPr>
            <w:rStyle w:val="aff"/>
          </w:rPr>
          <w:t>A cross-platform toolkit for mass spectrometry and proteomics</w:t>
        </w:r>
      </w:hyperlink>
      <w:r>
        <w:t xml:space="preserve">. Nature Biotechnology. 2012 Oct;30(10):918–20. </w:t>
      </w:r>
    </w:p>
    <w:p w14:paraId="3E97E45F" w14:textId="77777777" w:rsidR="004740A5" w:rsidRDefault="00000000">
      <w:pPr>
        <w:pStyle w:val="afa"/>
      </w:pPr>
      <w:bookmarkStart w:id="40" w:name="ref-2016e"/>
      <w:bookmarkEnd w:id="39"/>
      <w:r>
        <w:t xml:space="preserve">6. </w:t>
      </w:r>
      <w:r>
        <w:tab/>
      </w:r>
      <w:proofErr w:type="spellStart"/>
      <w:r>
        <w:t>Röst</w:t>
      </w:r>
      <w:proofErr w:type="spellEnd"/>
      <w:r>
        <w:t xml:space="preserve"> HL, </w:t>
      </w:r>
      <w:proofErr w:type="spellStart"/>
      <w:r>
        <w:t>Sachsenberg</w:t>
      </w:r>
      <w:proofErr w:type="spellEnd"/>
      <w:r>
        <w:t xml:space="preserve"> T, </w:t>
      </w:r>
      <w:proofErr w:type="spellStart"/>
      <w:r>
        <w:t>Aiche</w:t>
      </w:r>
      <w:proofErr w:type="spellEnd"/>
      <w:r>
        <w:t xml:space="preserve"> S, </w:t>
      </w:r>
      <w:proofErr w:type="spellStart"/>
      <w:r>
        <w:t>Bielow</w:t>
      </w:r>
      <w:proofErr w:type="spellEnd"/>
      <w:r>
        <w:t xml:space="preserve"> C, Weisser H, </w:t>
      </w:r>
      <w:proofErr w:type="spellStart"/>
      <w:r>
        <w:t>Aicheler</w:t>
      </w:r>
      <w:proofErr w:type="spellEnd"/>
      <w:r>
        <w:t xml:space="preserve"> F, et al. </w:t>
      </w:r>
      <w:hyperlink r:id="rId25">
        <w:r>
          <w:rPr>
            <w:rStyle w:val="aff"/>
          </w:rPr>
          <w:t>OpenMS: A flexible open-source software platform for mass spectrometry data analysis</w:t>
        </w:r>
      </w:hyperlink>
      <w:r>
        <w:t xml:space="preserve">. Nature Methods. 2016 Sep;13(9):741–8. </w:t>
      </w:r>
    </w:p>
    <w:p w14:paraId="6420D4EB" w14:textId="77777777" w:rsidR="004740A5" w:rsidRDefault="00000000">
      <w:pPr>
        <w:pStyle w:val="afa"/>
      </w:pPr>
      <w:bookmarkStart w:id="41" w:name="ref-2006a"/>
      <w:bookmarkEnd w:id="40"/>
      <w:r>
        <w:t xml:space="preserve">7. </w:t>
      </w:r>
      <w:r>
        <w:tab/>
        <w:t xml:space="preserve">Smith CA, Want EJ, </w:t>
      </w:r>
      <w:proofErr w:type="spellStart"/>
      <w:r>
        <w:t>O’Maille</w:t>
      </w:r>
      <w:proofErr w:type="spellEnd"/>
      <w:r>
        <w:t xml:space="preserve"> G, </w:t>
      </w:r>
      <w:proofErr w:type="spellStart"/>
      <w:r>
        <w:t>Abagyan</w:t>
      </w:r>
      <w:proofErr w:type="spellEnd"/>
      <w:r>
        <w:t xml:space="preserve"> R, </w:t>
      </w:r>
      <w:proofErr w:type="spellStart"/>
      <w:r>
        <w:t>Siuzdak</w:t>
      </w:r>
      <w:proofErr w:type="spellEnd"/>
      <w:r>
        <w:t xml:space="preserve"> G. </w:t>
      </w:r>
      <w:hyperlink r:id="rId26">
        <w:r>
          <w:rPr>
            <w:rStyle w:val="aff"/>
          </w:rPr>
          <w:t>XCMS: Processing Mass Spectrometry Data for Metabolite Profiling Using Nonlinear Peak Alignment, Matching, and Identification</w:t>
        </w:r>
      </w:hyperlink>
      <w:r>
        <w:t xml:space="preserve">. Analytical Chemistry. 2006 Feb;78(3):779–87. </w:t>
      </w:r>
    </w:p>
    <w:p w14:paraId="5A95355A" w14:textId="77777777" w:rsidR="004740A5" w:rsidRDefault="00000000">
      <w:pPr>
        <w:pStyle w:val="afa"/>
      </w:pPr>
      <w:bookmarkStart w:id="42" w:name="ref-2010"/>
      <w:bookmarkEnd w:id="41"/>
      <w:r>
        <w:lastRenderedPageBreak/>
        <w:t xml:space="preserve">8. </w:t>
      </w:r>
      <w:r>
        <w:tab/>
      </w:r>
      <w:proofErr w:type="spellStart"/>
      <w:r>
        <w:t>Pluskal</w:t>
      </w:r>
      <w:proofErr w:type="spellEnd"/>
      <w:r>
        <w:t xml:space="preserve"> T, Castillo S, Villar-Briones A, </w:t>
      </w:r>
      <w:proofErr w:type="spellStart"/>
      <w:r>
        <w:t>Orešič</w:t>
      </w:r>
      <w:proofErr w:type="spellEnd"/>
      <w:r>
        <w:t xml:space="preserve"> M. </w:t>
      </w:r>
      <w:hyperlink r:id="rId27">
        <w:r>
          <w:rPr>
            <w:rStyle w:val="aff"/>
          </w:rPr>
          <w:t>MZmine 2: Modular framework for processing, visualizing, and analyzing mass spectrometry-based molecular profile data</w:t>
        </w:r>
      </w:hyperlink>
      <w:r>
        <w:t xml:space="preserve">. BMC Bioinformatics. 2010 Dec;11(1):395. </w:t>
      </w:r>
    </w:p>
    <w:p w14:paraId="292CB2CF" w14:textId="77777777" w:rsidR="004740A5" w:rsidRDefault="00000000">
      <w:pPr>
        <w:pStyle w:val="afa"/>
      </w:pPr>
      <w:bookmarkStart w:id="43" w:name="ref-2017f"/>
      <w:bookmarkEnd w:id="42"/>
      <w:r>
        <w:t xml:space="preserve">9. </w:t>
      </w:r>
      <w:r>
        <w:tab/>
        <w:t xml:space="preserve">Myers OD, Sumner SJ, Li S, Barnes S, Du X. </w:t>
      </w:r>
      <w:hyperlink r:id="rId28">
        <w:r>
          <w:rPr>
            <w:rStyle w:val="aff"/>
          </w:rPr>
          <w:t>One Step Forward for Reducing False Positive and False Negative Compound Identifications from Mass Spectrometry Metabolomics Data: New Algorithms for Constructing Extracted Ion Chromatograms and Detecting Chromatographic Peaks</w:t>
        </w:r>
      </w:hyperlink>
      <w:r>
        <w:t xml:space="preserve">. Analytical Chemistry. 2017 Sep;89(17):8696–703. </w:t>
      </w:r>
    </w:p>
    <w:p w14:paraId="32D4855E" w14:textId="77777777" w:rsidR="004740A5" w:rsidRDefault="00000000">
      <w:pPr>
        <w:pStyle w:val="afa"/>
      </w:pPr>
      <w:bookmarkStart w:id="44" w:name="ref-2022"/>
      <w:bookmarkEnd w:id="43"/>
      <w:r>
        <w:t xml:space="preserve">10. </w:t>
      </w:r>
      <w:r>
        <w:tab/>
        <w:t xml:space="preserve">Fu J, Zhang Y, Wang Y, Zhang H, Liu J, Tang J, et al. </w:t>
      </w:r>
      <w:hyperlink r:id="rId29">
        <w:r>
          <w:rPr>
            <w:rStyle w:val="aff"/>
          </w:rPr>
          <w:t>Optimization of metabolomic data processing using NOREVA</w:t>
        </w:r>
      </w:hyperlink>
      <w:r>
        <w:t xml:space="preserve">. Nature Protocols. 2022 Jan;17(1):129–51. </w:t>
      </w:r>
    </w:p>
    <w:p w14:paraId="1E0D3CA5" w14:textId="77777777" w:rsidR="004740A5" w:rsidRDefault="00000000">
      <w:pPr>
        <w:pStyle w:val="afa"/>
      </w:pPr>
      <w:bookmarkStart w:id="45" w:name="ref-2017ao"/>
      <w:bookmarkEnd w:id="44"/>
      <w:r>
        <w:t xml:space="preserve">11. </w:t>
      </w:r>
      <w:r>
        <w:tab/>
      </w:r>
      <w:proofErr w:type="spellStart"/>
      <w:r>
        <w:t>Mahieu</w:t>
      </w:r>
      <w:proofErr w:type="spellEnd"/>
      <w:r>
        <w:t xml:space="preserve"> NG, Patti GJ. </w:t>
      </w:r>
      <w:hyperlink r:id="rId30">
        <w:r>
          <w:rPr>
            <w:rStyle w:val="aff"/>
          </w:rPr>
          <w:t>Systems-Level Annotation of a Metabolomics Data Set Reduces 25 000 Features to Fewer than 1000 Unique Metabolites</w:t>
        </w:r>
      </w:hyperlink>
      <w:r>
        <w:t xml:space="preserve">. Analytical Chemistry. 2017 Oct;89(19):10397–406. </w:t>
      </w:r>
    </w:p>
    <w:p w14:paraId="7CDC4314" w14:textId="77777777" w:rsidR="004740A5" w:rsidRDefault="00000000">
      <w:pPr>
        <w:pStyle w:val="afa"/>
      </w:pPr>
      <w:bookmarkStart w:id="46" w:name="ref-2022b"/>
      <w:bookmarkEnd w:id="45"/>
      <w:r>
        <w:t xml:space="preserve">12. </w:t>
      </w:r>
      <w:r>
        <w:tab/>
      </w:r>
      <w:proofErr w:type="spellStart"/>
      <w:r>
        <w:t>Gloaguen</w:t>
      </w:r>
      <w:proofErr w:type="spellEnd"/>
      <w:r>
        <w:t xml:space="preserve"> Y, Kirwan JA, </w:t>
      </w:r>
      <w:proofErr w:type="spellStart"/>
      <w:r>
        <w:t>Beule</w:t>
      </w:r>
      <w:proofErr w:type="spellEnd"/>
      <w:r>
        <w:t xml:space="preserve"> D. </w:t>
      </w:r>
      <w:hyperlink r:id="rId31">
        <w:r>
          <w:rPr>
            <w:rStyle w:val="aff"/>
          </w:rPr>
          <w:t>Deep Learning-Assisted Peak Curation for Large-Scale LC-MS Metabolomics</w:t>
        </w:r>
      </w:hyperlink>
      <w:r>
        <w:t xml:space="preserve">. Analytical Chemistry. 2022 Mar;94(12):4930–7. </w:t>
      </w:r>
    </w:p>
    <w:p w14:paraId="29065EDD" w14:textId="77777777" w:rsidR="004740A5" w:rsidRDefault="00000000">
      <w:pPr>
        <w:pStyle w:val="afa"/>
      </w:pPr>
      <w:bookmarkStart w:id="47" w:name="ref-2017i"/>
      <w:bookmarkEnd w:id="46"/>
      <w:r>
        <w:t xml:space="preserve">13. </w:t>
      </w:r>
      <w:r>
        <w:tab/>
        <w:t xml:space="preserve">Neumann U, </w:t>
      </w:r>
      <w:proofErr w:type="spellStart"/>
      <w:r>
        <w:t>Genze</w:t>
      </w:r>
      <w:proofErr w:type="spellEnd"/>
      <w:r>
        <w:t xml:space="preserve"> N, Heider D. </w:t>
      </w:r>
      <w:hyperlink r:id="rId32">
        <w:r>
          <w:rPr>
            <w:rStyle w:val="aff"/>
          </w:rPr>
          <w:t>EFS: An ensemble feature selection tool implemented as R-package and web-application</w:t>
        </w:r>
      </w:hyperlink>
      <w:r>
        <w:t xml:space="preserve">. </w:t>
      </w:r>
      <w:proofErr w:type="spellStart"/>
      <w:r>
        <w:t>BioData</w:t>
      </w:r>
      <w:proofErr w:type="spellEnd"/>
      <w:r>
        <w:t xml:space="preserve"> Mining. 2017 Dec;10(1):21. </w:t>
      </w:r>
    </w:p>
    <w:p w14:paraId="7471FCDA" w14:textId="77777777" w:rsidR="004740A5" w:rsidRDefault="00000000">
      <w:pPr>
        <w:pStyle w:val="afa"/>
      </w:pPr>
      <w:bookmarkStart w:id="48" w:name="ref-2010p"/>
      <w:bookmarkEnd w:id="47"/>
      <w:r>
        <w:t xml:space="preserve">14. </w:t>
      </w:r>
      <w:r>
        <w:tab/>
      </w:r>
      <w:proofErr w:type="spellStart"/>
      <w:r>
        <w:t>Horai</w:t>
      </w:r>
      <w:proofErr w:type="spellEnd"/>
      <w:r>
        <w:t xml:space="preserve"> H, </w:t>
      </w:r>
      <w:proofErr w:type="spellStart"/>
      <w:r>
        <w:t>Arita</w:t>
      </w:r>
      <w:proofErr w:type="spellEnd"/>
      <w:r>
        <w:t xml:space="preserve"> M, </w:t>
      </w:r>
      <w:proofErr w:type="spellStart"/>
      <w:r>
        <w:t>Kanaya</w:t>
      </w:r>
      <w:proofErr w:type="spellEnd"/>
      <w:r>
        <w:t xml:space="preserve"> S, Nihei Y, Ikeda T, </w:t>
      </w:r>
      <w:proofErr w:type="spellStart"/>
      <w:r>
        <w:t>Suwa</w:t>
      </w:r>
      <w:proofErr w:type="spellEnd"/>
      <w:r>
        <w:t xml:space="preserve"> K, et al. </w:t>
      </w:r>
      <w:hyperlink r:id="rId33">
        <w:r>
          <w:rPr>
            <w:rStyle w:val="aff"/>
          </w:rPr>
          <w:t>MassBank: A public repository for sharing mass spectral data for life sciences</w:t>
        </w:r>
      </w:hyperlink>
      <w:r>
        <w:t xml:space="preserve">. Journal of mass spectrometry: JMS. 2010 Jul;45(7):703–14. </w:t>
      </w:r>
    </w:p>
    <w:p w14:paraId="53FE3CB7" w14:textId="77777777" w:rsidR="004740A5" w:rsidRDefault="00000000">
      <w:pPr>
        <w:pStyle w:val="afa"/>
      </w:pPr>
      <w:bookmarkStart w:id="49" w:name="ref-2012ac"/>
      <w:bookmarkEnd w:id="48"/>
      <w:r>
        <w:t xml:space="preserve">15. </w:t>
      </w:r>
      <w:r>
        <w:tab/>
        <w:t xml:space="preserve">Sawada Y, Nakabayashi R, Yamada Y, Suzuki M, Sato M, Sakata A, et al. </w:t>
      </w:r>
      <w:hyperlink r:id="rId34">
        <w:r>
          <w:rPr>
            <w:rStyle w:val="aff"/>
          </w:rPr>
          <w:t>RIKEN tandem mass spectral database (ReSpect) for phytochemicals: A plant-specific MS/MS-based data resource and database</w:t>
        </w:r>
      </w:hyperlink>
      <w:r>
        <w:t xml:space="preserve">. Phytochemistry. 2012 </w:t>
      </w:r>
      <w:proofErr w:type="gramStart"/>
      <w:r>
        <w:t>Oct;82:38</w:t>
      </w:r>
      <w:proofErr w:type="gramEnd"/>
      <w:r>
        <w:t xml:space="preserve">–45. </w:t>
      </w:r>
    </w:p>
    <w:p w14:paraId="5B6C2CB1" w14:textId="77777777" w:rsidR="004740A5" w:rsidRDefault="00000000">
      <w:pPr>
        <w:pStyle w:val="afa"/>
      </w:pPr>
      <w:bookmarkStart w:id="50" w:name="ref-2015ak"/>
      <w:bookmarkEnd w:id="49"/>
      <w:r>
        <w:t xml:space="preserve">16. </w:t>
      </w:r>
      <w:r>
        <w:tab/>
        <w:t xml:space="preserve">Lei Z, Jing L, </w:t>
      </w:r>
      <w:proofErr w:type="spellStart"/>
      <w:r>
        <w:t>Qiu</w:t>
      </w:r>
      <w:proofErr w:type="spellEnd"/>
      <w:r>
        <w:t xml:space="preserve"> F, Zhang H, </w:t>
      </w:r>
      <w:proofErr w:type="spellStart"/>
      <w:r>
        <w:t>Huhman</w:t>
      </w:r>
      <w:proofErr w:type="spellEnd"/>
      <w:r>
        <w:t xml:space="preserve"> D, Zhou Z, et al. </w:t>
      </w:r>
      <w:hyperlink r:id="rId35">
        <w:r>
          <w:rPr>
            <w:rStyle w:val="aff"/>
          </w:rPr>
          <w:t>Construction of an Ultrahigh Pressure Liquid Chromatography-Tandem Mass Spectral Library of Plant Natural Products and Comparative Spectral Analyses</w:t>
        </w:r>
      </w:hyperlink>
      <w:r>
        <w:t xml:space="preserve">. Analytical Chemistry. 2015 Jul;87(14):7373–81. </w:t>
      </w:r>
    </w:p>
    <w:p w14:paraId="5FFB77F0" w14:textId="77777777" w:rsidR="004740A5" w:rsidRDefault="00000000">
      <w:pPr>
        <w:pStyle w:val="afa"/>
      </w:pPr>
      <w:bookmarkStart w:id="51" w:name="ref-2020cp"/>
      <w:bookmarkEnd w:id="50"/>
      <w:r>
        <w:t xml:space="preserve">17. </w:t>
      </w:r>
      <w:r>
        <w:tab/>
        <w:t xml:space="preserve">Lee S, Hwang S, </w:t>
      </w:r>
      <w:proofErr w:type="spellStart"/>
      <w:r>
        <w:t>Seo</w:t>
      </w:r>
      <w:proofErr w:type="spellEnd"/>
      <w:r>
        <w:t xml:space="preserve"> M, Shin KB, Kim KH, Park GW, et al. </w:t>
      </w:r>
      <w:hyperlink r:id="rId36">
        <w:r>
          <w:rPr>
            <w:rStyle w:val="aff"/>
          </w:rPr>
          <w:t>BMDMS-NP: A comprehensive ESI-MS/MS spectral library of natural compounds</w:t>
        </w:r>
      </w:hyperlink>
      <w:r>
        <w:t xml:space="preserve">. Phytochemistry. 2020 </w:t>
      </w:r>
      <w:proofErr w:type="gramStart"/>
      <w:r>
        <w:t>Sep;177:112427</w:t>
      </w:r>
      <w:proofErr w:type="gramEnd"/>
      <w:r>
        <w:t xml:space="preserve">. </w:t>
      </w:r>
    </w:p>
    <w:p w14:paraId="4D3512C5" w14:textId="77777777" w:rsidR="004740A5" w:rsidRDefault="00000000">
      <w:pPr>
        <w:pStyle w:val="afa"/>
      </w:pPr>
      <w:bookmarkStart w:id="52" w:name="ref-2020cm"/>
      <w:bookmarkEnd w:id="51"/>
      <w:r>
        <w:t xml:space="preserve">18. </w:t>
      </w:r>
      <w:r>
        <w:tab/>
        <w:t xml:space="preserve">Wang M, Jarmusch AK, Vargas F, Aksenov AA, </w:t>
      </w:r>
      <w:proofErr w:type="spellStart"/>
      <w:r>
        <w:t>Gauglitz</w:t>
      </w:r>
      <w:proofErr w:type="spellEnd"/>
      <w:r>
        <w:t xml:space="preserve"> JM, Weldon K, et al. </w:t>
      </w:r>
      <w:hyperlink r:id="rId37">
        <w:r>
          <w:rPr>
            <w:rStyle w:val="aff"/>
          </w:rPr>
          <w:t>Mass spectrometry searches using MASST</w:t>
        </w:r>
      </w:hyperlink>
      <w:r>
        <w:t xml:space="preserve">. Nature Biotechnology. 2020 Jan;38(1):23–6. </w:t>
      </w:r>
    </w:p>
    <w:p w14:paraId="081DEE94" w14:textId="77777777" w:rsidR="004740A5" w:rsidRDefault="00000000">
      <w:pPr>
        <w:pStyle w:val="afa"/>
      </w:pPr>
      <w:bookmarkStart w:id="53" w:name="ref-2010c"/>
      <w:bookmarkEnd w:id="52"/>
      <w:r>
        <w:t xml:space="preserve">19. </w:t>
      </w:r>
      <w:r>
        <w:tab/>
        <w:t>Wolf S, Schmidt S, Müller-</w:t>
      </w:r>
      <w:proofErr w:type="spellStart"/>
      <w:r>
        <w:t>Hannemann</w:t>
      </w:r>
      <w:proofErr w:type="spellEnd"/>
      <w:r>
        <w:t xml:space="preserve"> M, Neumann S. </w:t>
      </w:r>
      <w:hyperlink r:id="rId38">
        <w:r>
          <w:rPr>
            <w:rStyle w:val="aff"/>
          </w:rPr>
          <w:t>In silico fragmentation for computer assisted identification of metabolite mass spectra</w:t>
        </w:r>
      </w:hyperlink>
      <w:r>
        <w:t xml:space="preserve">. BMC Bioinformatics. 2010 Dec;11(1):148. </w:t>
      </w:r>
    </w:p>
    <w:p w14:paraId="7F566387" w14:textId="77777777" w:rsidR="004740A5" w:rsidRDefault="00000000">
      <w:pPr>
        <w:pStyle w:val="afa"/>
      </w:pPr>
      <w:bookmarkStart w:id="54" w:name="ref-2015c"/>
      <w:bookmarkEnd w:id="53"/>
      <w:r>
        <w:t xml:space="preserve">20. </w:t>
      </w:r>
      <w:r>
        <w:tab/>
        <w:t xml:space="preserve">Allen F, Greiner R, Wishart D. </w:t>
      </w:r>
      <w:hyperlink r:id="rId39">
        <w:r>
          <w:rPr>
            <w:rStyle w:val="aff"/>
          </w:rPr>
          <w:t>Competitive fragmentation modeling of ESI-MS/MS spectra for putative metabolite identification</w:t>
        </w:r>
      </w:hyperlink>
      <w:r>
        <w:t xml:space="preserve">. Metabolomics. 2015 Feb;11(1):98–110. </w:t>
      </w:r>
    </w:p>
    <w:p w14:paraId="303521FD" w14:textId="77777777" w:rsidR="004740A5" w:rsidRDefault="00000000">
      <w:pPr>
        <w:pStyle w:val="afa"/>
      </w:pPr>
      <w:bookmarkStart w:id="55" w:name="ref-2016am"/>
      <w:bookmarkEnd w:id="54"/>
      <w:r>
        <w:t xml:space="preserve">21. </w:t>
      </w:r>
      <w:r>
        <w:tab/>
      </w:r>
      <w:proofErr w:type="spellStart"/>
      <w:r>
        <w:t>Ruttkies</w:t>
      </w:r>
      <w:proofErr w:type="spellEnd"/>
      <w:r>
        <w:t xml:space="preserve"> C, </w:t>
      </w:r>
      <w:proofErr w:type="spellStart"/>
      <w:r>
        <w:t>Schymanski</w:t>
      </w:r>
      <w:proofErr w:type="spellEnd"/>
      <w:r>
        <w:t xml:space="preserve"> EL, Wolf S, </w:t>
      </w:r>
      <w:proofErr w:type="spellStart"/>
      <w:r>
        <w:t>Hollender</w:t>
      </w:r>
      <w:proofErr w:type="spellEnd"/>
      <w:r>
        <w:t xml:space="preserve"> J, Neumann S. </w:t>
      </w:r>
      <w:hyperlink r:id="rId40">
        <w:r>
          <w:rPr>
            <w:rStyle w:val="aff"/>
          </w:rPr>
          <w:t>MetFrag relaunched: Incorporating strategies beyond in silico fragmentation</w:t>
        </w:r>
      </w:hyperlink>
      <w:r>
        <w:t xml:space="preserve">. Journal of Cheminformatics. </w:t>
      </w:r>
      <w:proofErr w:type="gramStart"/>
      <w:r>
        <w:t>2016;8:3</w:t>
      </w:r>
      <w:proofErr w:type="gramEnd"/>
      <w:r>
        <w:t xml:space="preserve">. </w:t>
      </w:r>
    </w:p>
    <w:p w14:paraId="0165A8C7" w14:textId="77777777" w:rsidR="004740A5" w:rsidRDefault="00000000">
      <w:pPr>
        <w:pStyle w:val="afa"/>
      </w:pPr>
      <w:bookmarkStart w:id="56" w:name="ref-2017aq"/>
      <w:bookmarkEnd w:id="55"/>
      <w:r>
        <w:t xml:space="preserve">22. </w:t>
      </w:r>
      <w:r>
        <w:tab/>
      </w:r>
      <w:proofErr w:type="spellStart"/>
      <w:r>
        <w:t>Blaženović</w:t>
      </w:r>
      <w:proofErr w:type="spellEnd"/>
      <w:r>
        <w:t xml:space="preserve"> I, Kind T, </w:t>
      </w:r>
      <w:proofErr w:type="spellStart"/>
      <w:r>
        <w:t>Torbašinović</w:t>
      </w:r>
      <w:proofErr w:type="spellEnd"/>
      <w:r>
        <w:t xml:space="preserve"> H, </w:t>
      </w:r>
      <w:proofErr w:type="spellStart"/>
      <w:r>
        <w:t>Obrenović</w:t>
      </w:r>
      <w:proofErr w:type="spellEnd"/>
      <w:r>
        <w:t xml:space="preserve"> S, Mehta SS, </w:t>
      </w:r>
      <w:proofErr w:type="spellStart"/>
      <w:r>
        <w:t>Tsugawa</w:t>
      </w:r>
      <w:proofErr w:type="spellEnd"/>
      <w:r>
        <w:t xml:space="preserve"> H, et al. </w:t>
      </w:r>
      <w:hyperlink r:id="rId41">
        <w:r>
          <w:rPr>
            <w:rStyle w:val="aff"/>
          </w:rPr>
          <w:t xml:space="preserve">Comprehensive comparison of in silico MS/MS fragmentation tools of the CASMI contest: </w:t>
        </w:r>
        <w:r>
          <w:rPr>
            <w:rStyle w:val="aff"/>
          </w:rPr>
          <w:lastRenderedPageBreak/>
          <w:t>Database boosting is needed to achieve 93% accuracy</w:t>
        </w:r>
      </w:hyperlink>
      <w:r>
        <w:t xml:space="preserve">. Journal of Cheminformatics. 2017 May;9(1):32. </w:t>
      </w:r>
    </w:p>
    <w:p w14:paraId="340880CF" w14:textId="77777777" w:rsidR="004740A5" w:rsidRDefault="00000000">
      <w:pPr>
        <w:pStyle w:val="afa"/>
      </w:pPr>
      <w:bookmarkStart w:id="57" w:name="ref-2017ap"/>
      <w:bookmarkEnd w:id="56"/>
      <w:r>
        <w:t xml:space="preserve">23. </w:t>
      </w:r>
      <w:r>
        <w:tab/>
        <w:t xml:space="preserve">Wang Y, Wang X, Zeng X. </w:t>
      </w:r>
      <w:hyperlink r:id="rId42">
        <w:r>
          <w:rPr>
            <w:rStyle w:val="aff"/>
          </w:rPr>
          <w:t>MIDAS-G: A computational platform for investigating fragmentation rules of tandem mass spectrometry in metabolomics</w:t>
        </w:r>
      </w:hyperlink>
      <w:r>
        <w:t xml:space="preserve">. Metabolomics. 2017 Oct;13(10):116. </w:t>
      </w:r>
    </w:p>
    <w:p w14:paraId="4542469D" w14:textId="77777777" w:rsidR="004740A5" w:rsidRDefault="00000000">
      <w:pPr>
        <w:pStyle w:val="afa"/>
      </w:pPr>
      <w:bookmarkStart w:id="58" w:name="ref-2018ax"/>
      <w:bookmarkEnd w:id="57"/>
      <w:r>
        <w:t xml:space="preserve">24. </w:t>
      </w:r>
      <w:r>
        <w:tab/>
        <w:t xml:space="preserve">da Silva RR, Wang M, </w:t>
      </w:r>
      <w:proofErr w:type="spellStart"/>
      <w:r>
        <w:t>Nothias</w:t>
      </w:r>
      <w:proofErr w:type="spellEnd"/>
      <w:r>
        <w:t xml:space="preserve"> L-F, van der Hooft JJJ, Caraballo-Rodríguez AM, Fox E, et al. </w:t>
      </w:r>
      <w:hyperlink r:id="rId43">
        <w:r>
          <w:rPr>
            <w:rStyle w:val="aff"/>
          </w:rPr>
          <w:t>Propagating annotations of molecular networks using in silico fragmentation</w:t>
        </w:r>
      </w:hyperlink>
      <w:r>
        <w:t xml:space="preserve">. </w:t>
      </w:r>
      <w:proofErr w:type="spellStart"/>
      <w:r>
        <w:t>PLoS</w:t>
      </w:r>
      <w:proofErr w:type="spellEnd"/>
      <w:r>
        <w:t xml:space="preserve"> computational biology. 2018 Apr;14(4</w:t>
      </w:r>
      <w:proofErr w:type="gramStart"/>
      <w:r>
        <w:t>):e</w:t>
      </w:r>
      <w:proofErr w:type="gramEnd"/>
      <w:r>
        <w:t xml:space="preserve">1006089. </w:t>
      </w:r>
    </w:p>
    <w:p w14:paraId="1A9BC9F8" w14:textId="77777777" w:rsidR="004740A5" w:rsidRDefault="00000000">
      <w:pPr>
        <w:pStyle w:val="afa"/>
      </w:pPr>
      <w:bookmarkStart w:id="59" w:name="ref-2019bn"/>
      <w:bookmarkEnd w:id="58"/>
      <w:r>
        <w:t xml:space="preserve">25. </w:t>
      </w:r>
      <w:r>
        <w:tab/>
      </w:r>
      <w:proofErr w:type="spellStart"/>
      <w:r>
        <w:t>Djoumbou-Feunang</w:t>
      </w:r>
      <w:proofErr w:type="spellEnd"/>
      <w:r>
        <w:t xml:space="preserve"> Y, </w:t>
      </w:r>
      <w:proofErr w:type="spellStart"/>
      <w:r>
        <w:t>Pon</w:t>
      </w:r>
      <w:proofErr w:type="spellEnd"/>
      <w:r>
        <w:t xml:space="preserve"> A, </w:t>
      </w:r>
      <w:proofErr w:type="spellStart"/>
      <w:r>
        <w:t>Karu</w:t>
      </w:r>
      <w:proofErr w:type="spellEnd"/>
      <w:r>
        <w:t xml:space="preserve"> N, Zheng J, Li C, Arndt D, et al. </w:t>
      </w:r>
      <w:hyperlink r:id="rId44">
        <w:r>
          <w:rPr>
            <w:rStyle w:val="aff"/>
          </w:rPr>
          <w:t>CFM-ID 3.0: Significantly Improved ESI-MS/MS Prediction and Compound Identification</w:t>
        </w:r>
      </w:hyperlink>
      <w:r>
        <w:t xml:space="preserve">. Metabolites. 2019 Apr;9(4):72. </w:t>
      </w:r>
    </w:p>
    <w:p w14:paraId="659FF17A" w14:textId="77777777" w:rsidR="004740A5" w:rsidRDefault="00000000">
      <w:pPr>
        <w:pStyle w:val="afa"/>
      </w:pPr>
      <w:bookmarkStart w:id="60" w:name="ref-2020"/>
      <w:bookmarkEnd w:id="59"/>
      <w:r>
        <w:t xml:space="preserve">26. </w:t>
      </w:r>
      <w:r>
        <w:tab/>
        <w:t xml:space="preserve">Ludwig M, </w:t>
      </w:r>
      <w:proofErr w:type="spellStart"/>
      <w:r>
        <w:t>Fleischauer</w:t>
      </w:r>
      <w:proofErr w:type="spellEnd"/>
      <w:r>
        <w:t xml:space="preserve"> M, </w:t>
      </w:r>
      <w:proofErr w:type="spellStart"/>
      <w:r>
        <w:t>Dührkop</w:t>
      </w:r>
      <w:proofErr w:type="spellEnd"/>
      <w:r>
        <w:t xml:space="preserve"> K, Hoffmann MA, </w:t>
      </w:r>
      <w:proofErr w:type="spellStart"/>
      <w:r>
        <w:t>Böcker</w:t>
      </w:r>
      <w:proofErr w:type="spellEnd"/>
      <w:r>
        <w:t xml:space="preserve"> S. </w:t>
      </w:r>
      <w:hyperlink r:id="rId45">
        <w:r>
          <w:rPr>
            <w:rStyle w:val="aff"/>
          </w:rPr>
          <w:t>De Novo Molecular Formula Annotation and Structure Elucidation Using SIRIUS 4</w:t>
        </w:r>
      </w:hyperlink>
      <w:r>
        <w:t xml:space="preserve">. In: Li S, editor. Computational Methods and Data Analysis for Metabolomics. New York, NY: Springer US; 2020. p. 185–207. </w:t>
      </w:r>
    </w:p>
    <w:p w14:paraId="43FFD2FA" w14:textId="77777777" w:rsidR="004740A5" w:rsidRDefault="00000000">
      <w:pPr>
        <w:pStyle w:val="afa"/>
      </w:pPr>
      <w:bookmarkStart w:id="61" w:name="ref-2020cn"/>
      <w:bookmarkEnd w:id="60"/>
      <w:r>
        <w:t xml:space="preserve">27. </w:t>
      </w:r>
      <w:r>
        <w:tab/>
        <w:t xml:space="preserve">Chao A, Al-Ghoul H, </w:t>
      </w:r>
      <w:proofErr w:type="spellStart"/>
      <w:r>
        <w:t>McEachran</w:t>
      </w:r>
      <w:proofErr w:type="spellEnd"/>
      <w:r>
        <w:t xml:space="preserve"> AD, </w:t>
      </w:r>
      <w:proofErr w:type="spellStart"/>
      <w:r>
        <w:t>Balabin</w:t>
      </w:r>
      <w:proofErr w:type="spellEnd"/>
      <w:r>
        <w:t xml:space="preserve"> I, </w:t>
      </w:r>
      <w:proofErr w:type="spellStart"/>
      <w:r>
        <w:t>Transue</w:t>
      </w:r>
      <w:proofErr w:type="spellEnd"/>
      <w:r>
        <w:t xml:space="preserve"> T, Cathey T, et al. </w:t>
      </w:r>
      <w:hyperlink r:id="rId46">
        <w:r>
          <w:rPr>
            <w:rStyle w:val="aff"/>
          </w:rPr>
          <w:t>In silico MS/MS spectra for identifying unknowns: A critical examination using CFM-ID algorithms and ENTACT mixture samples</w:t>
        </w:r>
      </w:hyperlink>
      <w:r>
        <w:t xml:space="preserve">. Analytical and Bioanalytical Chemistry. 2020 Feb;412(6):1303–15. </w:t>
      </w:r>
    </w:p>
    <w:p w14:paraId="484D8BC0" w14:textId="77777777" w:rsidR="004740A5" w:rsidRDefault="00000000">
      <w:pPr>
        <w:pStyle w:val="afa"/>
      </w:pPr>
      <w:bookmarkStart w:id="62" w:name="ref-2013w"/>
      <w:bookmarkEnd w:id="61"/>
      <w:r>
        <w:t xml:space="preserve">28. </w:t>
      </w:r>
      <w:r>
        <w:tab/>
        <w:t xml:space="preserve">Kind T, Liu K-H, Lee DY, </w:t>
      </w:r>
      <w:proofErr w:type="spellStart"/>
      <w:r>
        <w:t>DeFelice</w:t>
      </w:r>
      <w:proofErr w:type="spellEnd"/>
      <w:r>
        <w:t xml:space="preserve"> B, Meissen JK, </w:t>
      </w:r>
      <w:proofErr w:type="spellStart"/>
      <w:r>
        <w:t>Fiehn</w:t>
      </w:r>
      <w:proofErr w:type="spellEnd"/>
      <w:r>
        <w:t xml:space="preserve"> O. </w:t>
      </w:r>
      <w:hyperlink r:id="rId47">
        <w:r>
          <w:rPr>
            <w:rStyle w:val="aff"/>
          </w:rPr>
          <w:t>LipidBlast in silico tandem mass spectrometry database for lipid identification</w:t>
        </w:r>
      </w:hyperlink>
      <w:r>
        <w:t xml:space="preserve">. Nature Methods. 2013 Aug;10(8):755–8. </w:t>
      </w:r>
    </w:p>
    <w:p w14:paraId="61F710CD" w14:textId="77777777" w:rsidR="004740A5" w:rsidRDefault="00000000">
      <w:pPr>
        <w:pStyle w:val="afa"/>
      </w:pPr>
      <w:bookmarkStart w:id="63" w:name="ref-2015aj"/>
      <w:bookmarkEnd w:id="62"/>
      <w:r>
        <w:t xml:space="preserve">29. </w:t>
      </w:r>
      <w:r>
        <w:tab/>
      </w:r>
      <w:proofErr w:type="spellStart"/>
      <w:r>
        <w:t>Jeffryes</w:t>
      </w:r>
      <w:proofErr w:type="spellEnd"/>
      <w:r>
        <w:t xml:space="preserve"> JG, </w:t>
      </w:r>
      <w:proofErr w:type="spellStart"/>
      <w:r>
        <w:t>Colastani</w:t>
      </w:r>
      <w:proofErr w:type="spellEnd"/>
      <w:r>
        <w:t xml:space="preserve"> RL, </w:t>
      </w:r>
      <w:proofErr w:type="spellStart"/>
      <w:r>
        <w:t>Elbadawi</w:t>
      </w:r>
      <w:proofErr w:type="spellEnd"/>
      <w:r>
        <w:t xml:space="preserve">-Sidhu M, Kind T, Niehaus TD, </w:t>
      </w:r>
      <w:proofErr w:type="spellStart"/>
      <w:r>
        <w:t>Broadbelt</w:t>
      </w:r>
      <w:proofErr w:type="spellEnd"/>
      <w:r>
        <w:t xml:space="preserve"> LJ, et al. </w:t>
      </w:r>
      <w:hyperlink r:id="rId48">
        <w:r>
          <w:rPr>
            <w:rStyle w:val="aff"/>
          </w:rPr>
          <w:t>MINEs: Open access databases of computationally predicted enzyme promiscuity products for untargeted metabolomics</w:t>
        </w:r>
      </w:hyperlink>
      <w:r>
        <w:t xml:space="preserve">. Journal of Cheminformatics. </w:t>
      </w:r>
      <w:proofErr w:type="gramStart"/>
      <w:r>
        <w:t>2015;7:44</w:t>
      </w:r>
      <w:proofErr w:type="gramEnd"/>
      <w:r>
        <w:t xml:space="preserve">. </w:t>
      </w:r>
    </w:p>
    <w:p w14:paraId="5E4C7052" w14:textId="77777777" w:rsidR="004740A5" w:rsidRDefault="00000000">
      <w:pPr>
        <w:pStyle w:val="afa"/>
      </w:pPr>
      <w:bookmarkStart w:id="64" w:name="ref-2012ab"/>
      <w:bookmarkEnd w:id="63"/>
      <w:r>
        <w:t xml:space="preserve">30. </w:t>
      </w:r>
      <w:r>
        <w:tab/>
      </w:r>
      <w:proofErr w:type="spellStart"/>
      <w:r>
        <w:t>Heinonen</w:t>
      </w:r>
      <w:proofErr w:type="spellEnd"/>
      <w:r>
        <w:t xml:space="preserve"> M, Shen H, Zamboni N, </w:t>
      </w:r>
      <w:proofErr w:type="spellStart"/>
      <w:r>
        <w:t>Rousu</w:t>
      </w:r>
      <w:proofErr w:type="spellEnd"/>
      <w:r>
        <w:t xml:space="preserve"> J. </w:t>
      </w:r>
      <w:hyperlink r:id="rId49">
        <w:r>
          <w:rPr>
            <w:rStyle w:val="aff"/>
          </w:rPr>
          <w:t>Metabolite identification and molecular fingerprint prediction through machine learning</w:t>
        </w:r>
      </w:hyperlink>
      <w:r>
        <w:t xml:space="preserve">. Bioinformatics (Oxford, England). 2012 Sep;28(18):2333–41. </w:t>
      </w:r>
    </w:p>
    <w:p w14:paraId="357DF08D" w14:textId="77777777" w:rsidR="004740A5" w:rsidRDefault="00000000">
      <w:pPr>
        <w:pStyle w:val="afa"/>
      </w:pPr>
      <w:bookmarkStart w:id="65" w:name="ref-duhrkop_searching_2015"/>
      <w:bookmarkEnd w:id="64"/>
      <w:r>
        <w:t xml:space="preserve">31. </w:t>
      </w:r>
      <w:r>
        <w:tab/>
      </w:r>
      <w:proofErr w:type="spellStart"/>
      <w:r>
        <w:t>Dührkop</w:t>
      </w:r>
      <w:proofErr w:type="spellEnd"/>
      <w:r>
        <w:t xml:space="preserve"> K, Shen H, </w:t>
      </w:r>
      <w:proofErr w:type="spellStart"/>
      <w:r>
        <w:t>Meusel</w:t>
      </w:r>
      <w:proofErr w:type="spellEnd"/>
      <w:r>
        <w:t xml:space="preserve"> M, </w:t>
      </w:r>
      <w:proofErr w:type="spellStart"/>
      <w:r>
        <w:t>Rousu</w:t>
      </w:r>
      <w:proofErr w:type="spellEnd"/>
      <w:r>
        <w:t xml:space="preserve"> J, </w:t>
      </w:r>
      <w:proofErr w:type="spellStart"/>
      <w:r>
        <w:t>Böcker</w:t>
      </w:r>
      <w:proofErr w:type="spellEnd"/>
      <w:r>
        <w:t xml:space="preserve"> S. </w:t>
      </w:r>
      <w:hyperlink r:id="rId50">
        <w:r>
          <w:rPr>
            <w:rStyle w:val="aff"/>
          </w:rPr>
          <w:t xml:space="preserve">Searching molecular structure databases with tandem mass spectra using </w:t>
        </w:r>
        <w:proofErr w:type="gramStart"/>
        <w:r>
          <w:rPr>
            <w:rStyle w:val="aff"/>
          </w:rPr>
          <w:t>CSI:FingerID</w:t>
        </w:r>
        <w:proofErr w:type="gramEnd"/>
      </w:hyperlink>
      <w:r>
        <w:t xml:space="preserve">. Proceedings of the National Academy of Sciences. 2015 Oct;112(41):12580–5. </w:t>
      </w:r>
    </w:p>
    <w:p w14:paraId="3B82273E" w14:textId="77777777" w:rsidR="004740A5" w:rsidRDefault="00000000">
      <w:pPr>
        <w:pStyle w:val="afa"/>
      </w:pPr>
      <w:bookmarkStart w:id="66" w:name="ref-2018ay"/>
      <w:bookmarkEnd w:id="65"/>
      <w:r>
        <w:t xml:space="preserve">32. </w:t>
      </w:r>
      <w:r>
        <w:tab/>
        <w:t xml:space="preserve">Ludwig M, </w:t>
      </w:r>
      <w:proofErr w:type="spellStart"/>
      <w:r>
        <w:t>Dührkop</w:t>
      </w:r>
      <w:proofErr w:type="spellEnd"/>
      <w:r>
        <w:t xml:space="preserve"> K, </w:t>
      </w:r>
      <w:proofErr w:type="spellStart"/>
      <w:r>
        <w:t>Böcker</w:t>
      </w:r>
      <w:proofErr w:type="spellEnd"/>
      <w:r>
        <w:t xml:space="preserve"> S. </w:t>
      </w:r>
      <w:hyperlink r:id="rId51">
        <w:r>
          <w:rPr>
            <w:rStyle w:val="aff"/>
          </w:rPr>
          <w:t>Bayesian networks for mass spectrometric metabolite identification via molecular fingerprints</w:t>
        </w:r>
      </w:hyperlink>
      <w:r>
        <w:t>. Bioinformatics (Oxford, England). 2018 Jul;34(13</w:t>
      </w:r>
      <w:proofErr w:type="gramStart"/>
      <w:r>
        <w:t>):i</w:t>
      </w:r>
      <w:proofErr w:type="gramEnd"/>
      <w:r>
        <w:t xml:space="preserve">333–40. </w:t>
      </w:r>
    </w:p>
    <w:p w14:paraId="0B283D15" w14:textId="77777777" w:rsidR="004740A5" w:rsidRDefault="00000000">
      <w:pPr>
        <w:pStyle w:val="afa"/>
      </w:pPr>
      <w:bookmarkStart w:id="67" w:name="ref-2019bo"/>
      <w:bookmarkEnd w:id="66"/>
      <w:r>
        <w:t xml:space="preserve">33. </w:t>
      </w:r>
      <w:r>
        <w:tab/>
      </w:r>
      <w:proofErr w:type="spellStart"/>
      <w:r>
        <w:t>Frainay</w:t>
      </w:r>
      <w:proofErr w:type="spellEnd"/>
      <w:r>
        <w:t xml:space="preserve"> C, </w:t>
      </w:r>
      <w:proofErr w:type="spellStart"/>
      <w:r>
        <w:t>Aros</w:t>
      </w:r>
      <w:proofErr w:type="spellEnd"/>
      <w:r>
        <w:t xml:space="preserve"> S, </w:t>
      </w:r>
      <w:proofErr w:type="spellStart"/>
      <w:r>
        <w:t>Chazalviel</w:t>
      </w:r>
      <w:proofErr w:type="spellEnd"/>
      <w:r>
        <w:t xml:space="preserve"> M, Garcia T, Vinson F, Weiss N, et al. </w:t>
      </w:r>
      <w:hyperlink r:id="rId52">
        <w:r>
          <w:rPr>
            <w:rStyle w:val="aff"/>
          </w:rPr>
          <w:t>MetaboRank: Network-based recommendation system to interpret and enrich metabolomics results</w:t>
        </w:r>
      </w:hyperlink>
      <w:r>
        <w:t xml:space="preserve">. Bioinformatics (Oxford, England). 2019 Jan;35(2):274–83. </w:t>
      </w:r>
    </w:p>
    <w:p w14:paraId="21BC1404" w14:textId="77777777" w:rsidR="004740A5" w:rsidRDefault="00000000">
      <w:pPr>
        <w:pStyle w:val="afa"/>
      </w:pPr>
      <w:bookmarkStart w:id="68" w:name="ref-2019bk"/>
      <w:bookmarkEnd w:id="67"/>
      <w:r>
        <w:t xml:space="preserve">34. </w:t>
      </w:r>
      <w:r>
        <w:tab/>
        <w:t xml:space="preserve">Nguyen DH, Nguyen CH, </w:t>
      </w:r>
      <w:proofErr w:type="spellStart"/>
      <w:r>
        <w:t>Mamitsuka</w:t>
      </w:r>
      <w:proofErr w:type="spellEnd"/>
      <w:r>
        <w:t xml:space="preserve"> H. </w:t>
      </w:r>
      <w:hyperlink r:id="rId53">
        <w:r>
          <w:rPr>
            <w:rStyle w:val="aff"/>
          </w:rPr>
          <w:t>ADAPTIVE: leArning DAta-dePendenT, concIse molecular VEctors for fast, accurate metabolite identification from tandem mass spectra</w:t>
        </w:r>
      </w:hyperlink>
      <w:r>
        <w:t>. Bioinformatics. 2019 Jul;35(14</w:t>
      </w:r>
      <w:proofErr w:type="gramStart"/>
      <w:r>
        <w:t>):i</w:t>
      </w:r>
      <w:proofErr w:type="gramEnd"/>
      <w:r>
        <w:t xml:space="preserve">164–72. </w:t>
      </w:r>
    </w:p>
    <w:p w14:paraId="47589892" w14:textId="77777777" w:rsidR="004740A5" w:rsidRDefault="00000000">
      <w:pPr>
        <w:pStyle w:val="afa"/>
      </w:pPr>
      <w:bookmarkStart w:id="69" w:name="ref-2021cy"/>
      <w:bookmarkEnd w:id="68"/>
      <w:r>
        <w:lastRenderedPageBreak/>
        <w:t xml:space="preserve">35. </w:t>
      </w:r>
      <w:r>
        <w:tab/>
        <w:t xml:space="preserve">Cao L, </w:t>
      </w:r>
      <w:proofErr w:type="spellStart"/>
      <w:r>
        <w:t>Guler</w:t>
      </w:r>
      <w:proofErr w:type="spellEnd"/>
      <w:r>
        <w:t xml:space="preserve"> M, </w:t>
      </w:r>
      <w:proofErr w:type="spellStart"/>
      <w:r>
        <w:t>Tagirdzhanov</w:t>
      </w:r>
      <w:proofErr w:type="spellEnd"/>
      <w:r>
        <w:t xml:space="preserve"> A, Lee Y-Y, </w:t>
      </w:r>
      <w:proofErr w:type="spellStart"/>
      <w:r>
        <w:t>Gurevich</w:t>
      </w:r>
      <w:proofErr w:type="spellEnd"/>
      <w:r>
        <w:t xml:space="preserve"> A, </w:t>
      </w:r>
      <w:proofErr w:type="spellStart"/>
      <w:r>
        <w:t>Mohimani</w:t>
      </w:r>
      <w:proofErr w:type="spellEnd"/>
      <w:r>
        <w:t xml:space="preserve"> H. </w:t>
      </w:r>
      <w:hyperlink r:id="rId54">
        <w:r>
          <w:rPr>
            <w:rStyle w:val="aff"/>
          </w:rPr>
          <w:t>MolDiscovery: Learning mass spectrometry fragmentation of small molecules</w:t>
        </w:r>
      </w:hyperlink>
      <w:r>
        <w:t xml:space="preserve">. Nature Communications. 2021 Dec;12(1):3718. </w:t>
      </w:r>
    </w:p>
    <w:p w14:paraId="2CE1FEF1" w14:textId="77777777" w:rsidR="004740A5" w:rsidRDefault="00000000">
      <w:pPr>
        <w:pStyle w:val="afa"/>
      </w:pPr>
      <w:bookmarkStart w:id="70" w:name="ref-duhrkop_sirius_2019"/>
      <w:bookmarkEnd w:id="69"/>
      <w:r>
        <w:t xml:space="preserve">36. </w:t>
      </w:r>
      <w:r>
        <w:tab/>
      </w:r>
      <w:proofErr w:type="spellStart"/>
      <w:r>
        <w:t>Dührkop</w:t>
      </w:r>
      <w:proofErr w:type="spellEnd"/>
      <w:r>
        <w:t xml:space="preserve"> K, </w:t>
      </w:r>
      <w:proofErr w:type="spellStart"/>
      <w:r>
        <w:t>Fleischauer</w:t>
      </w:r>
      <w:proofErr w:type="spellEnd"/>
      <w:r>
        <w:t xml:space="preserve"> M, Ludwig M, Aksenov AA, </w:t>
      </w:r>
      <w:proofErr w:type="spellStart"/>
      <w:r>
        <w:t>Melnik</w:t>
      </w:r>
      <w:proofErr w:type="spellEnd"/>
      <w:r>
        <w:t xml:space="preserve"> AV, </w:t>
      </w:r>
      <w:proofErr w:type="spellStart"/>
      <w:r>
        <w:t>Meusel</w:t>
      </w:r>
      <w:proofErr w:type="spellEnd"/>
      <w:r>
        <w:t xml:space="preserve"> M, et al. </w:t>
      </w:r>
      <w:hyperlink r:id="rId55">
        <w:r>
          <w:rPr>
            <w:rStyle w:val="aff"/>
          </w:rPr>
          <w:t>SIRIUS 4: A rapid tool for turning tandem mass spectra into metabolite structure information</w:t>
        </w:r>
      </w:hyperlink>
      <w:r>
        <w:t xml:space="preserve">. Nature Methods. 2019 Apr;16(4):299–302. </w:t>
      </w:r>
    </w:p>
    <w:p w14:paraId="74FE3E96" w14:textId="77777777" w:rsidR="004740A5" w:rsidRDefault="00000000">
      <w:pPr>
        <w:pStyle w:val="afa"/>
      </w:pPr>
      <w:bookmarkStart w:id="71" w:name="ref-2020b"/>
      <w:bookmarkEnd w:id="70"/>
      <w:r>
        <w:t xml:space="preserve">37. </w:t>
      </w:r>
      <w:r>
        <w:tab/>
        <w:t xml:space="preserve">Aron AT, Gentry EC, McPhail KL, </w:t>
      </w:r>
      <w:proofErr w:type="spellStart"/>
      <w:r>
        <w:t>Nothias</w:t>
      </w:r>
      <w:proofErr w:type="spellEnd"/>
      <w:r>
        <w:t xml:space="preserve"> L-F, </w:t>
      </w:r>
      <w:proofErr w:type="spellStart"/>
      <w:r>
        <w:t>Nothias</w:t>
      </w:r>
      <w:proofErr w:type="spellEnd"/>
      <w:r>
        <w:t xml:space="preserve">-Esposito M, </w:t>
      </w:r>
      <w:proofErr w:type="spellStart"/>
      <w:r>
        <w:t>Bouslimani</w:t>
      </w:r>
      <w:proofErr w:type="spellEnd"/>
      <w:r>
        <w:t xml:space="preserve"> A, et al. </w:t>
      </w:r>
      <w:hyperlink r:id="rId56">
        <w:r>
          <w:rPr>
            <w:rStyle w:val="aff"/>
          </w:rPr>
          <w:t>Reproducible molecular networking of untargeted mass spectrometry data using GNPS</w:t>
        </w:r>
      </w:hyperlink>
      <w:r>
        <w:t xml:space="preserve">. Nature Protocols. 2020 Jun;15(6):1954–91. </w:t>
      </w:r>
    </w:p>
    <w:p w14:paraId="58B3F4EE" w14:textId="77777777" w:rsidR="004740A5" w:rsidRDefault="00000000">
      <w:pPr>
        <w:pStyle w:val="afa"/>
      </w:pPr>
      <w:bookmarkStart w:id="72" w:name="ref-2000g"/>
      <w:bookmarkEnd w:id="71"/>
      <w:r>
        <w:t xml:space="preserve">38. </w:t>
      </w:r>
      <w:r>
        <w:tab/>
        <w:t xml:space="preserve">Ashburner M, Ball CA, Blake JA, Botstein D, Butler H, Cherry JM, et al. </w:t>
      </w:r>
      <w:hyperlink r:id="rId57">
        <w:r>
          <w:rPr>
            <w:rStyle w:val="aff"/>
          </w:rPr>
          <w:t>Gene ontology: Tool for the unification of biology. The Gene Ontology Consortium</w:t>
        </w:r>
      </w:hyperlink>
      <w:r>
        <w:t xml:space="preserve">. Nature Genetics. 2000 May;25(1):25–9. </w:t>
      </w:r>
    </w:p>
    <w:p w14:paraId="0AC832CB" w14:textId="77777777" w:rsidR="004740A5" w:rsidRDefault="00000000">
      <w:pPr>
        <w:pStyle w:val="afa"/>
      </w:pPr>
      <w:bookmarkStart w:id="73" w:name="ref-2016"/>
      <w:bookmarkEnd w:id="72"/>
      <w:r>
        <w:t xml:space="preserve">39. </w:t>
      </w:r>
      <w:r>
        <w:tab/>
      </w:r>
      <w:proofErr w:type="spellStart"/>
      <w:r>
        <w:t>Djoumbou</w:t>
      </w:r>
      <w:proofErr w:type="spellEnd"/>
      <w:r>
        <w:t xml:space="preserve"> </w:t>
      </w:r>
      <w:proofErr w:type="spellStart"/>
      <w:r>
        <w:t>Feunang</w:t>
      </w:r>
      <w:proofErr w:type="spellEnd"/>
      <w:r>
        <w:t xml:space="preserve"> Y, Eisner R, Knox C, </w:t>
      </w:r>
      <w:proofErr w:type="spellStart"/>
      <w:r>
        <w:t>Chepelev</w:t>
      </w:r>
      <w:proofErr w:type="spellEnd"/>
      <w:r>
        <w:t xml:space="preserve"> L, Hastings J, Owen G, et al. </w:t>
      </w:r>
      <w:hyperlink r:id="rId58">
        <w:r>
          <w:rPr>
            <w:rStyle w:val="aff"/>
          </w:rPr>
          <w:t>ClassyFire: Automated chemical classification with a comprehensive, computable taxonomy</w:t>
        </w:r>
      </w:hyperlink>
      <w:r>
        <w:t xml:space="preserve">. Journal of Cheminformatics. 2016 Dec;8(1):61. </w:t>
      </w:r>
    </w:p>
    <w:p w14:paraId="3D51518A" w14:textId="77777777" w:rsidR="004740A5" w:rsidRDefault="00000000">
      <w:pPr>
        <w:pStyle w:val="afa"/>
      </w:pPr>
      <w:bookmarkStart w:id="74" w:name="ref-2019bt"/>
      <w:bookmarkEnd w:id="73"/>
      <w:r>
        <w:t xml:space="preserve">40. </w:t>
      </w:r>
      <w:r>
        <w:tab/>
      </w:r>
      <w:proofErr w:type="spellStart"/>
      <w:r>
        <w:t>Blaženović</w:t>
      </w:r>
      <w:proofErr w:type="spellEnd"/>
      <w:r>
        <w:t xml:space="preserve"> I, Kind T, Sa MR, Ji J, </w:t>
      </w:r>
      <w:proofErr w:type="spellStart"/>
      <w:r>
        <w:t>Vaniya</w:t>
      </w:r>
      <w:proofErr w:type="spellEnd"/>
      <w:r>
        <w:t xml:space="preserve"> A, </w:t>
      </w:r>
      <w:proofErr w:type="spellStart"/>
      <w:r>
        <w:t>Wancewicz</w:t>
      </w:r>
      <w:proofErr w:type="spellEnd"/>
      <w:r>
        <w:t xml:space="preserve"> B, et al. </w:t>
      </w:r>
      <w:hyperlink r:id="rId59">
        <w:r>
          <w:rPr>
            <w:rStyle w:val="aff"/>
          </w:rPr>
          <w:t>Structure Annotation of All Mass Spectra in Untargeted Metabolomics.</w:t>
        </w:r>
      </w:hyperlink>
      <w:r>
        <w:t xml:space="preserve"> Analytical chemistry. 2019 Feb;91(3):2155–62. </w:t>
      </w:r>
    </w:p>
    <w:p w14:paraId="73B1F305" w14:textId="77777777" w:rsidR="004740A5" w:rsidRDefault="00000000">
      <w:pPr>
        <w:pStyle w:val="afa"/>
      </w:pPr>
      <w:bookmarkStart w:id="75" w:name="ref-2019br"/>
      <w:bookmarkEnd w:id="74"/>
      <w:r>
        <w:t xml:space="preserve">41. </w:t>
      </w:r>
      <w:r>
        <w:tab/>
        <w:t xml:space="preserve">Ernst M, Kang KB, Caraballo-Rodríguez AM, </w:t>
      </w:r>
      <w:proofErr w:type="spellStart"/>
      <w:r>
        <w:t>Nothias</w:t>
      </w:r>
      <w:proofErr w:type="spellEnd"/>
      <w:r>
        <w:t xml:space="preserve"> L-F, </w:t>
      </w:r>
      <w:proofErr w:type="spellStart"/>
      <w:r>
        <w:t>Wandy</w:t>
      </w:r>
      <w:proofErr w:type="spellEnd"/>
      <w:r>
        <w:t xml:space="preserve"> J, Chen C, et al. </w:t>
      </w:r>
      <w:hyperlink r:id="rId60">
        <w:r>
          <w:rPr>
            <w:rStyle w:val="aff"/>
          </w:rPr>
          <w:t>MolNetEnhancer: Enhanced Molecular Networks by Integrating Metabolome Mining and Annotation Tools.</w:t>
        </w:r>
      </w:hyperlink>
      <w:r>
        <w:t xml:space="preserve"> Metabolites. 2019 Jul;9(7). </w:t>
      </w:r>
    </w:p>
    <w:p w14:paraId="0CC5097F" w14:textId="77777777" w:rsidR="004740A5" w:rsidRDefault="00000000">
      <w:pPr>
        <w:pStyle w:val="afa"/>
      </w:pPr>
      <w:bookmarkStart w:id="76" w:name="ref-2019bs"/>
      <w:bookmarkEnd w:id="75"/>
      <w:r>
        <w:t xml:space="preserve">42. </w:t>
      </w:r>
      <w:r>
        <w:tab/>
        <w:t xml:space="preserve">Lee J, da Silva RR, Jang HS, Kim HW, Kwon YS, Kim J-H, et al. </w:t>
      </w:r>
      <w:hyperlink r:id="rId61">
        <w:r>
          <w:rPr>
            <w:rStyle w:val="aff"/>
          </w:rPr>
          <w:t>In silico annotation of discriminative markers of three Zanthoxylum species using molecular network derived annotation propagation.</w:t>
        </w:r>
      </w:hyperlink>
      <w:r>
        <w:t xml:space="preserve"> Food chemistry. 2019 </w:t>
      </w:r>
      <w:proofErr w:type="gramStart"/>
      <w:r>
        <w:t>Oct;295:368</w:t>
      </w:r>
      <w:proofErr w:type="gramEnd"/>
      <w:r>
        <w:t xml:space="preserve">–76. </w:t>
      </w:r>
    </w:p>
    <w:p w14:paraId="7E09F838" w14:textId="77777777" w:rsidR="004740A5" w:rsidRDefault="00000000">
      <w:pPr>
        <w:pStyle w:val="afa"/>
      </w:pPr>
      <w:bookmarkStart w:id="77" w:name="ref-2019bq"/>
      <w:bookmarkEnd w:id="76"/>
      <w:r>
        <w:t xml:space="preserve">43. </w:t>
      </w:r>
      <w:r>
        <w:tab/>
        <w:t xml:space="preserve">Sha B, </w:t>
      </w:r>
      <w:proofErr w:type="spellStart"/>
      <w:r>
        <w:t>Schymanski</w:t>
      </w:r>
      <w:proofErr w:type="spellEnd"/>
      <w:r>
        <w:t xml:space="preserve"> EL, </w:t>
      </w:r>
      <w:proofErr w:type="spellStart"/>
      <w:r>
        <w:t>Ruttkies</w:t>
      </w:r>
      <w:proofErr w:type="spellEnd"/>
      <w:r>
        <w:t xml:space="preserve"> C, Cousins IT, Wang Z. </w:t>
      </w:r>
      <w:hyperlink r:id="rId62">
        <w:r>
          <w:rPr>
            <w:rStyle w:val="aff"/>
          </w:rPr>
          <w:t>Exploring open cheminformatics approaches for categorizing per- and polyfluoroalkyl substances (PFASs).</w:t>
        </w:r>
      </w:hyperlink>
      <w:r>
        <w:t xml:space="preserve"> Environmental science Processes &amp; impacts. 2019 Nov;21(11):1835–51. </w:t>
      </w:r>
    </w:p>
    <w:p w14:paraId="5F846731" w14:textId="77777777" w:rsidR="004740A5" w:rsidRDefault="00000000">
      <w:pPr>
        <w:pStyle w:val="afa"/>
      </w:pPr>
      <w:bookmarkStart w:id="78" w:name="ref-2020cq"/>
      <w:bookmarkEnd w:id="77"/>
      <w:r>
        <w:t xml:space="preserve">44. </w:t>
      </w:r>
      <w:r>
        <w:tab/>
        <w:t xml:space="preserve">Moreno-Ulloa A, </w:t>
      </w:r>
      <w:proofErr w:type="spellStart"/>
      <w:r>
        <w:t>Sicairos</w:t>
      </w:r>
      <w:proofErr w:type="spellEnd"/>
      <w:r>
        <w:t xml:space="preserve"> Diaz V, Tejeda-Mora JA, Macias Contreras MI, Castillo FD, Guerrero A, et al. </w:t>
      </w:r>
      <w:hyperlink r:id="rId63">
        <w:r>
          <w:rPr>
            <w:rStyle w:val="aff"/>
          </w:rPr>
          <w:t>Chemical Profiling Provides Insights into the Metabolic Machinery of Hydrocarbon-Degrading Deep-Sea Microbes.</w:t>
        </w:r>
      </w:hyperlink>
      <w:r>
        <w:t xml:space="preserve"> </w:t>
      </w:r>
      <w:proofErr w:type="spellStart"/>
      <w:r>
        <w:t>mSystems</w:t>
      </w:r>
      <w:proofErr w:type="spellEnd"/>
      <w:r>
        <w:t xml:space="preserve">. 2020 Nov;5(6). </w:t>
      </w:r>
    </w:p>
    <w:p w14:paraId="75779D89" w14:textId="77777777" w:rsidR="004740A5" w:rsidRDefault="00000000">
      <w:pPr>
        <w:pStyle w:val="afa"/>
      </w:pPr>
      <w:bookmarkStart w:id="79" w:name="ref-2021b"/>
      <w:bookmarkEnd w:id="78"/>
      <w:r>
        <w:t xml:space="preserve">45. </w:t>
      </w:r>
      <w:r>
        <w:tab/>
        <w:t>Tripathi A, Vázquez-</w:t>
      </w:r>
      <w:proofErr w:type="spellStart"/>
      <w:r>
        <w:t>Baeza</w:t>
      </w:r>
      <w:proofErr w:type="spellEnd"/>
      <w:r>
        <w:t xml:space="preserve"> Y, </w:t>
      </w:r>
      <w:proofErr w:type="spellStart"/>
      <w:r>
        <w:t>Gauglitz</w:t>
      </w:r>
      <w:proofErr w:type="spellEnd"/>
      <w:r>
        <w:t xml:space="preserve"> JM, Wang M, </w:t>
      </w:r>
      <w:proofErr w:type="spellStart"/>
      <w:r>
        <w:t>Dührkop</w:t>
      </w:r>
      <w:proofErr w:type="spellEnd"/>
      <w:r>
        <w:t xml:space="preserve"> K, </w:t>
      </w:r>
      <w:proofErr w:type="spellStart"/>
      <w:r>
        <w:t>Nothias</w:t>
      </w:r>
      <w:proofErr w:type="spellEnd"/>
      <w:r>
        <w:t xml:space="preserve">-Esposito M, et al. </w:t>
      </w:r>
      <w:hyperlink r:id="rId64">
        <w:r>
          <w:rPr>
            <w:rStyle w:val="aff"/>
          </w:rPr>
          <w:t>Chemically informed analyses of metabolomics mass spectrometry data with Qemistree</w:t>
        </w:r>
      </w:hyperlink>
      <w:r>
        <w:t xml:space="preserve">. Nature Chemical Biology. 2021 Feb;17(2):146–51. </w:t>
      </w:r>
    </w:p>
    <w:p w14:paraId="08E38FB4" w14:textId="77777777" w:rsidR="004740A5" w:rsidRDefault="00000000">
      <w:pPr>
        <w:pStyle w:val="afa"/>
      </w:pPr>
      <w:bookmarkStart w:id="80" w:name="ref-2021da"/>
      <w:bookmarkEnd w:id="79"/>
      <w:r>
        <w:t xml:space="preserve">46. </w:t>
      </w:r>
      <w:r>
        <w:tab/>
        <w:t xml:space="preserve">Wang Y-K, Xiao X-R, Zhou Z-M, Xiao Y, Zhu W-F, Liu H-N, et al. </w:t>
      </w:r>
      <w:hyperlink r:id="rId65">
        <w:r>
          <w:rPr>
            <w:rStyle w:val="aff"/>
          </w:rPr>
          <w:t>A strategy combining solid-phase extraction, multiple mass defect filtering and molecular networking for rapid structural classification and annotation of natural products: Characterization of chemical diversity in Citrus aurantium as a case study.</w:t>
        </w:r>
      </w:hyperlink>
      <w:r>
        <w:t xml:space="preserve"> Analytical and bioanalytical chemistry. 2021 May;413(11):2879–91. </w:t>
      </w:r>
    </w:p>
    <w:p w14:paraId="1D0C947B" w14:textId="77777777" w:rsidR="004740A5" w:rsidRDefault="00000000">
      <w:pPr>
        <w:pStyle w:val="afa"/>
      </w:pPr>
      <w:bookmarkStart w:id="81" w:name="ref-2021cz"/>
      <w:bookmarkEnd w:id="80"/>
      <w:r>
        <w:t xml:space="preserve">47. </w:t>
      </w:r>
      <w:r>
        <w:tab/>
        <w:t xml:space="preserve">Neto FC, Raftery D. </w:t>
      </w:r>
      <w:hyperlink r:id="rId66">
        <w:r>
          <w:rPr>
            <w:rStyle w:val="aff"/>
          </w:rPr>
          <w:t>Expanding Urinary Metabolite Annotation through Integrated Mass Spectral Similarity Networking.</w:t>
        </w:r>
      </w:hyperlink>
      <w:r>
        <w:t xml:space="preserve"> Analytical chemistry. 2021 Sep;93(35):12001–10. </w:t>
      </w:r>
    </w:p>
    <w:p w14:paraId="06A8ECFB" w14:textId="77777777" w:rsidR="004740A5" w:rsidRDefault="00000000">
      <w:pPr>
        <w:pStyle w:val="afa"/>
      </w:pPr>
      <w:bookmarkStart w:id="82" w:name="ref-2022al"/>
      <w:bookmarkEnd w:id="81"/>
      <w:r>
        <w:lastRenderedPageBreak/>
        <w:t xml:space="preserve">48. </w:t>
      </w:r>
      <w:r>
        <w:tab/>
        <w:t xml:space="preserve">van Santen JA, Poynton EF, </w:t>
      </w:r>
      <w:proofErr w:type="spellStart"/>
      <w:r>
        <w:t>Iskakova</w:t>
      </w:r>
      <w:proofErr w:type="spellEnd"/>
      <w:r>
        <w:t xml:space="preserve"> D, McMann E, </w:t>
      </w:r>
      <w:proofErr w:type="spellStart"/>
      <w:r>
        <w:t>Alsup</w:t>
      </w:r>
      <w:proofErr w:type="spellEnd"/>
      <w:r>
        <w:t xml:space="preserve"> TA, Clark TN, et al. </w:t>
      </w:r>
      <w:hyperlink r:id="rId67">
        <w:r>
          <w:rPr>
            <w:rStyle w:val="aff"/>
          </w:rPr>
          <w:t>The Natural Products Atlas 2.0: A database of microbially-derived natural products.</w:t>
        </w:r>
      </w:hyperlink>
      <w:r>
        <w:t xml:space="preserve"> Nucleic acids research. 2022 Jan;50(D1</w:t>
      </w:r>
      <w:proofErr w:type="gramStart"/>
      <w:r>
        <w:t>):D</w:t>
      </w:r>
      <w:proofErr w:type="gramEnd"/>
      <w:r>
        <w:t xml:space="preserve">1317–23. </w:t>
      </w:r>
    </w:p>
    <w:p w14:paraId="199818CD" w14:textId="77777777" w:rsidR="004740A5" w:rsidRDefault="00000000">
      <w:pPr>
        <w:pStyle w:val="afa"/>
      </w:pPr>
      <w:bookmarkStart w:id="83" w:name="ref-2020cr"/>
      <w:bookmarkEnd w:id="82"/>
      <w:r>
        <w:t xml:space="preserve">49. </w:t>
      </w:r>
      <w:r>
        <w:tab/>
        <w:t xml:space="preserve">Quinn RA, </w:t>
      </w:r>
      <w:proofErr w:type="spellStart"/>
      <w:r>
        <w:t>Melnik</w:t>
      </w:r>
      <w:proofErr w:type="spellEnd"/>
      <w:r>
        <w:t xml:space="preserve"> AV, </w:t>
      </w:r>
      <w:proofErr w:type="spellStart"/>
      <w:r>
        <w:t>Vrbanac</w:t>
      </w:r>
      <w:proofErr w:type="spellEnd"/>
      <w:r>
        <w:t xml:space="preserve"> A, Fu T, Patras KA, Christy MP, et al. </w:t>
      </w:r>
      <w:hyperlink r:id="rId68">
        <w:r>
          <w:rPr>
            <w:rStyle w:val="aff"/>
          </w:rPr>
          <w:t>Global chemical effects of the microbiome include new bile-acid conjugations</w:t>
        </w:r>
      </w:hyperlink>
      <w:r>
        <w:t xml:space="preserve">. Nature. 2020 Mar;579(7797):123–9. </w:t>
      </w:r>
    </w:p>
    <w:p w14:paraId="7AFC2C1D" w14:textId="77777777" w:rsidR="004740A5" w:rsidRDefault="00000000">
      <w:pPr>
        <w:pStyle w:val="afa"/>
      </w:pPr>
      <w:bookmarkStart w:id="84" w:name="ref-2022am"/>
      <w:bookmarkEnd w:id="83"/>
      <w:r>
        <w:t xml:space="preserve">50. </w:t>
      </w:r>
      <w:r>
        <w:tab/>
      </w:r>
      <w:proofErr w:type="spellStart"/>
      <w:r>
        <w:t>Hezaveh</w:t>
      </w:r>
      <w:proofErr w:type="spellEnd"/>
      <w:r>
        <w:t xml:space="preserve"> K, Shinde RS, </w:t>
      </w:r>
      <w:proofErr w:type="spellStart"/>
      <w:r>
        <w:t>Klötgen</w:t>
      </w:r>
      <w:proofErr w:type="spellEnd"/>
      <w:r>
        <w:t xml:space="preserve"> A, Halaby MJ, </w:t>
      </w:r>
      <w:proofErr w:type="spellStart"/>
      <w:r>
        <w:t>Lamorte</w:t>
      </w:r>
      <w:proofErr w:type="spellEnd"/>
      <w:r>
        <w:t xml:space="preserve"> S, Ciudad MT, et al. </w:t>
      </w:r>
      <w:hyperlink r:id="rId69">
        <w:r>
          <w:rPr>
            <w:rStyle w:val="aff"/>
          </w:rPr>
          <w:t>Tryptophan-derived microbial metabolites activate the aryl hydrocarbon receptor in tumor-associated macrophages to suppress anti-tumor immunity</w:t>
        </w:r>
      </w:hyperlink>
      <w:r>
        <w:t xml:space="preserve">. Immunity. 2022 Feb;55(2):324–340.e8. </w:t>
      </w:r>
    </w:p>
    <w:p w14:paraId="373544DB" w14:textId="77777777" w:rsidR="004740A5" w:rsidRDefault="00000000">
      <w:pPr>
        <w:pStyle w:val="afa"/>
      </w:pPr>
      <w:bookmarkStart w:id="85" w:name="ref-2020s"/>
      <w:bookmarkEnd w:id="84"/>
      <w:r>
        <w:t xml:space="preserve">51. </w:t>
      </w:r>
      <w:r>
        <w:tab/>
        <w:t xml:space="preserve">Wozniak JM, Mills RH, Olson J, Caldera JR, </w:t>
      </w:r>
      <w:proofErr w:type="spellStart"/>
      <w:r>
        <w:t>Sepich</w:t>
      </w:r>
      <w:proofErr w:type="spellEnd"/>
      <w:r>
        <w:t xml:space="preserve">-Poore GD, Carrillo-Terrazas M, et al. </w:t>
      </w:r>
      <w:hyperlink r:id="rId70">
        <w:r>
          <w:rPr>
            <w:rStyle w:val="aff"/>
          </w:rPr>
          <w:t>Mortality Risk Profiling of Staphylococcus aureus Bacteremia by Multi-omic Serum Analysis Reveals Early Predictive and Pathogenic Signatures</w:t>
        </w:r>
      </w:hyperlink>
      <w:r>
        <w:t xml:space="preserve">. Cell. 2020 Sep;182(5):1311–1327.e14. </w:t>
      </w:r>
    </w:p>
    <w:p w14:paraId="119F43D4" w14:textId="77777777" w:rsidR="004740A5" w:rsidRDefault="00000000">
      <w:pPr>
        <w:pStyle w:val="afa"/>
      </w:pPr>
      <w:bookmarkStart w:id="86" w:name="ref-duhrkop_systematic_2021"/>
      <w:bookmarkEnd w:id="85"/>
      <w:r>
        <w:t xml:space="preserve">52. </w:t>
      </w:r>
      <w:r>
        <w:tab/>
      </w:r>
      <w:proofErr w:type="spellStart"/>
      <w:r>
        <w:t>Dührkop</w:t>
      </w:r>
      <w:proofErr w:type="spellEnd"/>
      <w:r>
        <w:t xml:space="preserve"> K, </w:t>
      </w:r>
      <w:proofErr w:type="spellStart"/>
      <w:r>
        <w:t>Nothias</w:t>
      </w:r>
      <w:proofErr w:type="spellEnd"/>
      <w:r>
        <w:t xml:space="preserve"> L-F, </w:t>
      </w:r>
      <w:proofErr w:type="spellStart"/>
      <w:r>
        <w:t>Fleischauer</w:t>
      </w:r>
      <w:proofErr w:type="spellEnd"/>
      <w:r>
        <w:t xml:space="preserve"> M, </w:t>
      </w:r>
      <w:proofErr w:type="spellStart"/>
      <w:r>
        <w:t>Reher</w:t>
      </w:r>
      <w:proofErr w:type="spellEnd"/>
      <w:r>
        <w:t xml:space="preserve"> R, Ludwig M, Hoffmann MA, et al. </w:t>
      </w:r>
      <w:hyperlink r:id="rId71">
        <w:r>
          <w:rPr>
            <w:rStyle w:val="aff"/>
          </w:rPr>
          <w:t>Systematic classification of unknown metabolites using high-resolution fragmentation mass spectra</w:t>
        </w:r>
      </w:hyperlink>
      <w:r>
        <w:t xml:space="preserve">. Nature Biotechnology. 2021 Apr;39(4):462–71. </w:t>
      </w:r>
    </w:p>
    <w:p w14:paraId="25F9CD52" w14:textId="77777777" w:rsidR="004740A5" w:rsidRDefault="00000000">
      <w:pPr>
        <w:pStyle w:val="afa"/>
      </w:pPr>
      <w:bookmarkStart w:id="87" w:name="ref-bocker_sirius_2009"/>
      <w:bookmarkEnd w:id="86"/>
      <w:r>
        <w:t xml:space="preserve">53. </w:t>
      </w:r>
      <w:r>
        <w:tab/>
      </w:r>
      <w:proofErr w:type="spellStart"/>
      <w:r>
        <w:t>Böcker</w:t>
      </w:r>
      <w:proofErr w:type="spellEnd"/>
      <w:r>
        <w:t xml:space="preserve"> S, </w:t>
      </w:r>
      <w:proofErr w:type="spellStart"/>
      <w:r>
        <w:t>Letzel</w:t>
      </w:r>
      <w:proofErr w:type="spellEnd"/>
      <w:r>
        <w:t xml:space="preserve"> MC, </w:t>
      </w:r>
      <w:proofErr w:type="spellStart"/>
      <w:r>
        <w:t>Lipták</w:t>
      </w:r>
      <w:proofErr w:type="spellEnd"/>
      <w:r>
        <w:t xml:space="preserve"> Z, </w:t>
      </w:r>
      <w:proofErr w:type="spellStart"/>
      <w:r>
        <w:t>Pervukhin</w:t>
      </w:r>
      <w:proofErr w:type="spellEnd"/>
      <w:r>
        <w:t xml:space="preserve"> A. </w:t>
      </w:r>
      <w:hyperlink r:id="rId72">
        <w:r>
          <w:rPr>
            <w:rStyle w:val="aff"/>
          </w:rPr>
          <w:t>SIRIUS: Decomposing isotope patterns for metabolite identification</w:t>
        </w:r>
      </w:hyperlink>
      <w:r>
        <w:t xml:space="preserve">. Bioinformatics. 2009 Jan;25(2):218–24. </w:t>
      </w:r>
    </w:p>
    <w:p w14:paraId="7B468A31" w14:textId="77777777" w:rsidR="004740A5" w:rsidRDefault="00000000">
      <w:pPr>
        <w:pStyle w:val="afa"/>
      </w:pPr>
      <w:bookmarkStart w:id="88" w:name="ref-2015"/>
      <w:bookmarkEnd w:id="87"/>
      <w:r>
        <w:t xml:space="preserve">54. </w:t>
      </w:r>
      <w:r>
        <w:tab/>
      </w:r>
      <w:proofErr w:type="spellStart"/>
      <w:r>
        <w:t>Dührkop</w:t>
      </w:r>
      <w:proofErr w:type="spellEnd"/>
      <w:r>
        <w:t xml:space="preserve"> K, </w:t>
      </w:r>
      <w:proofErr w:type="spellStart"/>
      <w:r>
        <w:t>Böcker</w:t>
      </w:r>
      <w:proofErr w:type="spellEnd"/>
      <w:r>
        <w:t xml:space="preserve"> S. </w:t>
      </w:r>
      <w:hyperlink r:id="rId73">
        <w:r>
          <w:rPr>
            <w:rStyle w:val="aff"/>
          </w:rPr>
          <w:t>Fragmentation Trees Reloaded</w:t>
        </w:r>
      </w:hyperlink>
      <w:r>
        <w:t xml:space="preserve">. In: </w:t>
      </w:r>
      <w:proofErr w:type="spellStart"/>
      <w:r>
        <w:t>Przytycka</w:t>
      </w:r>
      <w:proofErr w:type="spellEnd"/>
      <w:r>
        <w:t xml:space="preserve"> TM, editor. Research in Computational Molecular Biology. Cham: Springer International Publishing; 2015. p. 65–79. </w:t>
      </w:r>
    </w:p>
    <w:p w14:paraId="5C307DF9" w14:textId="77777777" w:rsidR="004740A5" w:rsidRDefault="00000000">
      <w:pPr>
        <w:pStyle w:val="afa"/>
      </w:pPr>
      <w:bookmarkStart w:id="89" w:name="ref-ludwig_database-independent_2020"/>
      <w:bookmarkEnd w:id="88"/>
      <w:r>
        <w:t xml:space="preserve">55. </w:t>
      </w:r>
      <w:r>
        <w:tab/>
        <w:t xml:space="preserve">Ludwig M, </w:t>
      </w:r>
      <w:proofErr w:type="spellStart"/>
      <w:r>
        <w:t>Nothias</w:t>
      </w:r>
      <w:proofErr w:type="spellEnd"/>
      <w:r>
        <w:t xml:space="preserve"> L-F, </w:t>
      </w:r>
      <w:proofErr w:type="spellStart"/>
      <w:r>
        <w:t>Dührkop</w:t>
      </w:r>
      <w:proofErr w:type="spellEnd"/>
      <w:r>
        <w:t xml:space="preserve"> K, Koester I, </w:t>
      </w:r>
      <w:proofErr w:type="spellStart"/>
      <w:r>
        <w:t>Fleischauer</w:t>
      </w:r>
      <w:proofErr w:type="spellEnd"/>
      <w:r>
        <w:t xml:space="preserve"> M, Hoffmann MA, et al. </w:t>
      </w:r>
      <w:hyperlink r:id="rId74">
        <w:r>
          <w:rPr>
            <w:rStyle w:val="aff"/>
          </w:rPr>
          <w:t>Database-independent molecular formula annotation using Gibbs sampling through ZODIAC</w:t>
        </w:r>
      </w:hyperlink>
      <w:r>
        <w:t xml:space="preserve">. Nature Machine Intelligence. 2020 Oct;2(10):629–41. </w:t>
      </w:r>
    </w:p>
    <w:p w14:paraId="4B5DA32E" w14:textId="77777777" w:rsidR="004740A5" w:rsidRDefault="00000000">
      <w:pPr>
        <w:pStyle w:val="afa"/>
      </w:pPr>
      <w:bookmarkStart w:id="90" w:name="ref-2021db"/>
      <w:bookmarkEnd w:id="89"/>
      <w:r>
        <w:t xml:space="preserve">56. </w:t>
      </w:r>
      <w:r>
        <w:tab/>
        <w:t xml:space="preserve">Chen Y-H, Bi J-H, </w:t>
      </w:r>
      <w:proofErr w:type="spellStart"/>
      <w:r>
        <w:t>Xie</w:t>
      </w:r>
      <w:proofErr w:type="spellEnd"/>
      <w:r>
        <w:t xml:space="preserve"> M, Zhang H, Shi Z-Q, Guo H, et al. </w:t>
      </w:r>
      <w:hyperlink r:id="rId75">
        <w:r>
          <w:rPr>
            <w:rStyle w:val="aff"/>
          </w:rPr>
          <w:t>Classification-based strategies to simplify complex traditional Chinese medicine (TCM) researches through liquid chromatography-mass spectrometry in the last decade (2011): Theory, technical route and difficulty</w:t>
        </w:r>
      </w:hyperlink>
      <w:r>
        <w:t xml:space="preserve">. Journal of Chromatography A. 2021 </w:t>
      </w:r>
      <w:proofErr w:type="gramStart"/>
      <w:r>
        <w:t>Aug;1651:462307</w:t>
      </w:r>
      <w:proofErr w:type="gramEnd"/>
      <w:r>
        <w:t xml:space="preserve">. </w:t>
      </w:r>
    </w:p>
    <w:p w14:paraId="624A00DD" w14:textId="77777777" w:rsidR="004740A5" w:rsidRDefault="00000000">
      <w:pPr>
        <w:pStyle w:val="afa"/>
      </w:pPr>
      <w:bookmarkStart w:id="91" w:name="ref-2016at"/>
      <w:bookmarkEnd w:id="90"/>
      <w:r>
        <w:t xml:space="preserve">57. </w:t>
      </w:r>
      <w:r>
        <w:tab/>
      </w:r>
      <w:proofErr w:type="spellStart"/>
      <w:r>
        <w:t>Krautbauer</w:t>
      </w:r>
      <w:proofErr w:type="spellEnd"/>
      <w:r>
        <w:t xml:space="preserve"> S, </w:t>
      </w:r>
      <w:proofErr w:type="spellStart"/>
      <w:r>
        <w:t>Eisinger</w:t>
      </w:r>
      <w:proofErr w:type="spellEnd"/>
      <w:r>
        <w:t xml:space="preserve"> K, Wiest R, Liebisch G, Buechler C. </w:t>
      </w:r>
      <w:hyperlink r:id="rId76">
        <w:r>
          <w:rPr>
            <w:rStyle w:val="aff"/>
          </w:rPr>
          <w:t>Systemic saturated lysophosphatidylcholine is associated with hepatic function in patients with liver cirrhosis</w:t>
        </w:r>
      </w:hyperlink>
      <w:r>
        <w:t xml:space="preserve">. Prostaglandins &amp; Other Lipid Mediators. 2016 </w:t>
      </w:r>
      <w:proofErr w:type="gramStart"/>
      <w:r>
        <w:t>Jul;124:27</w:t>
      </w:r>
      <w:proofErr w:type="gramEnd"/>
      <w:r>
        <w:t xml:space="preserve">–33. </w:t>
      </w:r>
    </w:p>
    <w:p w14:paraId="4C10005E" w14:textId="77777777" w:rsidR="004740A5" w:rsidRDefault="00000000">
      <w:pPr>
        <w:pStyle w:val="afa"/>
      </w:pPr>
      <w:bookmarkStart w:id="92" w:name="ref-2018bi"/>
      <w:bookmarkEnd w:id="91"/>
      <w:r>
        <w:t xml:space="preserve">58. </w:t>
      </w:r>
      <w:r>
        <w:tab/>
      </w:r>
      <w:proofErr w:type="spellStart"/>
      <w:r>
        <w:t>Melone</w:t>
      </w:r>
      <w:proofErr w:type="spellEnd"/>
      <w:r>
        <w:t xml:space="preserve"> MAB, Valentino A, </w:t>
      </w:r>
      <w:proofErr w:type="spellStart"/>
      <w:r>
        <w:t>Margarucci</w:t>
      </w:r>
      <w:proofErr w:type="spellEnd"/>
      <w:r>
        <w:t xml:space="preserve"> S, </w:t>
      </w:r>
      <w:proofErr w:type="spellStart"/>
      <w:r>
        <w:t>Galderisi</w:t>
      </w:r>
      <w:proofErr w:type="spellEnd"/>
      <w:r>
        <w:t xml:space="preserve"> U, Giordano A, Peluso G. </w:t>
      </w:r>
      <w:hyperlink r:id="rId77">
        <w:r>
          <w:rPr>
            <w:rStyle w:val="aff"/>
          </w:rPr>
          <w:t>The carnitine system and cancer metabolic plasticity</w:t>
        </w:r>
      </w:hyperlink>
      <w:r>
        <w:t xml:space="preserve">. Cell Death &amp; Disease. 2018 Feb;9(2):228. </w:t>
      </w:r>
    </w:p>
    <w:p w14:paraId="1CEAE713" w14:textId="77777777" w:rsidR="004740A5" w:rsidRDefault="00000000">
      <w:pPr>
        <w:pStyle w:val="afa"/>
      </w:pPr>
      <w:bookmarkStart w:id="93" w:name="ref-2021n"/>
      <w:bookmarkEnd w:id="92"/>
      <w:r>
        <w:t xml:space="preserve">59. </w:t>
      </w:r>
      <w:r>
        <w:tab/>
        <w:t xml:space="preserve">Huang L, </w:t>
      </w:r>
      <w:proofErr w:type="spellStart"/>
      <w:r>
        <w:t>Lyu</w:t>
      </w:r>
      <w:proofErr w:type="spellEnd"/>
      <w:r>
        <w:t xml:space="preserve"> Q, Zheng W, Yang Q, Cao G. </w:t>
      </w:r>
      <w:hyperlink r:id="rId78">
        <w:r>
          <w:rPr>
            <w:rStyle w:val="aff"/>
          </w:rPr>
          <w:t>Traditional application and modern pharmacological research of Eucommia ulmoides Oliv.</w:t>
        </w:r>
      </w:hyperlink>
      <w:r>
        <w:t xml:space="preserve"> Chinese Medicine. 2021 Dec;16(1):73. </w:t>
      </w:r>
    </w:p>
    <w:p w14:paraId="7AAF7DF8" w14:textId="77777777" w:rsidR="004740A5" w:rsidRDefault="00000000">
      <w:pPr>
        <w:pStyle w:val="afa"/>
      </w:pPr>
      <w:bookmarkStart w:id="94" w:name="ref-2021cq"/>
      <w:bookmarkEnd w:id="93"/>
      <w:r>
        <w:t xml:space="preserve">60. </w:t>
      </w:r>
      <w:r>
        <w:tab/>
        <w:t xml:space="preserve">Huang Q, Tan J-B, Zeng X-C, Wang Y-Q, Zou Z-X, Ouyang D-S. </w:t>
      </w:r>
      <w:hyperlink r:id="rId79">
        <w:r>
          <w:rPr>
            <w:rStyle w:val="aff"/>
          </w:rPr>
          <w:t>Lignans and phenolic constituents from Eucommia ulmoides Oliver.</w:t>
        </w:r>
      </w:hyperlink>
      <w:r>
        <w:t xml:space="preserve"> Natural product research. 2021 Oct;35(20):3376–83. </w:t>
      </w:r>
    </w:p>
    <w:p w14:paraId="39808A88" w14:textId="77777777" w:rsidR="004740A5" w:rsidRDefault="00000000">
      <w:pPr>
        <w:pStyle w:val="afa"/>
      </w:pPr>
      <w:bookmarkStart w:id="95" w:name="ref-2021bt"/>
      <w:bookmarkEnd w:id="94"/>
      <w:r>
        <w:t xml:space="preserve">61. </w:t>
      </w:r>
      <w:r>
        <w:tab/>
        <w:t xml:space="preserve">Huang Q, Zhang F, Liu S, Jiang Y, Ouyang D. </w:t>
      </w:r>
      <w:hyperlink r:id="rId80">
        <w:r>
          <w:rPr>
            <w:rStyle w:val="aff"/>
          </w:rPr>
          <w:t xml:space="preserve">Systematic investigation of the pharmacological mechanism for renal protection by the leaves of Eucommia ulmoides Oliver </w:t>
        </w:r>
        <w:r>
          <w:rPr>
            <w:rStyle w:val="aff"/>
          </w:rPr>
          <w:lastRenderedPageBreak/>
          <w:t>using UPLC-Q-TOF/MS combined with network pharmacology analysis.</w:t>
        </w:r>
      </w:hyperlink>
      <w:r>
        <w:t xml:space="preserve"> Biomedicine &amp; pharmacotherapy = </w:t>
      </w:r>
      <w:proofErr w:type="spellStart"/>
      <w:r>
        <w:t>Biomedecine</w:t>
      </w:r>
      <w:proofErr w:type="spellEnd"/>
      <w:r>
        <w:t xml:space="preserve"> &amp; </w:t>
      </w:r>
      <w:proofErr w:type="spellStart"/>
      <w:r>
        <w:t>pharmacotherapie</w:t>
      </w:r>
      <w:proofErr w:type="spellEnd"/>
      <w:r>
        <w:t xml:space="preserve">. 2021 </w:t>
      </w:r>
      <w:proofErr w:type="gramStart"/>
      <w:r>
        <w:t>Aug;140:111735</w:t>
      </w:r>
      <w:proofErr w:type="gramEnd"/>
      <w:r>
        <w:t xml:space="preserve">. </w:t>
      </w:r>
    </w:p>
    <w:p w14:paraId="134F4B91" w14:textId="77777777" w:rsidR="004740A5" w:rsidRDefault="00000000">
      <w:pPr>
        <w:pStyle w:val="afa"/>
      </w:pPr>
      <w:bookmarkStart w:id="96" w:name="ref-2021ch"/>
      <w:bookmarkEnd w:id="95"/>
      <w:r>
        <w:t xml:space="preserve">62. </w:t>
      </w:r>
      <w:r>
        <w:tab/>
        <w:t xml:space="preserve">Chen Y, Pan R, Zhang J, Liang T, Guo J, Sun T, et al. </w:t>
      </w:r>
      <w:hyperlink r:id="rId81">
        <w:r>
          <w:rPr>
            <w:rStyle w:val="aff"/>
          </w:rPr>
          <w:t>Pinoresinol diglucoside (PDG) attenuates cardiac hypertrophy via AKT/mTOR/NF-</w:t>
        </w:r>
        <m:oMath>
          <m:r>
            <w:rPr>
              <w:rFonts w:ascii="Cambria Math" w:hAnsi="Cambria Math"/>
            </w:rPr>
            <m:t>κ</m:t>
          </m:r>
        </m:oMath>
        <w:r>
          <w:rPr>
            <w:rStyle w:val="aff"/>
          </w:rPr>
          <w:t>B signaling in pressure overload-induced rats.</w:t>
        </w:r>
      </w:hyperlink>
      <w:r>
        <w:t xml:space="preserve"> Journal of ethnopharmacology. 2021 </w:t>
      </w:r>
      <w:proofErr w:type="gramStart"/>
      <w:r>
        <w:t>May;272:113920</w:t>
      </w:r>
      <w:proofErr w:type="gramEnd"/>
      <w:r>
        <w:t xml:space="preserve">. </w:t>
      </w:r>
    </w:p>
    <w:p w14:paraId="6412AA14" w14:textId="77777777" w:rsidR="004740A5" w:rsidRDefault="00000000">
      <w:pPr>
        <w:pStyle w:val="afa"/>
      </w:pPr>
      <w:bookmarkStart w:id="97" w:name="ref-2021aw"/>
      <w:bookmarkEnd w:id="96"/>
      <w:r>
        <w:t xml:space="preserve">63. </w:t>
      </w:r>
      <w:r>
        <w:tab/>
        <w:t xml:space="preserve">Han R, Yuan T, Yang Z, Zhang Q, Wang W-W, Lin L-B, et al. </w:t>
      </w:r>
      <w:hyperlink r:id="rId82">
        <w:r>
          <w:rPr>
            <w:rStyle w:val="aff"/>
          </w:rPr>
          <w:t>Ulmoidol, an unusual nortriterpenoid from Eucommia ulmoides Oliv. Leaves prevents neuroinflammation by targeting the PU.1 transcriptional signaling pathway.</w:t>
        </w:r>
      </w:hyperlink>
      <w:r>
        <w:t xml:space="preserve"> Bioorganic chemistry. 2021 </w:t>
      </w:r>
      <w:proofErr w:type="gramStart"/>
      <w:r>
        <w:t>Nov;116:105345</w:t>
      </w:r>
      <w:proofErr w:type="gramEnd"/>
      <w:r>
        <w:t xml:space="preserve">. </w:t>
      </w:r>
    </w:p>
    <w:p w14:paraId="3B13A825" w14:textId="77777777" w:rsidR="004740A5" w:rsidRDefault="00000000">
      <w:pPr>
        <w:pStyle w:val="afa"/>
      </w:pPr>
      <w:bookmarkStart w:id="98" w:name="ref-2018u"/>
      <w:bookmarkEnd w:id="97"/>
      <w:r>
        <w:t xml:space="preserve">64. </w:t>
      </w:r>
      <w:r>
        <w:tab/>
        <w:t xml:space="preserve">Zhu Y-L, Sun M-F, Jia X-B, Zhang P-H, Xu Y-D, Zhou Z-L, et al. </w:t>
      </w:r>
      <w:hyperlink r:id="rId83">
        <w:r>
          <w:rPr>
            <w:rStyle w:val="aff"/>
          </w:rPr>
          <w:t>Aucubin alleviates glial cell activation and preserves dopaminergic neurons in 1-methyl-4-phenyl-1,2,3,6-tetrahydropyridine-induced parkinsonian mice.</w:t>
        </w:r>
      </w:hyperlink>
      <w:r>
        <w:t xml:space="preserve"> </w:t>
      </w:r>
      <w:proofErr w:type="spellStart"/>
      <w:r>
        <w:t>Neuroreport</w:t>
      </w:r>
      <w:proofErr w:type="spellEnd"/>
      <w:r>
        <w:t xml:space="preserve">. 2018 Sep;29(13):1075–83. </w:t>
      </w:r>
    </w:p>
    <w:p w14:paraId="7C2655F9" w14:textId="77777777" w:rsidR="004740A5" w:rsidRDefault="00000000">
      <w:pPr>
        <w:pStyle w:val="afa"/>
      </w:pPr>
      <w:bookmarkStart w:id="99" w:name="ref-2016aj"/>
      <w:bookmarkEnd w:id="98"/>
      <w:r>
        <w:t xml:space="preserve">65. </w:t>
      </w:r>
      <w:r>
        <w:tab/>
        <w:t xml:space="preserve">Li Y, Gong Z, Cao X, Wang Y, Wang A, Zheng L, et al. </w:t>
      </w:r>
      <w:hyperlink r:id="rId84">
        <w:r>
          <w:rPr>
            <w:rStyle w:val="aff"/>
          </w:rPr>
          <w:t>A UPLC-MS Method for Simultaneous Determination of Geniposidic Acid, Two Lignans and Phenolics in Rat Plasma and its Application to Pharmacokinetic Studies of Eucommia ulmoides Extract in Rats.</w:t>
        </w:r>
      </w:hyperlink>
      <w:r>
        <w:t xml:space="preserve"> European journal of drug metabolism and pharmacokinetics. 2016 Oct;41(5):595–603. </w:t>
      </w:r>
    </w:p>
    <w:p w14:paraId="65BD3D0C" w14:textId="77777777" w:rsidR="004740A5" w:rsidRDefault="00000000">
      <w:pPr>
        <w:pStyle w:val="afa"/>
      </w:pPr>
      <w:bookmarkStart w:id="100" w:name="ref-2015q"/>
      <w:bookmarkEnd w:id="99"/>
      <w:r>
        <w:t xml:space="preserve">66. </w:t>
      </w:r>
      <w:r>
        <w:tab/>
        <w:t xml:space="preserve">Jing X, Huang W-H, Tang Y-J, Wang Y-Q, Li H, Tian Y-Y, et al. </w:t>
      </w:r>
      <w:hyperlink r:id="rId85">
        <w:r>
          <w:rPr>
            <w:rStyle w:val="aff"/>
          </w:rPr>
          <w:t>Eucommia ulmoides Oliv. (Du-Zhong) Lignans Inhibit Angiotensin II-Stimulated Proliferation by Affecting P21, P27, and Bax Expression in Rat Mesangial Cells.</w:t>
        </w:r>
      </w:hyperlink>
      <w:r>
        <w:t xml:space="preserve"> Evidence-based complementary and alternative </w:t>
      </w:r>
      <w:proofErr w:type="gramStart"/>
      <w:r>
        <w:t>medicine :</w:t>
      </w:r>
      <w:proofErr w:type="gramEnd"/>
      <w:r>
        <w:t xml:space="preserve"> </w:t>
      </w:r>
      <w:proofErr w:type="spellStart"/>
      <w:r>
        <w:t>eCAM</w:t>
      </w:r>
      <w:proofErr w:type="spellEnd"/>
      <w:r>
        <w:t xml:space="preserve">. </w:t>
      </w:r>
      <w:proofErr w:type="gramStart"/>
      <w:r>
        <w:t>2015;2015:987973</w:t>
      </w:r>
      <w:proofErr w:type="gramEnd"/>
      <w:r>
        <w:t xml:space="preserve">. </w:t>
      </w:r>
    </w:p>
    <w:p w14:paraId="27DBDE7C" w14:textId="77777777" w:rsidR="004740A5" w:rsidRDefault="00000000">
      <w:pPr>
        <w:pStyle w:val="afa"/>
      </w:pPr>
      <w:bookmarkStart w:id="101" w:name="ref-2012a"/>
      <w:bookmarkEnd w:id="100"/>
      <w:r>
        <w:t xml:space="preserve">67. </w:t>
      </w:r>
      <w:r>
        <w:tab/>
        <w:t xml:space="preserve">Watrous J, Roach P, Alexandrov T, Heath BS, Yang JY, Kersten RD, et al. </w:t>
      </w:r>
      <w:hyperlink r:id="rId86">
        <w:r>
          <w:rPr>
            <w:rStyle w:val="aff"/>
          </w:rPr>
          <w:t>Mass spectral molecular networking of living microbial colonies</w:t>
        </w:r>
      </w:hyperlink>
      <w:r>
        <w:t>. Proceedings of the National Academy of Sciences. 2012 Jun;109(26</w:t>
      </w:r>
      <w:proofErr w:type="gramStart"/>
      <w:r>
        <w:t>):E</w:t>
      </w:r>
      <w:proofErr w:type="gramEnd"/>
      <w:r>
        <w:t xml:space="preserve">1743–52. </w:t>
      </w:r>
    </w:p>
    <w:p w14:paraId="38F30ED1" w14:textId="77777777" w:rsidR="004740A5" w:rsidRDefault="00000000">
      <w:pPr>
        <w:pStyle w:val="afa"/>
      </w:pPr>
      <w:bookmarkStart w:id="102" w:name="ref-2017g"/>
      <w:bookmarkEnd w:id="101"/>
      <w:r>
        <w:t xml:space="preserve">68. </w:t>
      </w:r>
      <w:r>
        <w:tab/>
        <w:t xml:space="preserve">Quinn RA, </w:t>
      </w:r>
      <w:proofErr w:type="spellStart"/>
      <w:r>
        <w:t>Nothias</w:t>
      </w:r>
      <w:proofErr w:type="spellEnd"/>
      <w:r>
        <w:t xml:space="preserve"> L-F, Vining O, Meehan M, </w:t>
      </w:r>
      <w:proofErr w:type="spellStart"/>
      <w:r>
        <w:t>Esquenazi</w:t>
      </w:r>
      <w:proofErr w:type="spellEnd"/>
      <w:r>
        <w:t xml:space="preserve"> E, </w:t>
      </w:r>
      <w:proofErr w:type="spellStart"/>
      <w:r>
        <w:t>Dorrestein</w:t>
      </w:r>
      <w:proofErr w:type="spellEnd"/>
      <w:r>
        <w:t xml:space="preserve"> PC. </w:t>
      </w:r>
      <w:hyperlink r:id="rId87">
        <w:r>
          <w:rPr>
            <w:rStyle w:val="aff"/>
          </w:rPr>
          <w:t xml:space="preserve">Molecular Networking </w:t>
        </w:r>
        <w:proofErr w:type="gramStart"/>
        <w:r>
          <w:rPr>
            <w:rStyle w:val="aff"/>
          </w:rPr>
          <w:t>As</w:t>
        </w:r>
        <w:proofErr w:type="gramEnd"/>
        <w:r>
          <w:rPr>
            <w:rStyle w:val="aff"/>
          </w:rPr>
          <w:t xml:space="preserve"> a Drug Discovery, Drug Metabolism, and Precision Medicine Strategy</w:t>
        </w:r>
      </w:hyperlink>
      <w:r>
        <w:t xml:space="preserve">. Trends in Pharmacological Sciences. 2017 Feb;38(2):143–54. </w:t>
      </w:r>
    </w:p>
    <w:p w14:paraId="5F8C449C" w14:textId="77777777" w:rsidR="004740A5" w:rsidRDefault="00000000">
      <w:pPr>
        <w:pStyle w:val="afa"/>
      </w:pPr>
      <w:bookmarkStart w:id="103" w:name="ref-2018d"/>
      <w:bookmarkEnd w:id="102"/>
      <w:r>
        <w:t xml:space="preserve">69. </w:t>
      </w:r>
      <w:r>
        <w:tab/>
        <w:t xml:space="preserve">da Silva RR, Wang M, </w:t>
      </w:r>
      <w:proofErr w:type="spellStart"/>
      <w:r>
        <w:t>Nothias</w:t>
      </w:r>
      <w:proofErr w:type="spellEnd"/>
      <w:r>
        <w:t xml:space="preserve"> L-F, van der Hooft JJJ, Caraballo-Rodríguez AM, Fox E, et al. </w:t>
      </w:r>
      <w:hyperlink r:id="rId88">
        <w:r>
          <w:rPr>
            <w:rStyle w:val="aff"/>
          </w:rPr>
          <w:t>Propagating annotations of molecular networks using in silico fragmentation</w:t>
        </w:r>
      </w:hyperlink>
      <w:r>
        <w:t>. Schlessinger A, editor. PLOS Computational Biology. 2018 Apr;14(4</w:t>
      </w:r>
      <w:proofErr w:type="gramStart"/>
      <w:r>
        <w:t>):e</w:t>
      </w:r>
      <w:proofErr w:type="gramEnd"/>
      <w:r>
        <w:t xml:space="preserve">1006089. </w:t>
      </w:r>
    </w:p>
    <w:p w14:paraId="233108F6" w14:textId="77777777" w:rsidR="004740A5" w:rsidRDefault="00000000">
      <w:pPr>
        <w:pStyle w:val="afa"/>
      </w:pPr>
      <w:bookmarkStart w:id="104" w:name="ref-2020e"/>
      <w:bookmarkEnd w:id="103"/>
      <w:r>
        <w:t xml:space="preserve">70. </w:t>
      </w:r>
      <w:r>
        <w:tab/>
      </w:r>
      <w:proofErr w:type="spellStart"/>
      <w:r>
        <w:t>Xie</w:t>
      </w:r>
      <w:proofErr w:type="spellEnd"/>
      <w:r>
        <w:t xml:space="preserve"> H-F, Kong Y-S, Li R-Z, </w:t>
      </w:r>
      <w:proofErr w:type="spellStart"/>
      <w:r>
        <w:t>Nothias</w:t>
      </w:r>
      <w:proofErr w:type="spellEnd"/>
      <w:r>
        <w:t xml:space="preserve"> L-F, </w:t>
      </w:r>
      <w:proofErr w:type="spellStart"/>
      <w:r>
        <w:t>Melnik</w:t>
      </w:r>
      <w:proofErr w:type="spellEnd"/>
      <w:r>
        <w:t xml:space="preserve"> AV, Zhang H, et al. </w:t>
      </w:r>
      <w:hyperlink r:id="rId89">
        <w:r>
          <w:rPr>
            <w:rStyle w:val="aff"/>
          </w:rPr>
          <w:t xml:space="preserve">Feature-Based Molecular Networking Analysis of the Metabolites Produced by </w:t>
        </w:r>
        <w:r>
          <w:rPr>
            <w:rStyle w:val="aff"/>
            <w:i/>
            <w:iCs/>
          </w:rPr>
          <w:t>In Vitro</w:t>
        </w:r>
        <w:r>
          <w:rPr>
            <w:rStyle w:val="aff"/>
          </w:rPr>
          <w:t xml:space="preserve"> Solid-State Fermentation Reveals Pathways for the Bioconversion of Epigallocatechin Gallate</w:t>
        </w:r>
      </w:hyperlink>
      <w:r>
        <w:t xml:space="preserve">. Journal of Agricultural and Food Chemistry. 2020 Jul;68(30):7995–8007. </w:t>
      </w:r>
    </w:p>
    <w:p w14:paraId="2B319B9C" w14:textId="77777777" w:rsidR="004740A5" w:rsidRDefault="00000000">
      <w:pPr>
        <w:pStyle w:val="afa"/>
      </w:pPr>
      <w:bookmarkStart w:id="105" w:name="ref-2021d"/>
      <w:bookmarkEnd w:id="104"/>
      <w:r>
        <w:t xml:space="preserve">71. </w:t>
      </w:r>
      <w:r>
        <w:tab/>
        <w:t xml:space="preserve">Schmid R, </w:t>
      </w:r>
      <w:proofErr w:type="spellStart"/>
      <w:r>
        <w:t>Petras</w:t>
      </w:r>
      <w:proofErr w:type="spellEnd"/>
      <w:r>
        <w:t xml:space="preserve"> D, </w:t>
      </w:r>
      <w:proofErr w:type="spellStart"/>
      <w:r>
        <w:t>Nothias</w:t>
      </w:r>
      <w:proofErr w:type="spellEnd"/>
      <w:r>
        <w:t xml:space="preserve"> L-F, Wang M, Aron AT, </w:t>
      </w:r>
      <w:proofErr w:type="spellStart"/>
      <w:r>
        <w:t>Jagels</w:t>
      </w:r>
      <w:proofErr w:type="spellEnd"/>
      <w:r>
        <w:t xml:space="preserve"> A, et al. </w:t>
      </w:r>
      <w:hyperlink r:id="rId90">
        <w:r>
          <w:rPr>
            <w:rStyle w:val="aff"/>
          </w:rPr>
          <w:t>Ion identity molecular networking for mass spectrometry-based metabolomics in the GNPS environment</w:t>
        </w:r>
      </w:hyperlink>
      <w:r>
        <w:t xml:space="preserve">. Nature Communications. 2021 Dec;12(1):3832. </w:t>
      </w:r>
    </w:p>
    <w:p w14:paraId="292B8C23" w14:textId="77777777" w:rsidR="004740A5" w:rsidRDefault="00000000">
      <w:pPr>
        <w:pStyle w:val="afa"/>
      </w:pPr>
      <w:bookmarkStart w:id="106" w:name="ref-2016aq"/>
      <w:bookmarkEnd w:id="105"/>
      <w:r>
        <w:t xml:space="preserve">72. </w:t>
      </w:r>
      <w:r>
        <w:tab/>
        <w:t xml:space="preserve">Wishart DS. </w:t>
      </w:r>
      <w:hyperlink r:id="rId91">
        <w:r>
          <w:rPr>
            <w:rStyle w:val="aff"/>
          </w:rPr>
          <w:t>Emerging applications of metabolomics in drug discovery and precision medicine</w:t>
        </w:r>
      </w:hyperlink>
      <w:r>
        <w:t xml:space="preserve">. Nature Reviews Drug Discovery. 2016 Jul;15(7):473–84. </w:t>
      </w:r>
    </w:p>
    <w:p w14:paraId="06ABD3BD" w14:textId="77777777" w:rsidR="004740A5" w:rsidRDefault="00000000">
      <w:pPr>
        <w:pStyle w:val="afa"/>
      </w:pPr>
      <w:bookmarkStart w:id="107" w:name="ref-2017at"/>
      <w:bookmarkEnd w:id="106"/>
      <w:r>
        <w:t xml:space="preserve">73. </w:t>
      </w:r>
      <w:r>
        <w:tab/>
        <w:t xml:space="preserve">Liu X, </w:t>
      </w:r>
      <w:proofErr w:type="spellStart"/>
      <w:r>
        <w:t>Locasale</w:t>
      </w:r>
      <w:proofErr w:type="spellEnd"/>
      <w:r>
        <w:t xml:space="preserve"> JW. </w:t>
      </w:r>
      <w:hyperlink r:id="rId92">
        <w:r>
          <w:rPr>
            <w:rStyle w:val="aff"/>
          </w:rPr>
          <w:t>Metabolomics: A Primer</w:t>
        </w:r>
      </w:hyperlink>
      <w:r>
        <w:t xml:space="preserve">. Trends in Biochemical Sciences. 2017 Apr;42(4):274–84. </w:t>
      </w:r>
    </w:p>
    <w:p w14:paraId="08E6B5E8" w14:textId="77777777" w:rsidR="004740A5" w:rsidRDefault="00000000">
      <w:pPr>
        <w:pStyle w:val="afa"/>
      </w:pPr>
      <w:bookmarkStart w:id="108" w:name="ref-2016ar"/>
      <w:bookmarkEnd w:id="107"/>
      <w:r>
        <w:lastRenderedPageBreak/>
        <w:t xml:space="preserve">74. </w:t>
      </w:r>
      <w:r>
        <w:tab/>
      </w:r>
      <w:proofErr w:type="spellStart"/>
      <w:r>
        <w:t>Guma</w:t>
      </w:r>
      <w:proofErr w:type="spellEnd"/>
      <w:r>
        <w:t xml:space="preserve"> M, </w:t>
      </w:r>
      <w:proofErr w:type="spellStart"/>
      <w:r>
        <w:t>Tiziani</w:t>
      </w:r>
      <w:proofErr w:type="spellEnd"/>
      <w:r>
        <w:t xml:space="preserve"> S, Firestein GS. </w:t>
      </w:r>
      <w:hyperlink r:id="rId93">
        <w:r>
          <w:rPr>
            <w:rStyle w:val="aff"/>
          </w:rPr>
          <w:t>Metabolomics in rheumatic diseases: Desperately seeking biomarkers</w:t>
        </w:r>
      </w:hyperlink>
      <w:r>
        <w:t xml:space="preserve">. Nature Reviews Rheumatology. 2016 May;12(5):269–81. </w:t>
      </w:r>
    </w:p>
    <w:p w14:paraId="15DD3A42" w14:textId="77777777" w:rsidR="004740A5" w:rsidRDefault="00000000">
      <w:pPr>
        <w:pStyle w:val="afa"/>
      </w:pPr>
      <w:bookmarkStart w:id="109" w:name="ref-2016ao"/>
      <w:bookmarkEnd w:id="108"/>
      <w:r>
        <w:t xml:space="preserve">75. </w:t>
      </w:r>
      <w:r>
        <w:tab/>
        <w:t xml:space="preserve">Johnson CH, Ivanisevic J, </w:t>
      </w:r>
      <w:proofErr w:type="spellStart"/>
      <w:r>
        <w:t>Siuzdak</w:t>
      </w:r>
      <w:proofErr w:type="spellEnd"/>
      <w:r>
        <w:t xml:space="preserve"> G. </w:t>
      </w:r>
      <w:hyperlink r:id="rId94">
        <w:r>
          <w:rPr>
            <w:rStyle w:val="aff"/>
          </w:rPr>
          <w:t>Metabolomics: Beyond biomarkers and towards mechanisms</w:t>
        </w:r>
      </w:hyperlink>
      <w:r>
        <w:t xml:space="preserve">. Nature Reviews Molecular Cell Biology. 2016 Jul;17(7):451–9. </w:t>
      </w:r>
    </w:p>
    <w:p w14:paraId="6310B98F" w14:textId="77777777" w:rsidR="004740A5" w:rsidRDefault="00000000">
      <w:pPr>
        <w:pStyle w:val="afa"/>
      </w:pPr>
      <w:bookmarkStart w:id="110" w:name="ref-2019bv"/>
      <w:bookmarkEnd w:id="109"/>
      <w:r>
        <w:t xml:space="preserve">76. </w:t>
      </w:r>
      <w:r>
        <w:tab/>
        <w:t xml:space="preserve">Degenhardt F, Seifert S, </w:t>
      </w:r>
      <w:proofErr w:type="spellStart"/>
      <w:r>
        <w:t>Szymczak</w:t>
      </w:r>
      <w:proofErr w:type="spellEnd"/>
      <w:r>
        <w:t xml:space="preserve"> S. </w:t>
      </w:r>
      <w:hyperlink r:id="rId95">
        <w:r>
          <w:rPr>
            <w:rStyle w:val="aff"/>
          </w:rPr>
          <w:t>Evaluation of variable selection methods for random forests and omics data sets</w:t>
        </w:r>
      </w:hyperlink>
      <w:r>
        <w:t xml:space="preserve">. Briefings in Bioinformatics. 2019 Mar;20(2):492–503. </w:t>
      </w:r>
    </w:p>
    <w:p w14:paraId="13AB9D03" w14:textId="77777777" w:rsidR="004740A5" w:rsidRDefault="00000000">
      <w:pPr>
        <w:pStyle w:val="afa"/>
      </w:pPr>
      <w:bookmarkStart w:id="111" w:name="ref-2021de"/>
      <w:bookmarkEnd w:id="110"/>
      <w:r>
        <w:t xml:space="preserve">77. </w:t>
      </w:r>
      <w:r>
        <w:tab/>
        <w:t xml:space="preserve">Sharma A, Lysenko A, </w:t>
      </w:r>
      <w:proofErr w:type="spellStart"/>
      <w:r>
        <w:t>Boroevich</w:t>
      </w:r>
      <w:proofErr w:type="spellEnd"/>
      <w:r>
        <w:t xml:space="preserve"> KA, Vans E, </w:t>
      </w:r>
      <w:proofErr w:type="spellStart"/>
      <w:r>
        <w:t>Tsunoda</w:t>
      </w:r>
      <w:proofErr w:type="spellEnd"/>
      <w:r>
        <w:t xml:space="preserve"> T. </w:t>
      </w:r>
      <w:hyperlink r:id="rId96">
        <w:r>
          <w:rPr>
            <w:rStyle w:val="aff"/>
          </w:rPr>
          <w:t>DeepFeature: Feature selection in nonimage data using convolutional neural network</w:t>
        </w:r>
      </w:hyperlink>
      <w:r>
        <w:t>. Briefings in Bioinformatics. 2021 Nov;22(6</w:t>
      </w:r>
      <w:proofErr w:type="gramStart"/>
      <w:r>
        <w:t>):bbab</w:t>
      </w:r>
      <w:proofErr w:type="gramEnd"/>
      <w:r>
        <w:t xml:space="preserve">297. </w:t>
      </w:r>
    </w:p>
    <w:p w14:paraId="39B32B72" w14:textId="77777777" w:rsidR="004740A5" w:rsidRDefault="00000000">
      <w:pPr>
        <w:pStyle w:val="afa"/>
      </w:pPr>
      <w:bookmarkStart w:id="112" w:name="ref-2019c"/>
      <w:bookmarkEnd w:id="111"/>
      <w:r>
        <w:t xml:space="preserve">78. </w:t>
      </w:r>
      <w:r>
        <w:tab/>
      </w:r>
      <w:proofErr w:type="spellStart"/>
      <w:r>
        <w:t>Platten</w:t>
      </w:r>
      <w:proofErr w:type="spellEnd"/>
      <w:r>
        <w:t xml:space="preserve"> M, </w:t>
      </w:r>
      <w:proofErr w:type="spellStart"/>
      <w:r>
        <w:t>Nollen</w:t>
      </w:r>
      <w:proofErr w:type="spellEnd"/>
      <w:r>
        <w:t xml:space="preserve"> EAA, </w:t>
      </w:r>
      <w:proofErr w:type="spellStart"/>
      <w:r>
        <w:t>Röhrig</w:t>
      </w:r>
      <w:proofErr w:type="spellEnd"/>
      <w:r>
        <w:t xml:space="preserve"> UF, </w:t>
      </w:r>
      <w:proofErr w:type="spellStart"/>
      <w:r>
        <w:t>Fallarino</w:t>
      </w:r>
      <w:proofErr w:type="spellEnd"/>
      <w:r>
        <w:t xml:space="preserve"> F, Opitz CA. </w:t>
      </w:r>
      <w:hyperlink r:id="rId97">
        <w:r>
          <w:rPr>
            <w:rStyle w:val="aff"/>
          </w:rPr>
          <w:t>Tryptophan metabolism as a common therapeutic target in cancer, neurodegeneration and beyond</w:t>
        </w:r>
      </w:hyperlink>
      <w:r>
        <w:t xml:space="preserve">. Nature Reviews Drug Discovery. 2019 May;18(5):379–401. </w:t>
      </w:r>
    </w:p>
    <w:p w14:paraId="29968676" w14:textId="77777777" w:rsidR="004740A5" w:rsidRDefault="00000000">
      <w:pPr>
        <w:pStyle w:val="afa"/>
      </w:pPr>
      <w:bookmarkStart w:id="113" w:name="ref-2020cv"/>
      <w:bookmarkEnd w:id="112"/>
      <w:r>
        <w:t xml:space="preserve">79. </w:t>
      </w:r>
      <w:r>
        <w:tab/>
      </w:r>
      <w:proofErr w:type="spellStart"/>
      <w:r>
        <w:t>Knuplez</w:t>
      </w:r>
      <w:proofErr w:type="spellEnd"/>
      <w:r>
        <w:t xml:space="preserve"> E, </w:t>
      </w:r>
      <w:proofErr w:type="spellStart"/>
      <w:r>
        <w:t>Marsche</w:t>
      </w:r>
      <w:proofErr w:type="spellEnd"/>
      <w:r>
        <w:t xml:space="preserve"> G. </w:t>
      </w:r>
      <w:hyperlink r:id="rId98">
        <w:r>
          <w:rPr>
            <w:rStyle w:val="aff"/>
          </w:rPr>
          <w:t>An Updated Review of Pro- and Anti-Inflammatory Properties of Plasma Lysophosphatidylcholines in the Vascular System</w:t>
        </w:r>
      </w:hyperlink>
      <w:r>
        <w:t>. International Journal of Molecular Sciences. 2020 Jun;21(12</w:t>
      </w:r>
      <w:proofErr w:type="gramStart"/>
      <w:r>
        <w:t>):E</w:t>
      </w:r>
      <w:proofErr w:type="gramEnd"/>
      <w:r>
        <w:t xml:space="preserve">4501. </w:t>
      </w:r>
    </w:p>
    <w:p w14:paraId="0EB132BD" w14:textId="77777777" w:rsidR="004740A5" w:rsidRDefault="00000000">
      <w:pPr>
        <w:pStyle w:val="afa"/>
      </w:pPr>
      <w:bookmarkStart w:id="114" w:name="ref-2014ao"/>
      <w:bookmarkEnd w:id="113"/>
      <w:r>
        <w:t xml:space="preserve">80. </w:t>
      </w:r>
      <w:r>
        <w:tab/>
        <w:t xml:space="preserve">Park DW, Kwak DS, Park YY, Chang Y, Huh JW, Lim C-M, et al. </w:t>
      </w:r>
      <w:hyperlink r:id="rId99">
        <w:r>
          <w:rPr>
            <w:rStyle w:val="aff"/>
          </w:rPr>
          <w:t>Impact of serial measurements of lysophosphatidylcholine on 28-day mortality prediction in patients admitted to the intensive care unit with severe sepsis or septic shock</w:t>
        </w:r>
      </w:hyperlink>
      <w:r>
        <w:t>. Journal of Critical Care. 2014 Oct;29(5</w:t>
      </w:r>
      <w:proofErr w:type="gramStart"/>
      <w:r>
        <w:t>):882.e</w:t>
      </w:r>
      <w:proofErr w:type="gramEnd"/>
      <w:r>
        <w:t xml:space="preserve">5–11. </w:t>
      </w:r>
    </w:p>
    <w:p w14:paraId="3EF43648" w14:textId="77777777" w:rsidR="004740A5" w:rsidRDefault="00000000">
      <w:pPr>
        <w:pStyle w:val="afa"/>
      </w:pPr>
      <w:bookmarkStart w:id="115" w:name="ref-2003n"/>
      <w:bookmarkEnd w:id="114"/>
      <w:r>
        <w:t xml:space="preserve">81. </w:t>
      </w:r>
      <w:r>
        <w:tab/>
      </w:r>
      <w:proofErr w:type="spellStart"/>
      <w:r>
        <w:t>Drobnik</w:t>
      </w:r>
      <w:proofErr w:type="spellEnd"/>
      <w:r>
        <w:t xml:space="preserve"> W, Liebisch G, </w:t>
      </w:r>
      <w:proofErr w:type="spellStart"/>
      <w:r>
        <w:t>Audebert</w:t>
      </w:r>
      <w:proofErr w:type="spellEnd"/>
      <w:r>
        <w:t xml:space="preserve"> F-X, Fröhlich D, </w:t>
      </w:r>
      <w:proofErr w:type="spellStart"/>
      <w:r>
        <w:t>Glück</w:t>
      </w:r>
      <w:proofErr w:type="spellEnd"/>
      <w:r>
        <w:t xml:space="preserve"> T, Vogel P, et al. </w:t>
      </w:r>
      <w:hyperlink r:id="rId100">
        <w:r>
          <w:rPr>
            <w:rStyle w:val="aff"/>
          </w:rPr>
          <w:t>Plasma ceramide and lysophosphatidylcholine inversely correlate with mortality in sepsis patients</w:t>
        </w:r>
      </w:hyperlink>
      <w:r>
        <w:t xml:space="preserve">. Journal of Lipid Research. 2003 Apr;44(4):754–61. </w:t>
      </w:r>
    </w:p>
    <w:p w14:paraId="39D335C8" w14:textId="77777777" w:rsidR="004740A5" w:rsidRDefault="00000000">
      <w:pPr>
        <w:pStyle w:val="afa"/>
      </w:pPr>
      <w:bookmarkStart w:id="116" w:name="ref-2021dg"/>
      <w:bookmarkEnd w:id="115"/>
      <w:r>
        <w:t xml:space="preserve">82. </w:t>
      </w:r>
      <w:r>
        <w:tab/>
        <w:t xml:space="preserve">Perino A, </w:t>
      </w:r>
      <w:proofErr w:type="spellStart"/>
      <w:r>
        <w:t>Demagny</w:t>
      </w:r>
      <w:proofErr w:type="spellEnd"/>
      <w:r>
        <w:t xml:space="preserve"> H, Velazquez-Villegas L, </w:t>
      </w:r>
      <w:proofErr w:type="spellStart"/>
      <w:r>
        <w:t>Schoonjans</w:t>
      </w:r>
      <w:proofErr w:type="spellEnd"/>
      <w:r>
        <w:t xml:space="preserve"> K. </w:t>
      </w:r>
      <w:hyperlink r:id="rId101">
        <w:r>
          <w:rPr>
            <w:rStyle w:val="aff"/>
          </w:rPr>
          <w:t>Molecular Physiology of Bile Acid Signaling in Health, Disease, and Aging</w:t>
        </w:r>
      </w:hyperlink>
      <w:r>
        <w:t xml:space="preserve">. Physiological Reviews. 2021 Apr;101(2):683–731. </w:t>
      </w:r>
    </w:p>
    <w:p w14:paraId="76C31A63" w14:textId="77777777" w:rsidR="004740A5" w:rsidRDefault="00000000">
      <w:pPr>
        <w:pStyle w:val="afa"/>
      </w:pPr>
      <w:bookmarkStart w:id="117" w:name="ref-2018bd"/>
      <w:bookmarkEnd w:id="116"/>
      <w:r>
        <w:t xml:space="preserve">83. </w:t>
      </w:r>
      <w:r>
        <w:tab/>
        <w:t xml:space="preserve">Wang B, </w:t>
      </w:r>
      <w:proofErr w:type="spellStart"/>
      <w:r>
        <w:t>Tontonoz</w:t>
      </w:r>
      <w:proofErr w:type="spellEnd"/>
      <w:r>
        <w:t xml:space="preserve"> P. </w:t>
      </w:r>
      <w:hyperlink r:id="rId102">
        <w:r>
          <w:rPr>
            <w:rStyle w:val="aff"/>
          </w:rPr>
          <w:t>Liver X receptors in lipid signalling and membrane homeostasis</w:t>
        </w:r>
      </w:hyperlink>
      <w:r>
        <w:t xml:space="preserve">. Nature Reviews Endocrinology. 2018 Aug;14(8):452–63. </w:t>
      </w:r>
    </w:p>
    <w:p w14:paraId="35D834E9" w14:textId="77777777" w:rsidR="004740A5" w:rsidRDefault="00000000">
      <w:pPr>
        <w:pStyle w:val="afa"/>
      </w:pPr>
      <w:bookmarkStart w:id="118" w:name="ref-2021di"/>
      <w:bookmarkEnd w:id="117"/>
      <w:r>
        <w:t xml:space="preserve">84. </w:t>
      </w:r>
      <w:r>
        <w:tab/>
        <w:t xml:space="preserve">Zhang Q, Yao D, Rao B, Jian L, Chen Y, Hu K, et al. </w:t>
      </w:r>
      <w:hyperlink r:id="rId103">
        <w:r>
          <w:rPr>
            <w:rStyle w:val="aff"/>
          </w:rPr>
          <w:t>The structural basis for the phospholipid remodeling by lysophosphatidylcholine acyltransferase 3</w:t>
        </w:r>
      </w:hyperlink>
      <w:r>
        <w:t xml:space="preserve">. Nature Communications. 2021 Nov;12(1):6869. </w:t>
      </w:r>
    </w:p>
    <w:p w14:paraId="4272ACAE" w14:textId="77777777" w:rsidR="004740A5" w:rsidRDefault="00000000">
      <w:pPr>
        <w:pStyle w:val="afa"/>
      </w:pPr>
      <w:bookmarkStart w:id="119" w:name="ref-2021z"/>
      <w:bookmarkEnd w:id="118"/>
      <w:r>
        <w:t xml:space="preserve">85. </w:t>
      </w:r>
      <w:r>
        <w:tab/>
        <w:t xml:space="preserve">R Core Team. R: A language and environment for statistical computing. Vienna, Austria: R Foundation for Statistical Computing; 2021. </w:t>
      </w:r>
    </w:p>
    <w:p w14:paraId="4457677A" w14:textId="77777777" w:rsidR="004740A5" w:rsidRDefault="00000000">
      <w:pPr>
        <w:pStyle w:val="afa"/>
      </w:pPr>
      <w:bookmarkStart w:id="120" w:name="ref-2016g"/>
      <w:bookmarkEnd w:id="119"/>
      <w:r>
        <w:t xml:space="preserve">86. </w:t>
      </w:r>
      <w:r>
        <w:tab/>
        <w:t xml:space="preserve">Wickham H. Ggplot2: Elegant graphics for data analysis. Springer-Verlag New York; 2016. </w:t>
      </w:r>
    </w:p>
    <w:p w14:paraId="68298C1C" w14:textId="77777777" w:rsidR="004740A5" w:rsidRDefault="00000000">
      <w:pPr>
        <w:pStyle w:val="afa"/>
      </w:pPr>
      <w:bookmarkStart w:id="121" w:name="ref-2021ab"/>
      <w:bookmarkEnd w:id="120"/>
      <w:r>
        <w:t xml:space="preserve">87. </w:t>
      </w:r>
      <w:r>
        <w:tab/>
        <w:t xml:space="preserve">Horan K, </w:t>
      </w:r>
      <w:proofErr w:type="spellStart"/>
      <w:r>
        <w:t>Girke</w:t>
      </w:r>
      <w:proofErr w:type="spellEnd"/>
      <w:r>
        <w:t xml:space="preserve"> T. </w:t>
      </w:r>
      <w:proofErr w:type="spellStart"/>
      <w:r>
        <w:t>ChemmineOB</w:t>
      </w:r>
      <w:proofErr w:type="spellEnd"/>
      <w:r>
        <w:t xml:space="preserve">: R interface to a subset of </w:t>
      </w:r>
      <w:proofErr w:type="spellStart"/>
      <w:r>
        <w:t>OpenBabel</w:t>
      </w:r>
      <w:proofErr w:type="spellEnd"/>
      <w:r>
        <w:t xml:space="preserve"> functionalities. 2021. </w:t>
      </w:r>
    </w:p>
    <w:p w14:paraId="1CF0F161" w14:textId="77777777" w:rsidR="004740A5" w:rsidRDefault="00000000">
      <w:pPr>
        <w:pStyle w:val="afa"/>
      </w:pPr>
      <w:bookmarkStart w:id="122" w:name="ref-2021y"/>
      <w:bookmarkEnd w:id="121"/>
      <w:r>
        <w:t xml:space="preserve">88. </w:t>
      </w:r>
      <w:r>
        <w:tab/>
        <w:t xml:space="preserve">Pedersen TL. </w:t>
      </w:r>
      <w:proofErr w:type="spellStart"/>
      <w:r>
        <w:t>Ggraph</w:t>
      </w:r>
      <w:proofErr w:type="spellEnd"/>
      <w:r>
        <w:t xml:space="preserve">: An implementation of grammar of graphics for graphs and networks. 2021. </w:t>
      </w:r>
    </w:p>
    <w:p w14:paraId="6268DC98" w14:textId="77777777" w:rsidR="004740A5" w:rsidRDefault="00000000">
      <w:pPr>
        <w:pStyle w:val="afa"/>
      </w:pPr>
      <w:bookmarkStart w:id="123" w:name="ref-2018h"/>
      <w:bookmarkEnd w:id="122"/>
      <w:r>
        <w:t xml:space="preserve">89. </w:t>
      </w:r>
      <w:r>
        <w:tab/>
        <w:t xml:space="preserve">Xiao N. </w:t>
      </w:r>
      <w:proofErr w:type="spellStart"/>
      <w:r>
        <w:t>Ggsci</w:t>
      </w:r>
      <w:proofErr w:type="spellEnd"/>
      <w:r>
        <w:t xml:space="preserve">: Scientific journal and sci-fi themed color palettes for ’Ggplot2’. 2018. </w:t>
      </w:r>
    </w:p>
    <w:p w14:paraId="6BE3A28F" w14:textId="77777777" w:rsidR="004740A5" w:rsidRDefault="00000000">
      <w:pPr>
        <w:pStyle w:val="afa"/>
      </w:pPr>
      <w:bookmarkStart w:id="124" w:name="ref-2017j"/>
      <w:bookmarkEnd w:id="123"/>
      <w:r>
        <w:lastRenderedPageBreak/>
        <w:t xml:space="preserve">90. </w:t>
      </w:r>
      <w:r>
        <w:tab/>
      </w:r>
      <w:proofErr w:type="spellStart"/>
      <w:r>
        <w:t>Auguie</w:t>
      </w:r>
      <w:proofErr w:type="spellEnd"/>
      <w:r>
        <w:t xml:space="preserve"> B. </w:t>
      </w:r>
      <w:proofErr w:type="spellStart"/>
      <w:r>
        <w:t>gridExtra</w:t>
      </w:r>
      <w:proofErr w:type="spellEnd"/>
      <w:r>
        <w:t xml:space="preserve">: Miscellaneous functions for "Grid" graphics. 2017. </w:t>
      </w:r>
    </w:p>
    <w:p w14:paraId="16E04502" w14:textId="77777777" w:rsidR="004740A5" w:rsidRDefault="00000000">
      <w:pPr>
        <w:pStyle w:val="afa"/>
      </w:pPr>
      <w:bookmarkStart w:id="125" w:name="ref-2019l"/>
      <w:bookmarkEnd w:id="124"/>
      <w:r>
        <w:t xml:space="preserve">91. </w:t>
      </w:r>
      <w:r>
        <w:tab/>
        <w:t xml:space="preserve">Potter S, Murrell P. grImport2: Importing ’SVG’ graphics. 2019. </w:t>
      </w:r>
    </w:p>
    <w:p w14:paraId="34C41759" w14:textId="77777777" w:rsidR="004740A5" w:rsidRDefault="00000000">
      <w:pPr>
        <w:pStyle w:val="afa"/>
      </w:pPr>
      <w:bookmarkStart w:id="126" w:name="ref-2020u"/>
      <w:bookmarkEnd w:id="125"/>
      <w:r>
        <w:t xml:space="preserve">92. </w:t>
      </w:r>
      <w:r>
        <w:tab/>
        <w:t xml:space="preserve">Pedersen TL. </w:t>
      </w:r>
      <w:proofErr w:type="spellStart"/>
      <w:r>
        <w:t>Tidygraph</w:t>
      </w:r>
      <w:proofErr w:type="spellEnd"/>
      <w:r>
        <w:t xml:space="preserve">: A tidy API for graph manipulation. 2020. </w:t>
      </w:r>
    </w:p>
    <w:p w14:paraId="61C07EF5" w14:textId="77777777" w:rsidR="004740A5" w:rsidRDefault="00000000">
      <w:pPr>
        <w:pStyle w:val="afa"/>
      </w:pPr>
      <w:bookmarkStart w:id="127" w:name="ref-allaire_rmarkdown_2022"/>
      <w:bookmarkEnd w:id="126"/>
      <w:r>
        <w:t xml:space="preserve">93. </w:t>
      </w:r>
      <w:r>
        <w:tab/>
        <w:t xml:space="preserve">Allaire J, </w:t>
      </w:r>
      <w:proofErr w:type="spellStart"/>
      <w:r>
        <w:t>Xie</w:t>
      </w:r>
      <w:proofErr w:type="spellEnd"/>
      <w:r>
        <w:t xml:space="preserve"> Y, McPherson J, </w:t>
      </w:r>
      <w:proofErr w:type="spellStart"/>
      <w:r>
        <w:t>Luraschi</w:t>
      </w:r>
      <w:proofErr w:type="spellEnd"/>
      <w:r>
        <w:t xml:space="preserve"> J, </w:t>
      </w:r>
      <w:proofErr w:type="spellStart"/>
      <w:r>
        <w:t>Ushey</w:t>
      </w:r>
      <w:proofErr w:type="spellEnd"/>
      <w:r>
        <w:t xml:space="preserve"> K, Atkins A, et al. </w:t>
      </w:r>
      <w:proofErr w:type="spellStart"/>
      <w:r>
        <w:t>Rmarkdown</w:t>
      </w:r>
      <w:proofErr w:type="spellEnd"/>
      <w:r>
        <w:t xml:space="preserve">: Dynamic documents for R. 2022. </w:t>
      </w:r>
    </w:p>
    <w:p w14:paraId="30D35DBD" w14:textId="77777777" w:rsidR="004740A5" w:rsidRDefault="00000000">
      <w:pPr>
        <w:pStyle w:val="afa"/>
      </w:pPr>
      <w:bookmarkStart w:id="128" w:name="ref-xie_r_2020"/>
      <w:bookmarkEnd w:id="127"/>
      <w:r>
        <w:t xml:space="preserve">94. </w:t>
      </w:r>
      <w:r>
        <w:tab/>
      </w:r>
      <w:proofErr w:type="spellStart"/>
      <w:r>
        <w:t>Xie</w:t>
      </w:r>
      <w:proofErr w:type="spellEnd"/>
      <w:r>
        <w:t xml:space="preserve"> Y, </w:t>
      </w:r>
      <w:proofErr w:type="spellStart"/>
      <w:r>
        <w:t>Dervieux</w:t>
      </w:r>
      <w:proofErr w:type="spellEnd"/>
      <w:r>
        <w:t xml:space="preserve"> C, </w:t>
      </w:r>
      <w:proofErr w:type="spellStart"/>
      <w:r>
        <w:t>Riederer</w:t>
      </w:r>
      <w:proofErr w:type="spellEnd"/>
      <w:r>
        <w:t xml:space="preserve"> E. R markdown cookbook. Boca Raton, Florida: Chapman and Hall/CRC; 2020. </w:t>
      </w:r>
    </w:p>
    <w:p w14:paraId="37BFE23E" w14:textId="77777777" w:rsidR="004740A5" w:rsidRDefault="00000000">
      <w:pPr>
        <w:pStyle w:val="afa"/>
      </w:pPr>
      <w:bookmarkStart w:id="129" w:name="ref-xie_r_2018"/>
      <w:bookmarkEnd w:id="128"/>
      <w:r>
        <w:t xml:space="preserve">95. </w:t>
      </w:r>
      <w:r>
        <w:tab/>
      </w:r>
      <w:proofErr w:type="spellStart"/>
      <w:r>
        <w:t>Xie</w:t>
      </w:r>
      <w:proofErr w:type="spellEnd"/>
      <w:r>
        <w:t xml:space="preserve"> Y, Allaire JJ, </w:t>
      </w:r>
      <w:proofErr w:type="spellStart"/>
      <w:r>
        <w:t>Grolemund</w:t>
      </w:r>
      <w:proofErr w:type="spellEnd"/>
      <w:r>
        <w:t xml:space="preserve"> G. R markdown: The definitive guide. Boca Raton, Florida: Chapman and Hall/CRC; 2018. </w:t>
      </w:r>
    </w:p>
    <w:p w14:paraId="57574268" w14:textId="77777777" w:rsidR="004740A5" w:rsidRDefault="00000000">
      <w:pPr>
        <w:pStyle w:val="afa"/>
      </w:pPr>
      <w:bookmarkStart w:id="130" w:name="ref-2020cx"/>
      <w:bookmarkEnd w:id="129"/>
      <w:r>
        <w:t xml:space="preserve">96. </w:t>
      </w:r>
      <w:r>
        <w:tab/>
        <w:t xml:space="preserve">Pang Z, Chong J, Li S, Xia J. </w:t>
      </w:r>
      <w:hyperlink r:id="rId104">
        <w:r>
          <w:rPr>
            <w:rStyle w:val="aff"/>
          </w:rPr>
          <w:t>MetaboAnalystR 3.0: Toward an optimized workflow for global metabolomics</w:t>
        </w:r>
      </w:hyperlink>
      <w:r>
        <w:t xml:space="preserve">. Metabolites. 2020; </w:t>
      </w:r>
    </w:p>
    <w:p w14:paraId="499B8079" w14:textId="77777777" w:rsidR="004740A5" w:rsidRDefault="00000000">
      <w:pPr>
        <w:pStyle w:val="afa"/>
      </w:pPr>
      <w:bookmarkStart w:id="131" w:name="ref-2018bj"/>
      <w:bookmarkEnd w:id="130"/>
      <w:r>
        <w:t xml:space="preserve">97. </w:t>
      </w:r>
      <w:r>
        <w:tab/>
      </w:r>
      <w:proofErr w:type="spellStart"/>
      <w:r>
        <w:t>Picart</w:t>
      </w:r>
      <w:proofErr w:type="spellEnd"/>
      <w:r>
        <w:t xml:space="preserve">-Armada S, Fernandez-Albert F, </w:t>
      </w:r>
      <w:proofErr w:type="spellStart"/>
      <w:r>
        <w:t>Vinaixa</w:t>
      </w:r>
      <w:proofErr w:type="spellEnd"/>
      <w:r>
        <w:t xml:space="preserve"> M, </w:t>
      </w:r>
      <w:proofErr w:type="spellStart"/>
      <w:r>
        <w:t>Yanes</w:t>
      </w:r>
      <w:proofErr w:type="spellEnd"/>
      <w:r>
        <w:t xml:space="preserve"> O, </w:t>
      </w:r>
      <w:proofErr w:type="spellStart"/>
      <w:r>
        <w:t>Perera-Lluna</w:t>
      </w:r>
      <w:proofErr w:type="spellEnd"/>
      <w:r>
        <w:t xml:space="preserve"> A. </w:t>
      </w:r>
      <w:hyperlink r:id="rId105">
        <w:r>
          <w:rPr>
            <w:rStyle w:val="aff"/>
          </w:rPr>
          <w:t>FELLA: An R package to enrich metabolomics data</w:t>
        </w:r>
      </w:hyperlink>
      <w:r>
        <w:t xml:space="preserve">. BMC Bioinformatics. 2018;19(1):538. </w:t>
      </w:r>
    </w:p>
    <w:p w14:paraId="6D9C82FD" w14:textId="77777777" w:rsidR="004740A5" w:rsidRDefault="00000000">
      <w:pPr>
        <w:pStyle w:val="afa"/>
      </w:pPr>
      <w:bookmarkStart w:id="132" w:name="ref-ilprints422"/>
      <w:bookmarkEnd w:id="131"/>
      <w:r>
        <w:t xml:space="preserve">98. </w:t>
      </w:r>
      <w:r>
        <w:tab/>
        <w:t xml:space="preserve">Page L, Brin S, Motwani R, Winograd T. The PageRank citation ranking: Bringing order to the web. Stanford </w:t>
      </w:r>
      <w:proofErr w:type="spellStart"/>
      <w:r>
        <w:t>InfoLab</w:t>
      </w:r>
      <w:proofErr w:type="spellEnd"/>
      <w:r>
        <w:t xml:space="preserve"> / Stanford </w:t>
      </w:r>
      <w:proofErr w:type="spellStart"/>
      <w:r>
        <w:t>InfoLab</w:t>
      </w:r>
      <w:proofErr w:type="spellEnd"/>
      <w:r>
        <w:t xml:space="preserve">; 1999 Nov. Report No.: 1999-66. </w:t>
      </w:r>
    </w:p>
    <w:p w14:paraId="285A065E" w14:textId="77777777" w:rsidR="004740A5" w:rsidRDefault="00000000">
      <w:pPr>
        <w:pStyle w:val="afa"/>
      </w:pPr>
      <w:bookmarkStart w:id="133" w:name="ref-2010b"/>
      <w:bookmarkEnd w:id="132"/>
      <w:r>
        <w:t xml:space="preserve">99. </w:t>
      </w:r>
      <w:r>
        <w:tab/>
        <w:t xml:space="preserve">Cao Y. The history of </w:t>
      </w:r>
      <w:r>
        <w:rPr>
          <w:i/>
          <w:iCs/>
        </w:rPr>
        <w:t xml:space="preserve">E. </w:t>
      </w:r>
      <w:proofErr w:type="spellStart"/>
      <w:r>
        <w:rPr>
          <w:i/>
          <w:iCs/>
        </w:rPr>
        <w:t>Ulmoides</w:t>
      </w:r>
      <w:proofErr w:type="spellEnd"/>
      <w:r>
        <w:t xml:space="preserve"> and the progress of research in the past 20 years. 2010; </w:t>
      </w:r>
    </w:p>
    <w:p w14:paraId="20B311B4" w14:textId="77777777" w:rsidR="004740A5" w:rsidRDefault="00000000">
      <w:pPr>
        <w:pStyle w:val="afa"/>
      </w:pPr>
      <w:bookmarkStart w:id="134" w:name="ref-2011b"/>
      <w:bookmarkEnd w:id="133"/>
      <w:r>
        <w:t xml:space="preserve">100. </w:t>
      </w:r>
      <w:r>
        <w:tab/>
        <w:t xml:space="preserve">Martens L, Chambers M, Sturm M, </w:t>
      </w:r>
      <w:proofErr w:type="spellStart"/>
      <w:r>
        <w:t>Kessner</w:t>
      </w:r>
      <w:proofErr w:type="spellEnd"/>
      <w:r>
        <w:t xml:space="preserve"> D, Levander F, </w:t>
      </w:r>
      <w:proofErr w:type="spellStart"/>
      <w:r>
        <w:t>Shofstahl</w:t>
      </w:r>
      <w:proofErr w:type="spellEnd"/>
      <w:r>
        <w:t xml:space="preserve"> J, et al. </w:t>
      </w:r>
      <w:hyperlink r:id="rId106">
        <w:r>
          <w:rPr>
            <w:rStyle w:val="aff"/>
          </w:rPr>
          <w:t>mzMLa Community Standard for Mass Spectrometry Data</w:t>
        </w:r>
      </w:hyperlink>
      <w:r>
        <w:t>. Molecular &amp; Cellular Proteomics. 2011 Jan;10(1</w:t>
      </w:r>
      <w:proofErr w:type="gramStart"/>
      <w:r>
        <w:t>):R</w:t>
      </w:r>
      <w:proofErr w:type="gramEnd"/>
      <w:r>
        <w:t xml:space="preserve">110.000133. </w:t>
      </w:r>
      <w:bookmarkEnd w:id="33"/>
      <w:bookmarkEnd w:id="35"/>
      <w:bookmarkEnd w:id="134"/>
    </w:p>
    <w:sectPr w:rsidR="004740A5">
      <w:pgSz w:w="11906" w:h="16838"/>
      <w:pgMar w:top="1134" w:right="850" w:bottom="1134" w:left="1701" w:header="709" w:footer="709" w:gutter="0"/>
      <w:cols w:space="1701"/>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 w:author="Wang Lu" w:date="2023-01-14T09:53:00Z" w:initials="WL">
    <w:p w14:paraId="5B0D334C" w14:textId="60E07CF6" w:rsidR="00684562" w:rsidRDefault="00684562">
      <w:pPr>
        <w:pStyle w:val="aff2"/>
      </w:pPr>
      <w:r>
        <w:rPr>
          <w:rStyle w:val="aff1"/>
        </w:rPr>
        <w:annotationRef/>
      </w:r>
      <w:r>
        <w:rPr>
          <w:rFonts w:hint="eastAsia"/>
          <w:lang w:eastAsia="zh-CN"/>
        </w:rPr>
        <w:t>加一张图呈现</w:t>
      </w:r>
      <w:r>
        <w:rPr>
          <w:rFonts w:hint="eastAsia"/>
          <w:lang w:eastAsia="zh-CN"/>
        </w:rPr>
        <w:t>report</w:t>
      </w:r>
    </w:p>
  </w:comment>
  <w:comment w:id="2" w:author="Wang Lu" w:date="2023-01-13T22:16:00Z" w:initials="WL">
    <w:p w14:paraId="587596E8" w14:textId="663F6D2A" w:rsidR="00206140" w:rsidRDefault="00206140">
      <w:pPr>
        <w:pStyle w:val="aff2"/>
        <w:rPr>
          <w:lang w:eastAsia="zh-CN"/>
        </w:rPr>
      </w:pPr>
      <w:r>
        <w:rPr>
          <w:rStyle w:val="aff1"/>
        </w:rPr>
        <w:annotationRef/>
      </w:r>
      <w:r>
        <w:rPr>
          <w:rFonts w:hint="eastAsia"/>
          <w:lang w:eastAsia="zh-CN"/>
        </w:rPr>
        <w:t>是否是该方法的三个特色，是否按照特色排序？</w:t>
      </w:r>
    </w:p>
  </w:comment>
  <w:comment w:id="8" w:author="Wang Lu" w:date="2023-01-13T22:26:00Z" w:initials="WL">
    <w:p w14:paraId="12860BF2" w14:textId="35DA5589" w:rsidR="00A27ECF" w:rsidRDefault="00A27ECF">
      <w:pPr>
        <w:pStyle w:val="aff2"/>
        <w:rPr>
          <w:lang w:eastAsia="zh-CN"/>
        </w:rPr>
      </w:pPr>
      <w:r>
        <w:rPr>
          <w:rStyle w:val="aff1"/>
        </w:rPr>
        <w:annotationRef/>
      </w:r>
      <w:r>
        <w:rPr>
          <w:rFonts w:hint="eastAsia"/>
          <w:lang w:eastAsia="zh-CN"/>
        </w:rPr>
        <w:t>这部分应该是亮点，但是没有很透彻。先鉴定还是先分类？功能与类别？</w:t>
      </w:r>
    </w:p>
  </w:comment>
  <w:comment w:id="10" w:author="Wang Lu" w:date="2023-01-13T22:29:00Z" w:initials="WL">
    <w:p w14:paraId="249749C3" w14:textId="21056A04" w:rsidR="00A27ECF" w:rsidRDefault="00A27ECF">
      <w:pPr>
        <w:pStyle w:val="aff2"/>
      </w:pPr>
      <w:r>
        <w:rPr>
          <w:rStyle w:val="aff1"/>
        </w:rPr>
        <w:annotationRef/>
      </w:r>
      <w:r>
        <w:rPr>
          <w:rFonts w:hint="eastAsia"/>
          <w:lang w:eastAsia="zh-CN"/>
        </w:rPr>
        <w:t>要展开</w:t>
      </w:r>
    </w:p>
  </w:comment>
  <w:comment w:id="14" w:author="Wang Lu" w:date="2023-01-13T22:48:00Z" w:initials="WL">
    <w:p w14:paraId="5C53D3D7" w14:textId="14AEF314" w:rsidR="005D1BB1" w:rsidRDefault="005D1BB1">
      <w:pPr>
        <w:pStyle w:val="aff2"/>
      </w:pPr>
      <w:r>
        <w:rPr>
          <w:rStyle w:val="aff1"/>
        </w:rPr>
        <w:annotationRef/>
      </w:r>
      <w:r>
        <w:rPr>
          <w:rFonts w:hint="eastAsia"/>
          <w:lang w:eastAsia="zh-CN"/>
        </w:rPr>
        <w:t>缺少</w:t>
      </w:r>
      <w:r>
        <w:rPr>
          <w:rFonts w:hint="eastAsia"/>
          <w:lang w:eastAsia="zh-CN"/>
        </w:rPr>
        <w:t>method</w:t>
      </w:r>
      <w:r>
        <w:t xml:space="preserve"> </w:t>
      </w:r>
      <w:r>
        <w:rPr>
          <w:rFonts w:hint="eastAsia"/>
          <w:lang w:eastAsia="zh-CN"/>
        </w:rPr>
        <w:t>evaluation</w:t>
      </w:r>
    </w:p>
  </w:comment>
  <w:comment w:id="15" w:author="Wang Lu" w:date="2023-01-13T22:32:00Z" w:initials="WL">
    <w:p w14:paraId="4AD3BC2B" w14:textId="0A2041E1" w:rsidR="00A27ECF" w:rsidRDefault="00A27ECF">
      <w:pPr>
        <w:pStyle w:val="aff2"/>
        <w:rPr>
          <w:lang w:eastAsia="zh-CN"/>
        </w:rPr>
      </w:pPr>
      <w:r>
        <w:rPr>
          <w:rStyle w:val="aff1"/>
        </w:rPr>
        <w:annotationRef/>
      </w:r>
      <w:r>
        <w:rPr>
          <w:rFonts w:hint="eastAsia"/>
          <w:lang w:eastAsia="zh-CN"/>
        </w:rPr>
        <w:t>建议统一换成</w:t>
      </w:r>
      <w:proofErr w:type="spellStart"/>
      <w:r>
        <w:rPr>
          <w:rFonts w:hint="eastAsia"/>
          <w:lang w:eastAsia="zh-CN"/>
        </w:rPr>
        <w:t>MCnebula</w:t>
      </w:r>
      <w:proofErr w:type="spellEnd"/>
    </w:p>
  </w:comment>
  <w:comment w:id="16" w:author="Wang Lu" w:date="2023-01-13T22:36:00Z" w:initials="WL">
    <w:p w14:paraId="1FC9B88A" w14:textId="64800C44" w:rsidR="00037FBF" w:rsidRDefault="00037FBF">
      <w:pPr>
        <w:pStyle w:val="aff2"/>
      </w:pPr>
      <w:r>
        <w:rPr>
          <w:rStyle w:val="aff1"/>
        </w:rPr>
        <w:annotationRef/>
      </w:r>
      <w:r>
        <w:rPr>
          <w:rFonts w:hint="eastAsia"/>
          <w:lang w:eastAsia="zh-CN"/>
        </w:rPr>
        <w:t>顺序</w:t>
      </w:r>
      <w:proofErr w:type="gramStart"/>
      <w:r>
        <w:rPr>
          <w:rFonts w:hint="eastAsia"/>
          <w:lang w:eastAsia="zh-CN"/>
        </w:rPr>
        <w:t>性有些</w:t>
      </w:r>
      <w:proofErr w:type="gramEnd"/>
      <w:r>
        <w:rPr>
          <w:rFonts w:hint="eastAsia"/>
          <w:lang w:eastAsia="zh-CN"/>
        </w:rPr>
        <w:t>差，不知道从上到下看还是从左到右</w:t>
      </w:r>
    </w:p>
  </w:comment>
  <w:comment w:id="18" w:author="Wang Lu" w:date="2023-01-13T22:51:00Z" w:initials="WL">
    <w:p w14:paraId="25CC08FE" w14:textId="4AC77AB7" w:rsidR="007D3FB1" w:rsidRDefault="007D3FB1">
      <w:pPr>
        <w:pStyle w:val="aff2"/>
        <w:rPr>
          <w:lang w:eastAsia="zh-CN"/>
        </w:rPr>
      </w:pPr>
      <w:r>
        <w:rPr>
          <w:rStyle w:val="aff1"/>
        </w:rPr>
        <w:annotationRef/>
      </w:r>
      <w:r>
        <w:rPr>
          <w:rFonts w:hint="eastAsia"/>
          <w:lang w:eastAsia="zh-CN"/>
        </w:rPr>
        <w:t>为什么要</w:t>
      </w:r>
      <w:r>
        <w:rPr>
          <w:rFonts w:hint="eastAsia"/>
          <w:lang w:eastAsia="zh-CN"/>
        </w:rPr>
        <w:t>trace</w:t>
      </w:r>
      <w:r>
        <w:rPr>
          <w:rFonts w:hint="eastAsia"/>
          <w:lang w:eastAsia="zh-CN"/>
        </w:rPr>
        <w:t>，</w:t>
      </w:r>
      <w:r>
        <w:rPr>
          <w:rFonts w:hint="eastAsia"/>
          <w:lang w:eastAsia="zh-CN"/>
        </w:rPr>
        <w:t>trace</w:t>
      </w:r>
      <w:r>
        <w:rPr>
          <w:rFonts w:hint="eastAsia"/>
          <w:lang w:eastAsia="zh-CN"/>
        </w:rPr>
        <w:t>后得到什么，是否需要拼图来讲清楚</w:t>
      </w:r>
      <w:r>
        <w:rPr>
          <w:rFonts w:hint="eastAsia"/>
          <w:lang w:eastAsia="zh-CN"/>
        </w:rPr>
        <w:t>1</w:t>
      </w:r>
      <w:r>
        <w:rPr>
          <w:lang w:eastAsia="zh-CN"/>
        </w:rPr>
        <w:t>-2</w:t>
      </w:r>
      <w:r>
        <w:rPr>
          <w:rFonts w:hint="eastAsia"/>
          <w:lang w:eastAsia="zh-CN"/>
        </w:rPr>
        <w:t>类化合物，比如</w:t>
      </w:r>
      <w:r>
        <w:rPr>
          <w:rFonts w:hint="eastAsia"/>
          <w:lang w:eastAsia="zh-CN"/>
        </w:rPr>
        <w:t>AC</w:t>
      </w:r>
      <w:r>
        <w:rPr>
          <w:rFonts w:hint="eastAsia"/>
          <w:lang w:eastAsia="zh-CN"/>
        </w:rPr>
        <w:t>、</w:t>
      </w:r>
      <w:r>
        <w:rPr>
          <w:rFonts w:hint="eastAsia"/>
          <w:lang w:eastAsia="zh-CN"/>
        </w:rPr>
        <w:t>LPS</w:t>
      </w:r>
    </w:p>
  </w:comment>
  <w:comment w:id="19" w:author="Wang Lu" w:date="2023-01-13T23:00:00Z" w:initials="WL">
    <w:p w14:paraId="72531AEC" w14:textId="191D695D" w:rsidR="006961F1" w:rsidRDefault="006961F1">
      <w:pPr>
        <w:pStyle w:val="aff2"/>
      </w:pPr>
      <w:r>
        <w:rPr>
          <w:rStyle w:val="aff1"/>
        </w:rPr>
        <w:annotationRef/>
      </w:r>
      <w:r>
        <w:rPr>
          <w:rFonts w:hint="eastAsia"/>
          <w:lang w:eastAsia="zh-CN"/>
        </w:rPr>
        <w:t>精简了很多？</w:t>
      </w:r>
    </w:p>
  </w:comment>
  <w:comment w:id="21" w:author="Wang Lu" w:date="2023-01-13T23:02:00Z" w:initials="WL">
    <w:p w14:paraId="58A0CDA6" w14:textId="420EDC8E" w:rsidR="006961F1" w:rsidRDefault="006961F1">
      <w:pPr>
        <w:pStyle w:val="aff2"/>
      </w:pPr>
      <w:r>
        <w:rPr>
          <w:rStyle w:val="aff1"/>
        </w:rPr>
        <w:annotationRef/>
      </w:r>
      <w:r>
        <w:rPr>
          <w:lang w:eastAsia="zh-CN"/>
        </w:rPr>
        <w:t>A</w:t>
      </w:r>
      <w:r>
        <w:rPr>
          <w:rFonts w:hint="eastAsia"/>
          <w:lang w:eastAsia="zh-CN"/>
        </w:rPr>
        <w:t>bundance</w:t>
      </w:r>
      <w:r>
        <w:rPr>
          <w:rFonts w:hint="eastAsia"/>
          <w:lang w:eastAsia="zh-CN"/>
        </w:rPr>
        <w:t>信息没有，</w:t>
      </w:r>
      <w:r>
        <w:rPr>
          <w:rFonts w:hint="eastAsia"/>
          <w:lang w:eastAsia="zh-CN"/>
        </w:rPr>
        <w:t>result</w:t>
      </w:r>
      <w:r>
        <w:rPr>
          <w:rFonts w:hint="eastAsia"/>
          <w:lang w:eastAsia="zh-CN"/>
        </w:rPr>
        <w:t>几乎没有</w:t>
      </w:r>
    </w:p>
  </w:comment>
  <w:comment w:id="23" w:author="Wang Lu" w:date="2023-01-13T23:07:00Z" w:initials="WL">
    <w:p w14:paraId="4F282303" w14:textId="1BC37F4E" w:rsidR="00D91333" w:rsidRDefault="00D91333">
      <w:pPr>
        <w:pStyle w:val="aff2"/>
      </w:pPr>
      <w:r>
        <w:rPr>
          <w:rStyle w:val="aff1"/>
        </w:rPr>
        <w:annotationRef/>
      </w:r>
      <w:r>
        <w:rPr>
          <w:lang w:eastAsia="zh-CN"/>
        </w:rPr>
        <w:t>I</w:t>
      </w:r>
      <w:r>
        <w:rPr>
          <w:rFonts w:hint="eastAsia"/>
          <w:lang w:eastAsia="zh-CN"/>
        </w:rPr>
        <w:t>ntroduction</w:t>
      </w:r>
    </w:p>
  </w:comment>
  <w:comment w:id="24" w:author="Wang Lu" w:date="2023-01-13T23:12:00Z" w:initials="WL">
    <w:p w14:paraId="429AAD21" w14:textId="14AF064E" w:rsidR="00D91333" w:rsidRDefault="00D91333">
      <w:pPr>
        <w:pStyle w:val="aff2"/>
      </w:pPr>
      <w:r>
        <w:rPr>
          <w:rStyle w:val="aff1"/>
        </w:rPr>
        <w:annotationRef/>
      </w:r>
      <w:r>
        <w:rPr>
          <w:rFonts w:hint="eastAsia"/>
          <w:lang w:eastAsia="zh-CN"/>
        </w:rPr>
        <w:t>建议先强调前人文章验证过的结果一致性，而不是先说发现</w:t>
      </w:r>
    </w:p>
  </w:comment>
  <w:comment w:id="25" w:author="Wang Lu" w:date="2023-01-13T23:14:00Z" w:initials="WL">
    <w:p w14:paraId="0B6DF2B6" w14:textId="43910D58" w:rsidR="00D91333" w:rsidRDefault="00D91333">
      <w:pPr>
        <w:pStyle w:val="aff2"/>
        <w:rPr>
          <w:lang w:eastAsia="zh-CN"/>
        </w:rPr>
      </w:pPr>
      <w:r>
        <w:rPr>
          <w:rStyle w:val="aff1"/>
        </w:rPr>
        <w:annotationRef/>
      </w:r>
      <w:r>
        <w:rPr>
          <w:rFonts w:hint="eastAsia"/>
          <w:lang w:eastAsia="zh-CN"/>
        </w:rPr>
        <w:t>缺乏结果讨论，甚至没有杜仲鉴定的参考文献引用</w:t>
      </w:r>
    </w:p>
  </w:comment>
  <w:comment w:id="28" w:author="Wang Lu" w:date="2023-01-13T22:45:00Z" w:initials="WL">
    <w:p w14:paraId="643D8E5B" w14:textId="6916CF58" w:rsidR="00037FBF" w:rsidRDefault="00037FBF">
      <w:pPr>
        <w:pStyle w:val="aff2"/>
        <w:rPr>
          <w:lang w:eastAsia="zh-CN"/>
        </w:rPr>
      </w:pPr>
      <w:r>
        <w:rPr>
          <w:rStyle w:val="aff1"/>
        </w:rPr>
        <w:annotationRef/>
      </w:r>
      <w:r>
        <w:rPr>
          <w:rFonts w:hint="eastAsia"/>
          <w:lang w:eastAsia="zh-CN"/>
        </w:rPr>
        <w:t>需要调整字体大小</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B0D334C" w15:done="0"/>
  <w15:commentEx w15:paraId="587596E8" w15:done="0"/>
  <w15:commentEx w15:paraId="12860BF2" w15:done="0"/>
  <w15:commentEx w15:paraId="249749C3" w15:done="0"/>
  <w15:commentEx w15:paraId="5C53D3D7" w15:done="0"/>
  <w15:commentEx w15:paraId="4AD3BC2B" w15:done="0"/>
  <w15:commentEx w15:paraId="1FC9B88A" w15:done="0"/>
  <w15:commentEx w15:paraId="25CC08FE" w15:done="0"/>
  <w15:commentEx w15:paraId="72531AEC" w15:done="0"/>
  <w15:commentEx w15:paraId="58A0CDA6" w15:done="0"/>
  <w15:commentEx w15:paraId="4F282303" w15:done="0"/>
  <w15:commentEx w15:paraId="429AAD21" w15:done="0"/>
  <w15:commentEx w15:paraId="0B6DF2B6" w15:done="0"/>
  <w15:commentEx w15:paraId="643D8E5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6CFA19" w16cex:dateUtc="2023-01-14T01:53:00Z"/>
  <w16cex:commentExtensible w16cex:durableId="276C56CD" w16cex:dateUtc="2023-01-13T14:16:00Z"/>
  <w16cex:commentExtensible w16cex:durableId="276C590A" w16cex:dateUtc="2023-01-13T14:26:00Z"/>
  <w16cex:commentExtensible w16cex:durableId="276C59D7" w16cex:dateUtc="2023-01-13T14:29:00Z"/>
  <w16cex:commentExtensible w16cex:durableId="276C5E4A" w16cex:dateUtc="2023-01-13T14:48:00Z"/>
  <w16cex:commentExtensible w16cex:durableId="276C5A9A" w16cex:dateUtc="2023-01-13T14:32:00Z"/>
  <w16cex:commentExtensible w16cex:durableId="276C5B72" w16cex:dateUtc="2023-01-13T14:36:00Z"/>
  <w16cex:commentExtensible w16cex:durableId="276C5F07" w16cex:dateUtc="2023-01-13T14:51:00Z"/>
  <w16cex:commentExtensible w16cex:durableId="276C612B" w16cex:dateUtc="2023-01-13T15:00:00Z"/>
  <w16cex:commentExtensible w16cex:durableId="276C61A1" w16cex:dateUtc="2023-01-13T15:02:00Z"/>
  <w16cex:commentExtensible w16cex:durableId="276C62B2" w16cex:dateUtc="2023-01-13T15:07:00Z"/>
  <w16cex:commentExtensible w16cex:durableId="276C63D7" w16cex:dateUtc="2023-01-13T15:12:00Z"/>
  <w16cex:commentExtensible w16cex:durableId="276C646B" w16cex:dateUtc="2023-01-13T15:14:00Z"/>
  <w16cex:commentExtensible w16cex:durableId="276C5D6D" w16cex:dateUtc="2023-01-13T14: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B0D334C" w16cid:durableId="276CFA19"/>
  <w16cid:commentId w16cid:paraId="587596E8" w16cid:durableId="276C56CD"/>
  <w16cid:commentId w16cid:paraId="12860BF2" w16cid:durableId="276C590A"/>
  <w16cid:commentId w16cid:paraId="249749C3" w16cid:durableId="276C59D7"/>
  <w16cid:commentId w16cid:paraId="5C53D3D7" w16cid:durableId="276C5E4A"/>
  <w16cid:commentId w16cid:paraId="4AD3BC2B" w16cid:durableId="276C5A9A"/>
  <w16cid:commentId w16cid:paraId="1FC9B88A" w16cid:durableId="276C5B72"/>
  <w16cid:commentId w16cid:paraId="25CC08FE" w16cid:durableId="276C5F07"/>
  <w16cid:commentId w16cid:paraId="72531AEC" w16cid:durableId="276C612B"/>
  <w16cid:commentId w16cid:paraId="58A0CDA6" w16cid:durableId="276C61A1"/>
  <w16cid:commentId w16cid:paraId="4F282303" w16cid:durableId="276C62B2"/>
  <w16cid:commentId w16cid:paraId="429AAD21" w16cid:durableId="276C63D7"/>
  <w16cid:commentId w16cid:paraId="0B6DF2B6" w16cid:durableId="276C646B"/>
  <w16cid:commentId w16cid:paraId="643D8E5B" w16cid:durableId="276C5D6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FBCE66" w14:textId="77777777" w:rsidR="003A3C8B" w:rsidRDefault="003A3C8B">
      <w:pPr>
        <w:spacing w:after="0"/>
      </w:pPr>
      <w:r>
        <w:separator/>
      </w:r>
    </w:p>
  </w:endnote>
  <w:endnote w:type="continuationSeparator" w:id="0">
    <w:p w14:paraId="77EE1580" w14:textId="77777777" w:rsidR="003A3C8B" w:rsidRDefault="003A3C8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Nimbus Roman">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05716E" w14:textId="77777777" w:rsidR="003A3C8B" w:rsidRDefault="003A3C8B">
      <w:r>
        <w:separator/>
      </w:r>
    </w:p>
  </w:footnote>
  <w:footnote w:type="continuationSeparator" w:id="0">
    <w:p w14:paraId="65BC51C7" w14:textId="77777777" w:rsidR="003A3C8B" w:rsidRDefault="003A3C8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FD2E631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CAC68AC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2EE40AFC"/>
    <w:multiLevelType w:val="hybridMultilevel"/>
    <w:tmpl w:val="19F07400"/>
    <w:lvl w:ilvl="0" w:tplc="902C7A34">
      <w:start w:val="1"/>
      <w:numFmt w:val="bullet"/>
      <w:lvlText w:val=" "/>
      <w:lvlJc w:val="left"/>
      <w:pPr>
        <w:tabs>
          <w:tab w:val="num" w:pos="0"/>
        </w:tabs>
        <w:ind w:left="480" w:hanging="480"/>
      </w:pPr>
    </w:lvl>
    <w:lvl w:ilvl="1" w:tplc="821E5F88">
      <w:start w:val="1"/>
      <w:numFmt w:val="bullet"/>
      <w:lvlText w:val=" "/>
      <w:lvlJc w:val="left"/>
      <w:pPr>
        <w:tabs>
          <w:tab w:val="num" w:pos="720"/>
        </w:tabs>
        <w:ind w:left="1200" w:hanging="480"/>
      </w:pPr>
    </w:lvl>
    <w:lvl w:ilvl="2" w:tplc="7102F3F8">
      <w:start w:val="1"/>
      <w:numFmt w:val="bullet"/>
      <w:lvlText w:val=" "/>
      <w:lvlJc w:val="left"/>
      <w:pPr>
        <w:tabs>
          <w:tab w:val="num" w:pos="1440"/>
        </w:tabs>
        <w:ind w:left="1920" w:hanging="480"/>
      </w:pPr>
    </w:lvl>
    <w:lvl w:ilvl="3" w:tplc="FEA47FE4">
      <w:start w:val="1"/>
      <w:numFmt w:val="bullet"/>
      <w:lvlText w:val=" "/>
      <w:lvlJc w:val="left"/>
      <w:pPr>
        <w:tabs>
          <w:tab w:val="num" w:pos="2160"/>
        </w:tabs>
        <w:ind w:left="2640" w:hanging="480"/>
      </w:pPr>
    </w:lvl>
    <w:lvl w:ilvl="4" w:tplc="BF408182">
      <w:start w:val="1"/>
      <w:numFmt w:val="bullet"/>
      <w:lvlText w:val=" "/>
      <w:lvlJc w:val="left"/>
      <w:pPr>
        <w:tabs>
          <w:tab w:val="num" w:pos="2880"/>
        </w:tabs>
        <w:ind w:left="3360" w:hanging="480"/>
      </w:pPr>
    </w:lvl>
    <w:lvl w:ilvl="5" w:tplc="DF3CAC26">
      <w:start w:val="1"/>
      <w:numFmt w:val="bullet"/>
      <w:lvlText w:val=" "/>
      <w:lvlJc w:val="left"/>
      <w:pPr>
        <w:tabs>
          <w:tab w:val="num" w:pos="3600"/>
        </w:tabs>
        <w:ind w:left="4080" w:hanging="480"/>
      </w:pPr>
    </w:lvl>
    <w:lvl w:ilvl="6" w:tplc="B5D07B82">
      <w:start w:val="1"/>
      <w:numFmt w:val="bullet"/>
      <w:lvlText w:val=" "/>
      <w:lvlJc w:val="left"/>
      <w:pPr>
        <w:tabs>
          <w:tab w:val="num" w:pos="4320"/>
        </w:tabs>
        <w:ind w:left="4800" w:hanging="480"/>
      </w:pPr>
    </w:lvl>
    <w:lvl w:ilvl="7" w:tplc="C278F946">
      <w:start w:val="1"/>
      <w:numFmt w:val="bullet"/>
      <w:lvlText w:val=" "/>
      <w:lvlJc w:val="left"/>
      <w:pPr>
        <w:tabs>
          <w:tab w:val="num" w:pos="5040"/>
        </w:tabs>
        <w:ind w:left="5520" w:hanging="480"/>
      </w:pPr>
    </w:lvl>
    <w:lvl w:ilvl="8" w:tplc="A838EDC4">
      <w:start w:val="1"/>
      <w:numFmt w:val="bullet"/>
      <w:lvlText w:val=" "/>
      <w:lvlJc w:val="left"/>
      <w:pPr>
        <w:tabs>
          <w:tab w:val="num" w:pos="5760"/>
        </w:tabs>
        <w:ind w:left="6240" w:hanging="480"/>
      </w:pPr>
    </w:lvl>
  </w:abstractNum>
  <w:num w:numId="1" w16cid:durableId="1904751657">
    <w:abstractNumId w:val="2"/>
  </w:num>
  <w:num w:numId="2" w16cid:durableId="722942835">
    <w:abstractNumId w:val="0"/>
  </w:num>
  <w:num w:numId="3" w16cid:durableId="1083333843">
    <w:abstractNumId w:val="1"/>
  </w:num>
  <w:num w:numId="4" w16cid:durableId="882323443">
    <w:abstractNumId w:val="1"/>
  </w:num>
  <w:num w:numId="5" w16cid:durableId="1198592223">
    <w:abstractNumId w:val="1"/>
  </w:num>
  <w:num w:numId="6" w16cid:durableId="686374344">
    <w:abstractNumId w:val="1"/>
  </w:num>
  <w:num w:numId="7" w16cid:durableId="1474297888">
    <w:abstractNumId w:val="1"/>
  </w:num>
  <w:num w:numId="8" w16cid:durableId="1747191220">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Wang Lu">
    <w15:presenceInfo w15:providerId="Windows Live" w15:userId="8f518a2bf23bb9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40A5"/>
    <w:rsid w:val="00037FBF"/>
    <w:rsid w:val="00072DB7"/>
    <w:rsid w:val="002032F5"/>
    <w:rsid w:val="00206140"/>
    <w:rsid w:val="00302A0B"/>
    <w:rsid w:val="003A3C8B"/>
    <w:rsid w:val="004740A5"/>
    <w:rsid w:val="005D1BB1"/>
    <w:rsid w:val="00684562"/>
    <w:rsid w:val="006961F1"/>
    <w:rsid w:val="007D3FB1"/>
    <w:rsid w:val="00A27ECF"/>
    <w:rsid w:val="00C03C9E"/>
    <w:rsid w:val="00D91333"/>
  </w:rsids>
  <m:mathPr>
    <m:mathFont m:val="Cambria Math"/>
    <m:brkBin m:val="before"/>
    <m:brkBinSub m:val="--"/>
    <m:smallFrac m:val="0"/>
    <m:dispDef/>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B107E2"/>
  <w15:docId w15:val="{658BD912-5B0D-4502-AF44-EA44416B3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0"/>
    <w:link w:val="10"/>
    <w:uiPriority w:val="9"/>
    <w:qFormat/>
    <w:pPr>
      <w:keepNext/>
      <w:keepLines/>
      <w:spacing w:before="480" w:after="0"/>
      <w:outlineLvl w:val="0"/>
    </w:pPr>
    <w:rPr>
      <w:rFonts w:ascii="Nimbus Roman" w:eastAsia="Nimbus Roman" w:hAnsi="Nimbus Roman" w:cs="Nimbus Roman"/>
      <w:b/>
      <w:bCs/>
      <w:color w:val="000000" w:themeColor="text1"/>
      <w:sz w:val="32"/>
      <w:szCs w:val="32"/>
    </w:rPr>
  </w:style>
  <w:style w:type="paragraph" w:styleId="2">
    <w:name w:val="heading 2"/>
    <w:basedOn w:val="a"/>
    <w:next w:val="a0"/>
    <w:link w:val="20"/>
    <w:uiPriority w:val="9"/>
    <w:unhideWhenUsed/>
    <w:qFormat/>
    <w:pPr>
      <w:keepNext/>
      <w:keepLines/>
      <w:spacing w:before="200" w:after="0"/>
      <w:outlineLvl w:val="1"/>
    </w:pPr>
    <w:rPr>
      <w:rFonts w:ascii="Nimbus Roman" w:eastAsia="Nimbus Roman" w:hAnsi="Nimbus Roman" w:cs="Nimbus Roman"/>
      <w:b/>
      <w:bCs/>
      <w:color w:val="000000" w:themeColor="text1"/>
      <w:sz w:val="28"/>
      <w:szCs w:val="28"/>
    </w:rPr>
  </w:style>
  <w:style w:type="paragraph" w:styleId="3">
    <w:name w:val="heading 3"/>
    <w:basedOn w:val="a"/>
    <w:next w:val="a0"/>
    <w:link w:val="30"/>
    <w:uiPriority w:val="9"/>
    <w:unhideWhenUsed/>
    <w:qFormat/>
    <w:pPr>
      <w:keepNext/>
      <w:keepLines/>
      <w:spacing w:before="200" w:after="0"/>
      <w:outlineLvl w:val="2"/>
    </w:pPr>
    <w:rPr>
      <w:rFonts w:ascii="Nimbus Roman" w:eastAsia="Nimbus Roman" w:hAnsi="Nimbus Roman" w:cs="Nimbus Roman"/>
      <w:b/>
      <w:bCs/>
      <w:color w:val="000000" w:themeColor="text1"/>
    </w:rPr>
  </w:style>
  <w:style w:type="paragraph" w:styleId="4">
    <w:name w:val="heading 4"/>
    <w:basedOn w:val="a"/>
    <w:next w:val="a0"/>
    <w:link w:val="40"/>
    <w:uiPriority w:val="9"/>
    <w:unhideWhenUsed/>
    <w:qFormat/>
    <w:pPr>
      <w:keepNext/>
      <w:keepLines/>
      <w:spacing w:before="200" w:after="0"/>
      <w:outlineLvl w:val="3"/>
    </w:pPr>
    <w:rPr>
      <w:rFonts w:ascii="Nimbus Roman" w:eastAsia="Nimbus Roman" w:hAnsi="Nimbus Roman" w:cs="Nimbus Roman"/>
      <w:bCs/>
      <w:i/>
      <w:color w:val="000000" w:themeColor="text1"/>
    </w:rPr>
  </w:style>
  <w:style w:type="paragraph" w:styleId="5">
    <w:name w:val="heading 5"/>
    <w:basedOn w:val="a"/>
    <w:next w:val="a0"/>
    <w:link w:val="50"/>
    <w:uiPriority w:val="9"/>
    <w:unhideWhenUsed/>
    <w:qFormat/>
    <w:pPr>
      <w:keepNext/>
      <w:keepLines/>
      <w:spacing w:before="200" w:after="0"/>
      <w:outlineLvl w:val="4"/>
    </w:pPr>
    <w:rPr>
      <w:rFonts w:ascii="Nimbus Roman" w:eastAsia="Nimbus Roman" w:hAnsi="Nimbus Roman" w:cs="Nimbus Roman"/>
      <w:iCs/>
      <w:color w:val="000000" w:themeColor="text1"/>
    </w:rPr>
  </w:style>
  <w:style w:type="paragraph" w:styleId="6">
    <w:name w:val="heading 6"/>
    <w:basedOn w:val="a"/>
    <w:next w:val="a0"/>
    <w:link w:val="60"/>
    <w:uiPriority w:val="9"/>
    <w:unhideWhenUsed/>
    <w:qFormat/>
    <w:pPr>
      <w:keepNext/>
      <w:keepLines/>
      <w:spacing w:before="200" w:after="0"/>
      <w:outlineLvl w:val="5"/>
    </w:pPr>
    <w:rPr>
      <w:rFonts w:ascii="Nimbus Roman" w:eastAsia="Nimbus Roman" w:hAnsi="Nimbus Roman" w:cs="Nimbus Roman"/>
      <w:color w:val="000000" w:themeColor="text1"/>
    </w:rPr>
  </w:style>
  <w:style w:type="paragraph" w:styleId="7">
    <w:name w:val="heading 7"/>
    <w:basedOn w:val="a"/>
    <w:next w:val="a0"/>
    <w:link w:val="70"/>
    <w:uiPriority w:val="9"/>
    <w:unhideWhenUsed/>
    <w:qFormat/>
    <w:pPr>
      <w:keepNext/>
      <w:keepLines/>
      <w:spacing w:before="200" w:after="0"/>
      <w:outlineLvl w:val="6"/>
    </w:pPr>
    <w:rPr>
      <w:rFonts w:ascii="Nimbus Roman" w:eastAsia="Nimbus Roman" w:hAnsi="Nimbus Roman" w:cs="Nimbus Roman"/>
      <w:color w:val="000000" w:themeColor="text1"/>
    </w:rPr>
  </w:style>
  <w:style w:type="paragraph" w:styleId="8">
    <w:name w:val="heading 8"/>
    <w:basedOn w:val="a"/>
    <w:next w:val="a0"/>
    <w:link w:val="80"/>
    <w:uiPriority w:val="9"/>
    <w:unhideWhenUsed/>
    <w:qFormat/>
    <w:pPr>
      <w:keepNext/>
      <w:keepLines/>
      <w:spacing w:before="200" w:after="0"/>
      <w:outlineLvl w:val="7"/>
    </w:pPr>
    <w:rPr>
      <w:rFonts w:ascii="Nimbus Roman" w:eastAsia="Nimbus Roman" w:hAnsi="Nimbus Roman" w:cs="Nimbus Roman"/>
      <w:color w:val="000000" w:themeColor="text1"/>
    </w:rPr>
  </w:style>
  <w:style w:type="paragraph" w:styleId="9">
    <w:name w:val="heading 9"/>
    <w:basedOn w:val="a"/>
    <w:next w:val="a0"/>
    <w:link w:val="90"/>
    <w:uiPriority w:val="9"/>
    <w:unhideWhenUsed/>
    <w:qFormat/>
    <w:pPr>
      <w:keepNext/>
      <w:keepLines/>
      <w:spacing w:before="200" w:after="0"/>
      <w:outlineLvl w:val="8"/>
    </w:pPr>
    <w:rPr>
      <w:rFonts w:ascii="Nimbus Roman" w:eastAsia="Nimbus Roman" w:hAnsi="Nimbus Roman" w:cs="Nimbus Roman"/>
      <w:color w:val="000000" w:themeColor="tex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uiPriority w:val="9"/>
    <w:rPr>
      <w:rFonts w:ascii="Arial" w:eastAsia="Arial" w:hAnsi="Arial" w:cs="Arial"/>
      <w:sz w:val="40"/>
      <w:szCs w:val="40"/>
    </w:rPr>
  </w:style>
  <w:style w:type="character" w:customStyle="1" w:styleId="20">
    <w:name w:val="标题 2 字符"/>
    <w:basedOn w:val="a1"/>
    <w:link w:val="2"/>
    <w:uiPriority w:val="9"/>
    <w:rPr>
      <w:rFonts w:ascii="Arial" w:eastAsia="Arial" w:hAnsi="Arial" w:cs="Arial"/>
      <w:sz w:val="34"/>
    </w:rPr>
  </w:style>
  <w:style w:type="character" w:customStyle="1" w:styleId="30">
    <w:name w:val="标题 3 字符"/>
    <w:basedOn w:val="a1"/>
    <w:link w:val="3"/>
    <w:uiPriority w:val="9"/>
    <w:rPr>
      <w:rFonts w:ascii="Arial" w:eastAsia="Arial" w:hAnsi="Arial" w:cs="Arial"/>
      <w:sz w:val="30"/>
      <w:szCs w:val="30"/>
    </w:rPr>
  </w:style>
  <w:style w:type="character" w:customStyle="1" w:styleId="40">
    <w:name w:val="标题 4 字符"/>
    <w:basedOn w:val="a1"/>
    <w:link w:val="4"/>
    <w:uiPriority w:val="9"/>
    <w:rPr>
      <w:rFonts w:ascii="Arial" w:eastAsia="Arial" w:hAnsi="Arial" w:cs="Arial"/>
      <w:b/>
      <w:bCs/>
      <w:sz w:val="26"/>
      <w:szCs w:val="26"/>
    </w:rPr>
  </w:style>
  <w:style w:type="character" w:customStyle="1" w:styleId="50">
    <w:name w:val="标题 5 字符"/>
    <w:basedOn w:val="a1"/>
    <w:link w:val="5"/>
    <w:uiPriority w:val="9"/>
    <w:rPr>
      <w:rFonts w:ascii="Arial" w:eastAsia="Arial" w:hAnsi="Arial" w:cs="Arial"/>
      <w:b/>
      <w:bCs/>
      <w:sz w:val="24"/>
      <w:szCs w:val="24"/>
    </w:rPr>
  </w:style>
  <w:style w:type="character" w:customStyle="1" w:styleId="60">
    <w:name w:val="标题 6 字符"/>
    <w:basedOn w:val="a1"/>
    <w:link w:val="6"/>
    <w:uiPriority w:val="9"/>
    <w:rPr>
      <w:rFonts w:ascii="Arial" w:eastAsia="Arial" w:hAnsi="Arial" w:cs="Arial"/>
      <w:b/>
      <w:bCs/>
      <w:sz w:val="22"/>
      <w:szCs w:val="22"/>
    </w:rPr>
  </w:style>
  <w:style w:type="character" w:customStyle="1" w:styleId="70">
    <w:name w:val="标题 7 字符"/>
    <w:basedOn w:val="a1"/>
    <w:link w:val="7"/>
    <w:uiPriority w:val="9"/>
    <w:rPr>
      <w:rFonts w:ascii="Arial" w:eastAsia="Arial" w:hAnsi="Arial" w:cs="Arial"/>
      <w:b/>
      <w:bCs/>
      <w:i/>
      <w:iCs/>
      <w:sz w:val="22"/>
      <w:szCs w:val="22"/>
    </w:rPr>
  </w:style>
  <w:style w:type="character" w:customStyle="1" w:styleId="80">
    <w:name w:val="标题 8 字符"/>
    <w:basedOn w:val="a1"/>
    <w:link w:val="8"/>
    <w:uiPriority w:val="9"/>
    <w:rPr>
      <w:rFonts w:ascii="Arial" w:eastAsia="Arial" w:hAnsi="Arial" w:cs="Arial"/>
      <w:i/>
      <w:iCs/>
      <w:sz w:val="22"/>
      <w:szCs w:val="22"/>
    </w:rPr>
  </w:style>
  <w:style w:type="character" w:customStyle="1" w:styleId="90">
    <w:name w:val="标题 9 字符"/>
    <w:basedOn w:val="a1"/>
    <w:link w:val="9"/>
    <w:uiPriority w:val="9"/>
    <w:rPr>
      <w:rFonts w:ascii="Arial" w:eastAsia="Arial" w:hAnsi="Arial" w:cs="Arial"/>
      <w:i/>
      <w:iCs/>
      <w:sz w:val="21"/>
      <w:szCs w:val="21"/>
    </w:rPr>
  </w:style>
  <w:style w:type="paragraph" w:styleId="a4">
    <w:name w:val="List Paragraph"/>
    <w:basedOn w:val="a"/>
    <w:uiPriority w:val="34"/>
    <w:qFormat/>
    <w:pPr>
      <w:ind w:left="720"/>
      <w:contextualSpacing/>
    </w:pPr>
  </w:style>
  <w:style w:type="paragraph" w:styleId="a5">
    <w:name w:val="No Spacing"/>
    <w:uiPriority w:val="1"/>
    <w:qFormat/>
    <w:pPr>
      <w:spacing w:after="0"/>
    </w:pPr>
  </w:style>
  <w:style w:type="character" w:customStyle="1" w:styleId="a6">
    <w:name w:val="标题 字符"/>
    <w:basedOn w:val="a1"/>
    <w:link w:val="a7"/>
    <w:uiPriority w:val="10"/>
    <w:rPr>
      <w:sz w:val="48"/>
      <w:szCs w:val="48"/>
    </w:rPr>
  </w:style>
  <w:style w:type="character" w:customStyle="1" w:styleId="a8">
    <w:name w:val="副标题 字符"/>
    <w:basedOn w:val="a1"/>
    <w:link w:val="a9"/>
    <w:uiPriority w:val="11"/>
    <w:rPr>
      <w:sz w:val="24"/>
      <w:szCs w:val="24"/>
    </w:rPr>
  </w:style>
  <w:style w:type="paragraph" w:styleId="aa">
    <w:name w:val="Quote"/>
    <w:basedOn w:val="a"/>
    <w:next w:val="a"/>
    <w:link w:val="ab"/>
    <w:uiPriority w:val="29"/>
    <w:qFormat/>
    <w:pPr>
      <w:ind w:left="720" w:right="720"/>
    </w:pPr>
    <w:rPr>
      <w:i/>
    </w:rPr>
  </w:style>
  <w:style w:type="character" w:customStyle="1" w:styleId="ab">
    <w:name w:val="引用 字符"/>
    <w:link w:val="aa"/>
    <w:uiPriority w:val="29"/>
    <w:rPr>
      <w:i/>
    </w:rPr>
  </w:style>
  <w:style w:type="paragraph" w:styleId="ac">
    <w:name w:val="Intense Quote"/>
    <w:basedOn w:val="a"/>
    <w:next w:val="a"/>
    <w:link w:val="ad"/>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ad">
    <w:name w:val="明显引用 字符"/>
    <w:link w:val="ac"/>
    <w:uiPriority w:val="30"/>
    <w:rPr>
      <w:i/>
    </w:rPr>
  </w:style>
  <w:style w:type="paragraph" w:styleId="ae">
    <w:name w:val="header"/>
    <w:basedOn w:val="a"/>
    <w:link w:val="af"/>
    <w:uiPriority w:val="99"/>
    <w:unhideWhenUsed/>
    <w:pPr>
      <w:tabs>
        <w:tab w:val="center" w:pos="7143"/>
        <w:tab w:val="right" w:pos="14287"/>
      </w:tabs>
      <w:spacing w:after="0"/>
    </w:pPr>
  </w:style>
  <w:style w:type="character" w:customStyle="1" w:styleId="af">
    <w:name w:val="页眉 字符"/>
    <w:basedOn w:val="a1"/>
    <w:link w:val="ae"/>
    <w:uiPriority w:val="99"/>
  </w:style>
  <w:style w:type="paragraph" w:styleId="af0">
    <w:name w:val="footer"/>
    <w:basedOn w:val="a"/>
    <w:link w:val="af1"/>
    <w:uiPriority w:val="99"/>
    <w:unhideWhenUsed/>
    <w:pPr>
      <w:tabs>
        <w:tab w:val="center" w:pos="7143"/>
        <w:tab w:val="right" w:pos="14287"/>
      </w:tabs>
      <w:spacing w:after="0"/>
    </w:pPr>
  </w:style>
  <w:style w:type="character" w:customStyle="1" w:styleId="FooterChar">
    <w:name w:val="Footer Char"/>
    <w:basedOn w:val="a1"/>
    <w:uiPriority w:val="99"/>
  </w:style>
  <w:style w:type="character" w:customStyle="1" w:styleId="af1">
    <w:name w:val="页脚 字符"/>
    <w:link w:val="af0"/>
    <w:uiPriority w:val="99"/>
  </w:style>
  <w:style w:type="table" w:styleId="af2">
    <w:name w:val="Table Grid"/>
    <w:basedOn w:val="a2"/>
    <w:uiPriority w:val="59"/>
    <w:pPr>
      <w:spacing w:after="0"/>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
    <w:name w:val="Table Grid Light"/>
    <w:basedOn w:val="a2"/>
    <w:uiPriority w:val="59"/>
    <w:pPr>
      <w:spacing w:after="0"/>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11">
    <w:name w:val="Plain Table 1"/>
    <w:basedOn w:val="a2"/>
    <w:uiPriority w:val="59"/>
    <w:pPr>
      <w:spacing w:after="0"/>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auto"/>
      </w:tcPr>
    </w:tblStylePr>
    <w:tblStylePr w:type="band1Horz">
      <w:tblPr/>
      <w:tcPr>
        <w:shd w:val="clear" w:color="F2F2F2" w:themeColor="text1" w:themeTint="0D" w:fill="auto"/>
      </w:tcPr>
    </w:tblStylePr>
  </w:style>
  <w:style w:type="table" w:styleId="21">
    <w:name w:val="Plain Table 2"/>
    <w:basedOn w:val="a2"/>
    <w:uiPriority w:val="59"/>
    <w:pPr>
      <w:spacing w:after="0"/>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31">
    <w:name w:val="Plain Table 3"/>
    <w:basedOn w:val="a2"/>
    <w:uiPriority w:val="99"/>
    <w:pPr>
      <w:spacing w:after="0"/>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auto"/>
      </w:tcPr>
    </w:tblStylePr>
    <w:tblStylePr w:type="band1Horz">
      <w:rPr>
        <w:rFonts w:ascii="Arial" w:hAnsi="Arial"/>
        <w:color w:val="404040"/>
        <w:sz w:val="22"/>
      </w:rPr>
      <w:tblPr/>
      <w:tcPr>
        <w:shd w:val="clear" w:color="F2F2F2" w:themeColor="text1" w:themeTint="0D" w:fill="auto"/>
      </w:tcPr>
    </w:tblStylePr>
  </w:style>
  <w:style w:type="table" w:styleId="41">
    <w:name w:val="Plain Table 4"/>
    <w:basedOn w:val="a2"/>
    <w:uiPriority w:val="99"/>
    <w:pPr>
      <w:spacing w:after="0"/>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auto"/>
      </w:tcPr>
    </w:tblStylePr>
    <w:tblStylePr w:type="band1Horz">
      <w:rPr>
        <w:rFonts w:ascii="Arial" w:hAnsi="Arial"/>
        <w:color w:val="404040"/>
        <w:sz w:val="22"/>
      </w:rPr>
      <w:tblPr/>
      <w:tcPr>
        <w:shd w:val="clear" w:color="F2F2F2" w:themeColor="text1" w:themeTint="0D" w:fill="auto"/>
      </w:tcPr>
    </w:tblStylePr>
  </w:style>
  <w:style w:type="table" w:styleId="51">
    <w:name w:val="Plain Table 5"/>
    <w:basedOn w:val="a2"/>
    <w:uiPriority w:val="99"/>
    <w:pPr>
      <w:spacing w:after="0"/>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auto"/>
      </w:tcPr>
    </w:tblStylePr>
    <w:tblStylePr w:type="band1Horz">
      <w:rPr>
        <w:rFonts w:ascii="Arial" w:hAnsi="Arial"/>
        <w:color w:val="404040"/>
        <w:sz w:val="22"/>
      </w:rPr>
      <w:tblPr/>
      <w:tcPr>
        <w:shd w:val="clear" w:color="F2F2F2" w:themeColor="text1" w:themeTint="0D" w:fill="auto"/>
      </w:tcPr>
    </w:tblStylePr>
  </w:style>
  <w:style w:type="table" w:styleId="12">
    <w:name w:val="Grid Table 1 Light"/>
    <w:basedOn w:val="a2"/>
    <w:uiPriority w:val="99"/>
    <w:pPr>
      <w:spacing w:after="0"/>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a2"/>
    <w:uiPriority w:val="99"/>
    <w:pPr>
      <w:spacing w:after="0"/>
    </w:pPr>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b/>
        <w:color w:val="404040"/>
      </w:rPr>
      <w:tblPr/>
      <w:tcPr>
        <w:tcBorders>
          <w:bottom w:val="single" w:sz="12" w:space="0" w:color="97B4D8"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GridTable1Light-Accent2">
    <w:name w:val="Grid Table 1 Light - Accent 2"/>
    <w:basedOn w:val="a2"/>
    <w:uiPriority w:val="99"/>
    <w:pPr>
      <w:spacing w:after="0"/>
    </w:pPr>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b/>
        <w:color w:val="404040"/>
      </w:rPr>
      <w:tblPr/>
      <w:tcPr>
        <w:tcBorders>
          <w:bottom w:val="single" w:sz="12" w:space="0" w:color="DA989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GridTable1Light-Accent3">
    <w:name w:val="Grid Table 1 Light - Accent 3"/>
    <w:basedOn w:val="a2"/>
    <w:uiPriority w:val="99"/>
    <w:pPr>
      <w:spacing w:after="0"/>
    </w:pPr>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b/>
        <w:color w:val="404040"/>
      </w:rPr>
      <w:tblPr/>
      <w:tcPr>
        <w:tcBorders>
          <w:bottom w:val="single" w:sz="12" w:space="0" w:color="C4D79D"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GridTable1Light-Accent4">
    <w:name w:val="Grid Table 1 Light - Accent 4"/>
    <w:basedOn w:val="a2"/>
    <w:uiPriority w:val="99"/>
    <w:pPr>
      <w:spacing w:after="0"/>
    </w:pPr>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b/>
        <w:color w:val="404040"/>
      </w:rPr>
      <w:tblPr/>
      <w:tcPr>
        <w:tcBorders>
          <w:bottom w:val="single" w:sz="12" w:space="0" w:color="B4A4C8"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GridTable1Light-Accent5">
    <w:name w:val="Grid Table 1 Light - Accent 5"/>
    <w:basedOn w:val="a2"/>
    <w:uiPriority w:val="99"/>
    <w:pPr>
      <w:spacing w:after="0"/>
    </w:pPr>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b/>
        <w:color w:val="404040"/>
      </w:rPr>
      <w:tblPr/>
      <w:tcPr>
        <w:tcBorders>
          <w:bottom w:val="single" w:sz="12" w:space="0" w:color="95CEDD"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GridTable1Light-Accent6">
    <w:name w:val="Grid Table 1 Light - Accent 6"/>
    <w:basedOn w:val="a2"/>
    <w:uiPriority w:val="99"/>
    <w:pPr>
      <w:spacing w:after="0"/>
    </w:pPr>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b/>
        <w:color w:val="404040"/>
      </w:rPr>
      <w:tblPr/>
      <w:tcPr>
        <w:tcBorders>
          <w:bottom w:val="single" w:sz="12" w:space="0" w:color="FAC192"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table" w:styleId="22">
    <w:name w:val="Grid Table 2"/>
    <w:basedOn w:val="a2"/>
    <w:uiPriority w:val="99"/>
    <w:pPr>
      <w:spacing w:after="0"/>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auto"/>
      </w:tcPr>
    </w:tblStylePr>
    <w:tblStylePr w:type="band1Horz">
      <w:rPr>
        <w:rFonts w:ascii="Arial" w:hAnsi="Arial"/>
        <w:color w:val="404040"/>
        <w:sz w:val="22"/>
      </w:rPr>
      <w:tblPr/>
      <w:tcPr>
        <w:shd w:val="clear" w:color="CBCBCB" w:themeColor="text1" w:themeTint="34" w:fill="auto"/>
      </w:tcPr>
    </w:tblStylePr>
  </w:style>
  <w:style w:type="table" w:customStyle="1" w:styleId="GridTable2-Accent1">
    <w:name w:val="Grid Table 2 - Accent 1"/>
    <w:basedOn w:val="a2"/>
    <w:uiPriority w:val="99"/>
    <w:pPr>
      <w:spacing w:after="0"/>
    </w:pPr>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single" w:sz="12" w:space="0" w:color="5D8AC2" w:themeColor="accent1" w:themeTint="EA"/>
          <w:right w:val="none" w:sz="4" w:space="0" w:color="000000"/>
        </w:tcBorders>
        <w:shd w:val="clear" w:color="FFFFFF" w:fill="auto"/>
      </w:tcPr>
    </w:tblStylePr>
    <w:tblStylePr w:type="lastRow">
      <w:rPr>
        <w:b/>
        <w:color w:val="404040"/>
      </w:rPr>
      <w:tblPr/>
      <w:tcPr>
        <w:tcBorders>
          <w:top w:val="single" w:sz="4" w:space="0" w:color="5D8AC2"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5F1" w:themeColor="accent1" w:themeTint="34" w:fill="auto"/>
      </w:tcPr>
    </w:tblStylePr>
    <w:tblStylePr w:type="band1Horz">
      <w:rPr>
        <w:rFonts w:ascii="Arial" w:hAnsi="Arial"/>
        <w:color w:val="404040"/>
        <w:sz w:val="22"/>
      </w:rPr>
      <w:tblPr/>
      <w:tcPr>
        <w:shd w:val="clear" w:color="DAE5F1" w:themeColor="accent1" w:themeTint="34" w:fill="auto"/>
      </w:tcPr>
    </w:tblStylePr>
  </w:style>
  <w:style w:type="table" w:customStyle="1" w:styleId="GridTable2-Accent2">
    <w:name w:val="Grid Table 2 - Accent 2"/>
    <w:basedOn w:val="a2"/>
    <w:uiPriority w:val="99"/>
    <w:pPr>
      <w:spacing w:after="0"/>
    </w:pPr>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single" w:sz="12" w:space="0" w:color="D99695" w:themeColor="accent2" w:themeTint="97"/>
          <w:right w:val="none" w:sz="4" w:space="0" w:color="000000"/>
        </w:tcBorders>
        <w:shd w:val="clear" w:color="FFFFFF" w:fill="auto"/>
      </w:tcPr>
    </w:tblStylePr>
    <w:tblStylePr w:type="lastRow">
      <w:rPr>
        <w:b/>
        <w:color w:val="404040"/>
      </w:rPr>
      <w:tblPr/>
      <w:tcPr>
        <w:tcBorders>
          <w:top w:val="single" w:sz="4" w:space="0" w:color="D99695"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auto"/>
      </w:tcPr>
    </w:tblStylePr>
    <w:tblStylePr w:type="band1Horz">
      <w:rPr>
        <w:rFonts w:ascii="Arial" w:hAnsi="Arial"/>
        <w:color w:val="404040"/>
        <w:sz w:val="22"/>
      </w:rPr>
      <w:tblPr/>
      <w:tcPr>
        <w:shd w:val="clear" w:color="F2DCDC" w:themeColor="accent2" w:themeTint="32" w:fill="auto"/>
      </w:tcPr>
    </w:tblStylePr>
  </w:style>
  <w:style w:type="table" w:customStyle="1" w:styleId="GridTable2-Accent3">
    <w:name w:val="Grid Table 2 - Accent 3"/>
    <w:basedOn w:val="a2"/>
    <w:uiPriority w:val="99"/>
    <w:pPr>
      <w:spacing w:after="0"/>
    </w:pPr>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single" w:sz="12" w:space="0" w:color="9ABB59" w:themeColor="accent3" w:themeTint="FE"/>
          <w:right w:val="none" w:sz="4" w:space="0" w:color="000000"/>
        </w:tcBorders>
        <w:shd w:val="clear" w:color="FFFFFF" w:fill="auto"/>
      </w:tcPr>
    </w:tblStylePr>
    <w:tblStylePr w:type="lastRow">
      <w:rPr>
        <w:b/>
        <w:color w:val="404040"/>
      </w:rPr>
      <w:tblPr/>
      <w:tcPr>
        <w:tcBorders>
          <w:top w:val="single" w:sz="4" w:space="0" w:color="9ABB59"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auto"/>
      </w:tcPr>
    </w:tblStylePr>
    <w:tblStylePr w:type="band1Horz">
      <w:rPr>
        <w:rFonts w:ascii="Arial" w:hAnsi="Arial"/>
        <w:color w:val="404040"/>
        <w:sz w:val="22"/>
      </w:rPr>
      <w:tblPr/>
      <w:tcPr>
        <w:shd w:val="clear" w:color="EAF1DC" w:themeColor="accent3" w:themeTint="34" w:fill="auto"/>
      </w:tcPr>
    </w:tblStylePr>
  </w:style>
  <w:style w:type="table" w:customStyle="1" w:styleId="GridTable2-Accent4">
    <w:name w:val="Grid Table 2 - Accent 4"/>
    <w:basedOn w:val="a2"/>
    <w:uiPriority w:val="99"/>
    <w:pPr>
      <w:spacing w:after="0"/>
    </w:pPr>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single" w:sz="12" w:space="0" w:color="B2A1C6" w:themeColor="accent4" w:themeTint="9A"/>
          <w:right w:val="none" w:sz="4" w:space="0" w:color="000000"/>
        </w:tcBorders>
        <w:shd w:val="clear" w:color="FFFFFF" w:fill="auto"/>
      </w:tcPr>
    </w:tblStylePr>
    <w:tblStylePr w:type="lastRow">
      <w:rPr>
        <w:b/>
        <w:color w:val="404040"/>
      </w:rPr>
      <w:tblPr/>
      <w:tcPr>
        <w:tcBorders>
          <w:top w:val="single" w:sz="4" w:space="0" w:color="B2A1C6"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auto"/>
      </w:tcPr>
    </w:tblStylePr>
    <w:tblStylePr w:type="band1Horz">
      <w:rPr>
        <w:rFonts w:ascii="Arial" w:hAnsi="Arial"/>
        <w:color w:val="404040"/>
        <w:sz w:val="22"/>
      </w:rPr>
      <w:tblPr/>
      <w:tcPr>
        <w:shd w:val="clear" w:color="E5DFEC" w:themeColor="accent4" w:themeTint="34" w:fill="auto"/>
      </w:tcPr>
    </w:tblStylePr>
  </w:style>
  <w:style w:type="table" w:customStyle="1" w:styleId="GridTable2-Accent5">
    <w:name w:val="Grid Table 2 - Accent 5"/>
    <w:basedOn w:val="a2"/>
    <w:uiPriority w:val="99"/>
    <w:pPr>
      <w:spacing w:after="0"/>
    </w:pPr>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single" w:sz="12" w:space="0" w:color="4BACC6" w:themeColor="accent5"/>
          <w:right w:val="none" w:sz="4" w:space="0" w:color="000000"/>
        </w:tcBorders>
        <w:shd w:val="clear" w:color="FFFFFF" w:fill="auto"/>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auto"/>
      </w:tcPr>
    </w:tblStylePr>
    <w:tblStylePr w:type="band1Horz">
      <w:rPr>
        <w:rFonts w:ascii="Arial" w:hAnsi="Arial"/>
        <w:color w:val="404040"/>
        <w:sz w:val="22"/>
      </w:rPr>
      <w:tblPr/>
      <w:tcPr>
        <w:shd w:val="clear" w:color="DAEEF3" w:themeColor="accent5" w:themeTint="34" w:fill="auto"/>
      </w:tcPr>
    </w:tblStylePr>
  </w:style>
  <w:style w:type="table" w:customStyle="1" w:styleId="GridTable2-Accent6">
    <w:name w:val="Grid Table 2 - Accent 6"/>
    <w:basedOn w:val="a2"/>
    <w:uiPriority w:val="99"/>
    <w:pPr>
      <w:spacing w:after="0"/>
    </w:pPr>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single" w:sz="12" w:space="0" w:color="F79646" w:themeColor="accent6"/>
          <w:right w:val="none" w:sz="4" w:space="0" w:color="000000"/>
        </w:tcBorders>
        <w:shd w:val="clear" w:color="FFFFFF" w:fill="auto"/>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auto"/>
      </w:tcPr>
    </w:tblStylePr>
    <w:tblStylePr w:type="band1Horz">
      <w:rPr>
        <w:rFonts w:ascii="Arial" w:hAnsi="Arial"/>
        <w:color w:val="404040"/>
        <w:sz w:val="22"/>
      </w:rPr>
      <w:tblPr/>
      <w:tcPr>
        <w:shd w:val="clear" w:color="FDE9D8" w:themeColor="accent6" w:themeTint="34" w:fill="auto"/>
      </w:tcPr>
    </w:tblStylePr>
  </w:style>
  <w:style w:type="table" w:styleId="32">
    <w:name w:val="Grid Table 3"/>
    <w:basedOn w:val="a2"/>
    <w:uiPriority w:val="99"/>
    <w:pPr>
      <w:spacing w:after="0"/>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auto"/>
      </w:tcPr>
    </w:tblStylePr>
    <w:tblStylePr w:type="band1Horz">
      <w:rPr>
        <w:rFonts w:ascii="Arial" w:hAnsi="Arial"/>
        <w:color w:val="404040"/>
        <w:sz w:val="22"/>
      </w:rPr>
      <w:tblPr/>
      <w:tcPr>
        <w:shd w:val="clear" w:color="CBCBCB" w:themeColor="text1" w:themeTint="34" w:fill="auto"/>
      </w:tcPr>
    </w:tblStylePr>
  </w:style>
  <w:style w:type="table" w:customStyle="1" w:styleId="GridTable3-Accent1">
    <w:name w:val="Grid Table 3 - Accent 1"/>
    <w:basedOn w:val="a2"/>
    <w:uiPriority w:val="99"/>
    <w:pPr>
      <w:spacing w:after="0"/>
    </w:pPr>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5F1" w:themeColor="accent1" w:themeTint="34" w:fill="auto"/>
      </w:tcPr>
    </w:tblStylePr>
    <w:tblStylePr w:type="band1Horz">
      <w:rPr>
        <w:rFonts w:ascii="Arial" w:hAnsi="Arial"/>
        <w:color w:val="404040"/>
        <w:sz w:val="22"/>
      </w:rPr>
      <w:tblPr/>
      <w:tcPr>
        <w:shd w:val="clear" w:color="DAE5F1" w:themeColor="accent1" w:themeTint="34" w:fill="auto"/>
      </w:tcPr>
    </w:tblStylePr>
  </w:style>
  <w:style w:type="table" w:customStyle="1" w:styleId="GridTable3-Accent2">
    <w:name w:val="Grid Table 3 - Accent 2"/>
    <w:basedOn w:val="a2"/>
    <w:uiPriority w:val="99"/>
    <w:pPr>
      <w:spacing w:after="0"/>
    </w:pPr>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2DCDC" w:themeColor="accent2" w:themeTint="32" w:fill="auto"/>
      </w:tcPr>
    </w:tblStylePr>
    <w:tblStylePr w:type="band1Horz">
      <w:rPr>
        <w:rFonts w:ascii="Arial" w:hAnsi="Arial"/>
        <w:color w:val="404040"/>
        <w:sz w:val="22"/>
      </w:rPr>
      <w:tblPr/>
      <w:tcPr>
        <w:shd w:val="clear" w:color="F2DCDC" w:themeColor="accent2" w:themeTint="32" w:fill="auto"/>
      </w:tcPr>
    </w:tblStylePr>
  </w:style>
  <w:style w:type="table" w:customStyle="1" w:styleId="GridTable3-Accent3">
    <w:name w:val="Grid Table 3 - Accent 3"/>
    <w:basedOn w:val="a2"/>
    <w:uiPriority w:val="99"/>
    <w:pPr>
      <w:spacing w:after="0"/>
    </w:pPr>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AF1DC" w:themeColor="accent3" w:themeTint="34" w:fill="auto"/>
      </w:tcPr>
    </w:tblStylePr>
    <w:tblStylePr w:type="band1Horz">
      <w:rPr>
        <w:rFonts w:ascii="Arial" w:hAnsi="Arial"/>
        <w:color w:val="404040"/>
        <w:sz w:val="22"/>
      </w:rPr>
      <w:tblPr/>
      <w:tcPr>
        <w:shd w:val="clear" w:color="EAF1DC" w:themeColor="accent3" w:themeTint="34" w:fill="auto"/>
      </w:tcPr>
    </w:tblStylePr>
  </w:style>
  <w:style w:type="table" w:customStyle="1" w:styleId="GridTable3-Accent4">
    <w:name w:val="Grid Table 3 - Accent 4"/>
    <w:basedOn w:val="a2"/>
    <w:uiPriority w:val="99"/>
    <w:pPr>
      <w:spacing w:after="0"/>
    </w:pPr>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5DFEC" w:themeColor="accent4" w:themeTint="34" w:fill="auto"/>
      </w:tcPr>
    </w:tblStylePr>
    <w:tblStylePr w:type="band1Horz">
      <w:rPr>
        <w:rFonts w:ascii="Arial" w:hAnsi="Arial"/>
        <w:color w:val="404040"/>
        <w:sz w:val="22"/>
      </w:rPr>
      <w:tblPr/>
      <w:tcPr>
        <w:shd w:val="clear" w:color="E5DFEC" w:themeColor="accent4" w:themeTint="34" w:fill="auto"/>
      </w:tcPr>
    </w:tblStylePr>
  </w:style>
  <w:style w:type="table" w:customStyle="1" w:styleId="GridTable3-Accent5">
    <w:name w:val="Grid Table 3 - Accent 5"/>
    <w:basedOn w:val="a2"/>
    <w:uiPriority w:val="99"/>
    <w:pPr>
      <w:spacing w:after="0"/>
    </w:pPr>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EF3" w:themeColor="accent5" w:themeTint="34" w:fill="auto"/>
      </w:tcPr>
    </w:tblStylePr>
    <w:tblStylePr w:type="band1Horz">
      <w:rPr>
        <w:rFonts w:ascii="Arial" w:hAnsi="Arial"/>
        <w:color w:val="404040"/>
        <w:sz w:val="22"/>
      </w:rPr>
      <w:tblPr/>
      <w:tcPr>
        <w:shd w:val="clear" w:color="DAEEF3" w:themeColor="accent5" w:themeTint="34" w:fill="auto"/>
      </w:tcPr>
    </w:tblStylePr>
  </w:style>
  <w:style w:type="table" w:customStyle="1" w:styleId="GridTable3-Accent6">
    <w:name w:val="Grid Table 3 - Accent 6"/>
    <w:basedOn w:val="a2"/>
    <w:uiPriority w:val="99"/>
    <w:pPr>
      <w:spacing w:after="0"/>
    </w:pPr>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DE9D8" w:themeColor="accent6" w:themeTint="34" w:fill="auto"/>
      </w:tcPr>
    </w:tblStylePr>
    <w:tblStylePr w:type="band1Horz">
      <w:rPr>
        <w:rFonts w:ascii="Arial" w:hAnsi="Arial"/>
        <w:color w:val="404040"/>
        <w:sz w:val="22"/>
      </w:rPr>
      <w:tblPr/>
      <w:tcPr>
        <w:shd w:val="clear" w:color="FDE9D8" w:themeColor="accent6" w:themeTint="34" w:fill="auto"/>
      </w:tcPr>
    </w:tblStylePr>
  </w:style>
  <w:style w:type="table" w:styleId="42">
    <w:name w:val="Grid Table 4"/>
    <w:basedOn w:val="a2"/>
    <w:uiPriority w:val="59"/>
    <w:pPr>
      <w:spacing w:after="0"/>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auto"/>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auto"/>
      </w:tcPr>
    </w:tblStylePr>
    <w:tblStylePr w:type="band1Horz">
      <w:rPr>
        <w:rFonts w:ascii="Arial" w:hAnsi="Arial"/>
        <w:color w:val="404040"/>
        <w:sz w:val="22"/>
      </w:rPr>
      <w:tblPr/>
      <w:tcPr>
        <w:shd w:val="clear" w:color="CBCBCB" w:themeColor="text1" w:themeTint="34" w:fill="auto"/>
      </w:tcPr>
    </w:tblStylePr>
  </w:style>
  <w:style w:type="table" w:customStyle="1" w:styleId="GridTable4-Accent1">
    <w:name w:val="Grid Table 4 - Accent 1"/>
    <w:basedOn w:val="a2"/>
    <w:uiPriority w:val="59"/>
    <w:pPr>
      <w:spacing w:after="0"/>
    </w:pPr>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insideV w:val="single" w:sz="4" w:space="0" w:color="9BB7D9" w:themeColor="accent1" w:themeTint="90"/>
      </w:tblBorders>
    </w:tblPr>
    <w:tblStylePr w:type="firstRow">
      <w:rPr>
        <w:rFonts w:ascii="Arial" w:hAnsi="Arial"/>
        <w:b/>
        <w:color w:val="FFFFFF"/>
        <w:sz w:val="22"/>
      </w:rPr>
      <w:tblPr/>
      <w:tcPr>
        <w:tcBorders>
          <w:top w:val="single" w:sz="4" w:space="0" w:color="5D8AC2" w:themeColor="accent1" w:themeTint="EA"/>
          <w:left w:val="single" w:sz="4" w:space="0" w:color="5D8AC2" w:themeColor="accent1" w:themeTint="EA"/>
          <w:bottom w:val="single" w:sz="4" w:space="0" w:color="5D8AC2" w:themeColor="accent1" w:themeTint="EA"/>
          <w:right w:val="single" w:sz="4" w:space="0" w:color="5D8AC2" w:themeColor="accent1" w:themeTint="EA"/>
        </w:tcBorders>
        <w:shd w:val="clear" w:color="5D8AC2" w:themeColor="accent1" w:themeTint="EA" w:fill="auto"/>
      </w:tcPr>
    </w:tblStylePr>
    <w:tblStylePr w:type="lastRow">
      <w:rPr>
        <w:b/>
        <w:color w:val="404040"/>
      </w:rPr>
      <w:tblPr/>
      <w:tcPr>
        <w:tcBorders>
          <w:top w:val="single" w:sz="4" w:space="0" w:color="5D8AC2"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CE6F2" w:themeColor="accent1" w:themeTint="32" w:fill="auto"/>
      </w:tcPr>
    </w:tblStylePr>
    <w:tblStylePr w:type="band1Horz">
      <w:rPr>
        <w:rFonts w:ascii="Arial" w:hAnsi="Arial"/>
        <w:color w:val="404040"/>
        <w:sz w:val="22"/>
      </w:rPr>
      <w:tblPr/>
      <w:tcPr>
        <w:shd w:val="clear" w:color="DCE6F2" w:themeColor="accent1" w:themeTint="32" w:fill="auto"/>
      </w:tcPr>
    </w:tblStylePr>
  </w:style>
  <w:style w:type="table" w:customStyle="1" w:styleId="GridTable4-Accent2">
    <w:name w:val="Grid Table 4 - Accent 2"/>
    <w:basedOn w:val="a2"/>
    <w:uiPriority w:val="59"/>
    <w:pPr>
      <w:spacing w:after="0"/>
    </w:pPr>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insideV w:val="single" w:sz="4" w:space="0" w:color="DB9B9A" w:themeColor="accent2" w:themeTint="90"/>
      </w:tblBorders>
    </w:tblPr>
    <w:tblStylePr w:type="firstRow">
      <w:rPr>
        <w:rFonts w:ascii="Arial" w:hAnsi="Arial"/>
        <w:b/>
        <w:color w:val="FFFFFF"/>
        <w:sz w:val="22"/>
      </w:rPr>
      <w:tblPr/>
      <w:tcPr>
        <w:tc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cBorders>
        <w:shd w:val="clear" w:color="D99695" w:themeColor="accent2" w:themeTint="97" w:fill="auto"/>
      </w:tcPr>
    </w:tblStylePr>
    <w:tblStylePr w:type="lastRow">
      <w:rPr>
        <w:b/>
        <w:color w:val="404040"/>
      </w:rPr>
      <w:tblPr/>
      <w:tcPr>
        <w:tcBorders>
          <w:top w:val="single" w:sz="4" w:space="0" w:color="D99695"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auto"/>
      </w:tcPr>
    </w:tblStylePr>
    <w:tblStylePr w:type="band1Horz">
      <w:rPr>
        <w:rFonts w:ascii="Arial" w:hAnsi="Arial"/>
        <w:color w:val="404040"/>
        <w:sz w:val="22"/>
      </w:rPr>
      <w:tblPr/>
      <w:tcPr>
        <w:shd w:val="clear" w:color="F2DCDC" w:themeColor="accent2" w:themeTint="32" w:fill="auto"/>
      </w:tcPr>
    </w:tblStylePr>
  </w:style>
  <w:style w:type="table" w:customStyle="1" w:styleId="GridTable4-Accent3">
    <w:name w:val="Grid Table 4 - Accent 3"/>
    <w:basedOn w:val="a2"/>
    <w:uiPriority w:val="59"/>
    <w:pPr>
      <w:spacing w:after="0"/>
    </w:pPr>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insideV w:val="single" w:sz="4" w:space="0" w:color="C6D8A1" w:themeColor="accent3" w:themeTint="90"/>
      </w:tblBorders>
    </w:tblPr>
    <w:tblStylePr w:type="firstRow">
      <w:rPr>
        <w:rFonts w:ascii="Arial" w:hAnsi="Arial"/>
        <w:b/>
        <w:color w:val="FFFFFF"/>
        <w:sz w:val="22"/>
      </w:rPr>
      <w:tblPr/>
      <w:tcPr>
        <w:tc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tcBorders>
        <w:shd w:val="clear" w:color="9ABB59" w:themeColor="accent3" w:themeTint="FE" w:fill="auto"/>
      </w:tcPr>
    </w:tblStylePr>
    <w:tblStylePr w:type="lastRow">
      <w:rPr>
        <w:b/>
        <w:color w:val="404040"/>
      </w:rPr>
      <w:tblPr/>
      <w:tcPr>
        <w:tcBorders>
          <w:top w:val="single" w:sz="4" w:space="0" w:color="9ABB59"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auto"/>
      </w:tcPr>
    </w:tblStylePr>
    <w:tblStylePr w:type="band1Horz">
      <w:rPr>
        <w:rFonts w:ascii="Arial" w:hAnsi="Arial"/>
        <w:color w:val="404040"/>
        <w:sz w:val="22"/>
      </w:rPr>
      <w:tblPr/>
      <w:tcPr>
        <w:shd w:val="clear" w:color="EAF1DC" w:themeColor="accent3" w:themeTint="34" w:fill="auto"/>
      </w:tcPr>
    </w:tblStylePr>
  </w:style>
  <w:style w:type="table" w:customStyle="1" w:styleId="GridTable4-Accent4">
    <w:name w:val="Grid Table 4 - Accent 4"/>
    <w:basedOn w:val="a2"/>
    <w:uiPriority w:val="59"/>
    <w:pPr>
      <w:spacing w:after="0"/>
    </w:pPr>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insideV w:val="single" w:sz="4" w:space="0" w:color="B7A7CA" w:themeColor="accent4" w:themeTint="90"/>
      </w:tblBorders>
    </w:tblPr>
    <w:tblStylePr w:type="firstRow">
      <w:rPr>
        <w:rFonts w:ascii="Arial" w:hAnsi="Arial"/>
        <w:b/>
        <w:color w:val="FFFFFF"/>
        <w:sz w:val="22"/>
      </w:rPr>
      <w:tblPr/>
      <w:tcPr>
        <w:tc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cBorders>
        <w:shd w:val="clear" w:color="B2A1C6" w:themeColor="accent4" w:themeTint="9A" w:fill="auto"/>
      </w:tcPr>
    </w:tblStylePr>
    <w:tblStylePr w:type="lastRow">
      <w:rPr>
        <w:b/>
        <w:color w:val="404040"/>
      </w:rPr>
      <w:tblPr/>
      <w:tcPr>
        <w:tcBorders>
          <w:top w:val="single" w:sz="4" w:space="0" w:color="B2A1C6"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auto"/>
      </w:tcPr>
    </w:tblStylePr>
    <w:tblStylePr w:type="band1Horz">
      <w:rPr>
        <w:rFonts w:ascii="Arial" w:hAnsi="Arial"/>
        <w:color w:val="404040"/>
        <w:sz w:val="22"/>
      </w:rPr>
      <w:tblPr/>
      <w:tcPr>
        <w:shd w:val="clear" w:color="E5DFEC" w:themeColor="accent4" w:themeTint="34" w:fill="auto"/>
      </w:tcPr>
    </w:tblStylePr>
  </w:style>
  <w:style w:type="table" w:customStyle="1" w:styleId="GridTable4-Accent5">
    <w:name w:val="Grid Table 4 - Accent 5"/>
    <w:basedOn w:val="a2"/>
    <w:uiPriority w:val="59"/>
    <w:pPr>
      <w:spacing w:after="0"/>
    </w:pPr>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FFFFFF"/>
        <w:sz w:val="22"/>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4BACC6" w:themeColor="accent5" w:fill="auto"/>
      </w:tcPr>
    </w:tblStylePr>
    <w:tblStylePr w:type="lastRow">
      <w:rPr>
        <w:b/>
        <w:color w:val="404040"/>
      </w:rPr>
      <w:tblPr/>
      <w:tcPr>
        <w:tcBorders>
          <w:top w:val="single" w:sz="4" w:space="0" w:color="4BACC6"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auto"/>
      </w:tcPr>
    </w:tblStylePr>
    <w:tblStylePr w:type="band1Horz">
      <w:rPr>
        <w:rFonts w:ascii="Arial" w:hAnsi="Arial"/>
        <w:color w:val="404040"/>
        <w:sz w:val="22"/>
      </w:rPr>
      <w:tblPr/>
      <w:tcPr>
        <w:shd w:val="clear" w:color="DAEEF3" w:themeColor="accent5" w:themeTint="34" w:fill="auto"/>
      </w:tcPr>
    </w:tblStylePr>
  </w:style>
  <w:style w:type="table" w:customStyle="1" w:styleId="GridTable4-Accent6">
    <w:name w:val="Grid Table 4 - Accent 6"/>
    <w:basedOn w:val="a2"/>
    <w:uiPriority w:val="59"/>
    <w:pPr>
      <w:spacing w:after="0"/>
    </w:pPr>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FFFFFF"/>
        <w:sz w:val="22"/>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tcBorders>
        <w:shd w:val="clear" w:color="F79646" w:themeColor="accent6" w:fill="auto"/>
      </w:tcPr>
    </w:tblStylePr>
    <w:tblStylePr w:type="lastRow">
      <w:rPr>
        <w:b/>
        <w:color w:val="404040"/>
      </w:rPr>
      <w:tblPr/>
      <w:tcPr>
        <w:tcBorders>
          <w:top w:val="single" w:sz="4" w:space="0" w:color="F79646"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auto"/>
      </w:tcPr>
    </w:tblStylePr>
    <w:tblStylePr w:type="band1Horz">
      <w:rPr>
        <w:rFonts w:ascii="Arial" w:hAnsi="Arial"/>
        <w:color w:val="404040"/>
        <w:sz w:val="22"/>
      </w:rPr>
      <w:tblPr/>
      <w:tcPr>
        <w:shd w:val="clear" w:color="FDE9D8" w:themeColor="accent6" w:themeTint="34" w:fill="auto"/>
      </w:tcPr>
    </w:tblStylePr>
  </w:style>
  <w:style w:type="table" w:styleId="52">
    <w:name w:val="Grid Table 5 Dark"/>
    <w:basedOn w:val="a2"/>
    <w:uiPriority w:val="99"/>
    <w:pPr>
      <w:spacing w:after="0"/>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auto"/>
    </w:tblPr>
    <w:tblStylePr w:type="firstRow">
      <w:rPr>
        <w:rFonts w:ascii="Arial" w:hAnsi="Arial"/>
        <w:b/>
        <w:color w:val="FFFFFF"/>
        <w:sz w:val="22"/>
      </w:rPr>
      <w:tblPr/>
      <w:tcPr>
        <w:shd w:val="clear" w:color="000000" w:themeColor="text1" w:fill="auto"/>
      </w:tcPr>
    </w:tblStylePr>
    <w:tblStylePr w:type="lastRow">
      <w:rPr>
        <w:rFonts w:ascii="Arial" w:hAnsi="Arial"/>
        <w:b/>
        <w:color w:val="FFFFFF"/>
        <w:sz w:val="22"/>
      </w:rPr>
      <w:tblPr/>
      <w:tcPr>
        <w:tcBorders>
          <w:top w:val="single" w:sz="4" w:space="0" w:color="FFFFFF" w:themeColor="light1"/>
        </w:tcBorders>
        <w:shd w:val="clear" w:color="000000" w:themeColor="text1" w:fill="auto"/>
      </w:tcPr>
    </w:tblStylePr>
    <w:tblStylePr w:type="firstCol">
      <w:rPr>
        <w:rFonts w:ascii="Arial" w:hAnsi="Arial"/>
        <w:b/>
        <w:color w:val="FFFFFF"/>
        <w:sz w:val="22"/>
      </w:rPr>
      <w:tblPr/>
      <w:tcPr>
        <w:shd w:val="clear" w:color="000000" w:themeColor="text1" w:fill="auto"/>
      </w:tcPr>
    </w:tblStylePr>
    <w:tblStylePr w:type="lastCol">
      <w:rPr>
        <w:rFonts w:ascii="Arial" w:hAnsi="Arial"/>
        <w:b/>
        <w:color w:val="FFFFFF"/>
        <w:sz w:val="22"/>
      </w:rPr>
      <w:tblPr/>
      <w:tcPr>
        <w:shd w:val="clear" w:color="000000" w:themeColor="text1" w:fill="auto"/>
      </w:tcPr>
    </w:tblStylePr>
    <w:tblStylePr w:type="band1Vert">
      <w:tblPr/>
      <w:tcPr>
        <w:shd w:val="clear" w:color="8A8A8A" w:themeColor="text1" w:themeTint="75" w:fill="auto"/>
      </w:tcPr>
    </w:tblStylePr>
    <w:tblStylePr w:type="band1Horz">
      <w:tblPr/>
      <w:tcPr>
        <w:shd w:val="clear" w:color="8A8A8A" w:themeColor="text1" w:themeTint="75" w:fill="auto"/>
      </w:tcPr>
    </w:tblStylePr>
  </w:style>
  <w:style w:type="table" w:customStyle="1" w:styleId="GridTable5Dark-Accent1">
    <w:name w:val="Grid Table 5 Dark- Accent 1"/>
    <w:basedOn w:val="a2"/>
    <w:uiPriority w:val="99"/>
    <w:pPr>
      <w:spacing w:after="0"/>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5F1" w:themeColor="accent1" w:themeTint="34" w:fill="auto"/>
    </w:tblPr>
    <w:tblStylePr w:type="firstRow">
      <w:rPr>
        <w:rFonts w:ascii="Arial" w:hAnsi="Arial"/>
        <w:b/>
        <w:color w:val="FFFFFF"/>
        <w:sz w:val="22"/>
      </w:rPr>
      <w:tblPr/>
      <w:tcPr>
        <w:shd w:val="clear" w:color="4F81BD" w:themeColor="accent1" w:fill="auto"/>
      </w:tcPr>
    </w:tblStylePr>
    <w:tblStylePr w:type="lastRow">
      <w:rPr>
        <w:rFonts w:ascii="Arial" w:hAnsi="Arial"/>
        <w:b/>
        <w:color w:val="FFFFFF"/>
        <w:sz w:val="22"/>
      </w:rPr>
      <w:tblPr/>
      <w:tcPr>
        <w:tcBorders>
          <w:top w:val="single" w:sz="4" w:space="0" w:color="FFFFFF" w:themeColor="light1"/>
        </w:tcBorders>
        <w:shd w:val="clear" w:color="4F81BD" w:themeColor="accent1" w:fill="auto"/>
      </w:tcPr>
    </w:tblStylePr>
    <w:tblStylePr w:type="firstCol">
      <w:rPr>
        <w:rFonts w:ascii="Arial" w:hAnsi="Arial"/>
        <w:b/>
        <w:color w:val="FFFFFF"/>
        <w:sz w:val="22"/>
      </w:rPr>
      <w:tblPr/>
      <w:tcPr>
        <w:shd w:val="clear" w:color="4F81BD" w:themeColor="accent1" w:fill="auto"/>
      </w:tcPr>
    </w:tblStylePr>
    <w:tblStylePr w:type="lastCol">
      <w:rPr>
        <w:rFonts w:ascii="Arial" w:hAnsi="Arial"/>
        <w:b/>
        <w:color w:val="FFFFFF"/>
        <w:sz w:val="22"/>
      </w:rPr>
      <w:tblPr/>
      <w:tcPr>
        <w:shd w:val="clear" w:color="4F81BD" w:themeColor="accent1" w:fill="auto"/>
      </w:tcPr>
    </w:tblStylePr>
    <w:tblStylePr w:type="band1Vert">
      <w:tblPr/>
      <w:tcPr>
        <w:shd w:val="clear" w:color="AEC4E0" w:themeColor="accent1" w:themeTint="75" w:fill="auto"/>
      </w:tcPr>
    </w:tblStylePr>
    <w:tblStylePr w:type="band1Horz">
      <w:tblPr/>
      <w:tcPr>
        <w:shd w:val="clear" w:color="AEC4E0" w:themeColor="accent1" w:themeTint="75" w:fill="auto"/>
      </w:tcPr>
    </w:tblStylePr>
  </w:style>
  <w:style w:type="table" w:customStyle="1" w:styleId="GridTable5Dark-Accent2">
    <w:name w:val="Grid Table 5 Dark - Accent 2"/>
    <w:basedOn w:val="a2"/>
    <w:uiPriority w:val="99"/>
    <w:pPr>
      <w:spacing w:after="0"/>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2DCDC" w:themeColor="accent2" w:themeTint="32" w:fill="auto"/>
    </w:tblPr>
    <w:tblStylePr w:type="firstRow">
      <w:rPr>
        <w:rFonts w:ascii="Arial" w:hAnsi="Arial"/>
        <w:b/>
        <w:color w:val="FFFFFF"/>
        <w:sz w:val="22"/>
      </w:rPr>
      <w:tblPr/>
      <w:tcPr>
        <w:shd w:val="clear" w:color="C0504D" w:themeColor="accent2" w:fill="auto"/>
      </w:tcPr>
    </w:tblStylePr>
    <w:tblStylePr w:type="lastRow">
      <w:rPr>
        <w:rFonts w:ascii="Arial" w:hAnsi="Arial"/>
        <w:b/>
        <w:color w:val="FFFFFF"/>
        <w:sz w:val="22"/>
      </w:rPr>
      <w:tblPr/>
      <w:tcPr>
        <w:tcBorders>
          <w:top w:val="single" w:sz="4" w:space="0" w:color="FFFFFF" w:themeColor="light1"/>
        </w:tcBorders>
        <w:shd w:val="clear" w:color="C0504D" w:themeColor="accent2" w:fill="auto"/>
      </w:tcPr>
    </w:tblStylePr>
    <w:tblStylePr w:type="firstCol">
      <w:rPr>
        <w:rFonts w:ascii="Arial" w:hAnsi="Arial"/>
        <w:b/>
        <w:color w:val="FFFFFF"/>
        <w:sz w:val="22"/>
      </w:rPr>
      <w:tblPr/>
      <w:tcPr>
        <w:shd w:val="clear" w:color="C0504D" w:themeColor="accent2" w:fill="auto"/>
      </w:tcPr>
    </w:tblStylePr>
    <w:tblStylePr w:type="lastCol">
      <w:rPr>
        <w:rFonts w:ascii="Arial" w:hAnsi="Arial"/>
        <w:b/>
        <w:color w:val="FFFFFF"/>
        <w:sz w:val="22"/>
      </w:rPr>
      <w:tblPr/>
      <w:tcPr>
        <w:shd w:val="clear" w:color="C0504D" w:themeColor="accent2" w:fill="auto"/>
      </w:tcPr>
    </w:tblStylePr>
    <w:tblStylePr w:type="band1Vert">
      <w:tblPr/>
      <w:tcPr>
        <w:shd w:val="clear" w:color="E2AEAD" w:themeColor="accent2" w:themeTint="75" w:fill="auto"/>
      </w:tcPr>
    </w:tblStylePr>
    <w:tblStylePr w:type="band1Horz">
      <w:tblPr/>
      <w:tcPr>
        <w:shd w:val="clear" w:color="E2AEAD" w:themeColor="accent2" w:themeTint="75" w:fill="auto"/>
      </w:tcPr>
    </w:tblStylePr>
  </w:style>
  <w:style w:type="table" w:customStyle="1" w:styleId="GridTable5Dark-Accent3">
    <w:name w:val="Grid Table 5 Dark - Accent 3"/>
    <w:basedOn w:val="a2"/>
    <w:uiPriority w:val="99"/>
    <w:pPr>
      <w:spacing w:after="0"/>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AF1DC" w:themeColor="accent3" w:themeTint="34" w:fill="auto"/>
    </w:tblPr>
    <w:tblStylePr w:type="firstRow">
      <w:rPr>
        <w:rFonts w:ascii="Arial" w:hAnsi="Arial"/>
        <w:b/>
        <w:color w:val="FFFFFF"/>
        <w:sz w:val="22"/>
      </w:rPr>
      <w:tblPr/>
      <w:tcPr>
        <w:shd w:val="clear" w:color="9BBB59" w:themeColor="accent3" w:fill="auto"/>
      </w:tcPr>
    </w:tblStylePr>
    <w:tblStylePr w:type="lastRow">
      <w:rPr>
        <w:rFonts w:ascii="Arial" w:hAnsi="Arial"/>
        <w:b/>
        <w:color w:val="FFFFFF"/>
        <w:sz w:val="22"/>
      </w:rPr>
      <w:tblPr/>
      <w:tcPr>
        <w:tcBorders>
          <w:top w:val="single" w:sz="4" w:space="0" w:color="FFFFFF" w:themeColor="light1"/>
        </w:tcBorders>
        <w:shd w:val="clear" w:color="9BBB59" w:themeColor="accent3" w:fill="auto"/>
      </w:tcPr>
    </w:tblStylePr>
    <w:tblStylePr w:type="firstCol">
      <w:rPr>
        <w:rFonts w:ascii="Arial" w:hAnsi="Arial"/>
        <w:b/>
        <w:color w:val="FFFFFF"/>
        <w:sz w:val="22"/>
      </w:rPr>
      <w:tblPr/>
      <w:tcPr>
        <w:shd w:val="clear" w:color="9BBB59" w:themeColor="accent3" w:fill="auto"/>
      </w:tcPr>
    </w:tblStylePr>
    <w:tblStylePr w:type="lastCol">
      <w:rPr>
        <w:rFonts w:ascii="Arial" w:hAnsi="Arial"/>
        <w:b/>
        <w:color w:val="FFFFFF"/>
        <w:sz w:val="22"/>
      </w:rPr>
      <w:tblPr/>
      <w:tcPr>
        <w:shd w:val="clear" w:color="9BBB59" w:themeColor="accent3" w:fill="auto"/>
      </w:tcPr>
    </w:tblStylePr>
    <w:tblStylePr w:type="band1Vert">
      <w:tblPr/>
      <w:tcPr>
        <w:shd w:val="clear" w:color="D0DFB2" w:themeColor="accent3" w:themeTint="75" w:fill="auto"/>
      </w:tcPr>
    </w:tblStylePr>
    <w:tblStylePr w:type="band1Horz">
      <w:tblPr/>
      <w:tcPr>
        <w:shd w:val="clear" w:color="D0DFB2" w:themeColor="accent3" w:themeTint="75" w:fill="auto"/>
      </w:tcPr>
    </w:tblStylePr>
  </w:style>
  <w:style w:type="table" w:customStyle="1" w:styleId="GridTable5Dark-Accent4">
    <w:name w:val="Grid Table 5 Dark- Accent 4"/>
    <w:basedOn w:val="a2"/>
    <w:uiPriority w:val="99"/>
    <w:pPr>
      <w:spacing w:after="0"/>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5DFEC" w:themeColor="accent4" w:themeTint="34" w:fill="auto"/>
    </w:tblPr>
    <w:tblStylePr w:type="firstRow">
      <w:rPr>
        <w:rFonts w:ascii="Arial" w:hAnsi="Arial"/>
        <w:b/>
        <w:color w:val="FFFFFF"/>
        <w:sz w:val="22"/>
      </w:rPr>
      <w:tblPr/>
      <w:tcPr>
        <w:shd w:val="clear" w:color="8064A2" w:themeColor="accent4" w:fill="auto"/>
      </w:tcPr>
    </w:tblStylePr>
    <w:tblStylePr w:type="lastRow">
      <w:rPr>
        <w:rFonts w:ascii="Arial" w:hAnsi="Arial"/>
        <w:b/>
        <w:color w:val="FFFFFF"/>
        <w:sz w:val="22"/>
      </w:rPr>
      <w:tblPr/>
      <w:tcPr>
        <w:tcBorders>
          <w:top w:val="single" w:sz="4" w:space="0" w:color="FFFFFF" w:themeColor="light1"/>
        </w:tcBorders>
        <w:shd w:val="clear" w:color="8064A2" w:themeColor="accent4" w:fill="auto"/>
      </w:tcPr>
    </w:tblStylePr>
    <w:tblStylePr w:type="firstCol">
      <w:rPr>
        <w:rFonts w:ascii="Arial" w:hAnsi="Arial"/>
        <w:b/>
        <w:color w:val="FFFFFF"/>
        <w:sz w:val="22"/>
      </w:rPr>
      <w:tblPr/>
      <w:tcPr>
        <w:shd w:val="clear" w:color="8064A2" w:themeColor="accent4" w:fill="auto"/>
      </w:tcPr>
    </w:tblStylePr>
    <w:tblStylePr w:type="lastCol">
      <w:rPr>
        <w:rFonts w:ascii="Arial" w:hAnsi="Arial"/>
        <w:b/>
        <w:color w:val="FFFFFF"/>
        <w:sz w:val="22"/>
      </w:rPr>
      <w:tblPr/>
      <w:tcPr>
        <w:shd w:val="clear" w:color="8064A2" w:themeColor="accent4" w:fill="auto"/>
      </w:tcPr>
    </w:tblStylePr>
    <w:tblStylePr w:type="band1Vert">
      <w:tblPr/>
      <w:tcPr>
        <w:shd w:val="clear" w:color="C4B7D4" w:themeColor="accent4" w:themeTint="75" w:fill="auto"/>
      </w:tcPr>
    </w:tblStylePr>
    <w:tblStylePr w:type="band1Horz">
      <w:tblPr/>
      <w:tcPr>
        <w:shd w:val="clear" w:color="C4B7D4" w:themeColor="accent4" w:themeTint="75" w:fill="auto"/>
      </w:tcPr>
    </w:tblStylePr>
  </w:style>
  <w:style w:type="table" w:customStyle="1" w:styleId="GridTable5Dark-Accent5">
    <w:name w:val="Grid Table 5 Dark - Accent 5"/>
    <w:basedOn w:val="a2"/>
    <w:uiPriority w:val="99"/>
    <w:pPr>
      <w:spacing w:after="0"/>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EF3" w:themeColor="accent5" w:themeTint="34" w:fill="auto"/>
    </w:tblPr>
    <w:tblStylePr w:type="firstRow">
      <w:rPr>
        <w:rFonts w:ascii="Arial" w:hAnsi="Arial"/>
        <w:b/>
        <w:color w:val="FFFFFF"/>
        <w:sz w:val="22"/>
      </w:rPr>
      <w:tblPr/>
      <w:tcPr>
        <w:shd w:val="clear" w:color="4BACC6" w:themeColor="accent5" w:fill="auto"/>
      </w:tcPr>
    </w:tblStylePr>
    <w:tblStylePr w:type="lastRow">
      <w:rPr>
        <w:rFonts w:ascii="Arial" w:hAnsi="Arial"/>
        <w:b/>
        <w:color w:val="FFFFFF"/>
        <w:sz w:val="22"/>
      </w:rPr>
      <w:tblPr/>
      <w:tcPr>
        <w:tcBorders>
          <w:top w:val="single" w:sz="4" w:space="0" w:color="FFFFFF" w:themeColor="light1"/>
        </w:tcBorders>
        <w:shd w:val="clear" w:color="4BACC6" w:themeColor="accent5" w:fill="auto"/>
      </w:tcPr>
    </w:tblStylePr>
    <w:tblStylePr w:type="firstCol">
      <w:rPr>
        <w:rFonts w:ascii="Arial" w:hAnsi="Arial"/>
        <w:b/>
        <w:color w:val="FFFFFF"/>
        <w:sz w:val="22"/>
      </w:rPr>
      <w:tblPr/>
      <w:tcPr>
        <w:shd w:val="clear" w:color="4BACC6" w:themeColor="accent5" w:fill="auto"/>
      </w:tcPr>
    </w:tblStylePr>
    <w:tblStylePr w:type="lastCol">
      <w:rPr>
        <w:rFonts w:ascii="Arial" w:hAnsi="Arial"/>
        <w:b/>
        <w:color w:val="FFFFFF"/>
        <w:sz w:val="22"/>
      </w:rPr>
      <w:tblPr/>
      <w:tcPr>
        <w:shd w:val="clear" w:color="4BACC6" w:themeColor="accent5" w:fill="auto"/>
      </w:tcPr>
    </w:tblStylePr>
    <w:tblStylePr w:type="band1Vert">
      <w:tblPr/>
      <w:tcPr>
        <w:shd w:val="clear" w:color="ACD8E4" w:themeColor="accent5" w:themeTint="75" w:fill="auto"/>
      </w:tcPr>
    </w:tblStylePr>
    <w:tblStylePr w:type="band1Horz">
      <w:tblPr/>
      <w:tcPr>
        <w:shd w:val="clear" w:color="ACD8E4" w:themeColor="accent5" w:themeTint="75" w:fill="auto"/>
      </w:tcPr>
    </w:tblStylePr>
  </w:style>
  <w:style w:type="table" w:customStyle="1" w:styleId="GridTable5Dark-Accent6">
    <w:name w:val="Grid Table 5 Dark - Accent 6"/>
    <w:basedOn w:val="a2"/>
    <w:uiPriority w:val="99"/>
    <w:pPr>
      <w:spacing w:after="0"/>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DE9D8" w:themeColor="accent6" w:themeTint="34" w:fill="auto"/>
    </w:tblPr>
    <w:tblStylePr w:type="firstRow">
      <w:rPr>
        <w:rFonts w:ascii="Arial" w:hAnsi="Arial"/>
        <w:b/>
        <w:color w:val="FFFFFF"/>
        <w:sz w:val="22"/>
      </w:rPr>
      <w:tblPr/>
      <w:tcPr>
        <w:shd w:val="clear" w:color="F79646" w:themeColor="accent6" w:fill="auto"/>
      </w:tcPr>
    </w:tblStylePr>
    <w:tblStylePr w:type="lastRow">
      <w:rPr>
        <w:rFonts w:ascii="Arial" w:hAnsi="Arial"/>
        <w:b/>
        <w:color w:val="FFFFFF"/>
        <w:sz w:val="22"/>
      </w:rPr>
      <w:tblPr/>
      <w:tcPr>
        <w:tcBorders>
          <w:top w:val="single" w:sz="4" w:space="0" w:color="FFFFFF" w:themeColor="light1"/>
        </w:tcBorders>
        <w:shd w:val="clear" w:color="F79646" w:themeColor="accent6" w:fill="auto"/>
      </w:tcPr>
    </w:tblStylePr>
    <w:tblStylePr w:type="firstCol">
      <w:rPr>
        <w:rFonts w:ascii="Arial" w:hAnsi="Arial"/>
        <w:b/>
        <w:color w:val="FFFFFF"/>
        <w:sz w:val="22"/>
      </w:rPr>
      <w:tblPr/>
      <w:tcPr>
        <w:shd w:val="clear" w:color="F79646" w:themeColor="accent6" w:fill="auto"/>
      </w:tcPr>
    </w:tblStylePr>
    <w:tblStylePr w:type="lastCol">
      <w:rPr>
        <w:rFonts w:ascii="Arial" w:hAnsi="Arial"/>
        <w:b/>
        <w:color w:val="FFFFFF"/>
        <w:sz w:val="22"/>
      </w:rPr>
      <w:tblPr/>
      <w:tcPr>
        <w:shd w:val="clear" w:color="F79646" w:themeColor="accent6" w:fill="auto"/>
      </w:tcPr>
    </w:tblStylePr>
    <w:tblStylePr w:type="band1Vert">
      <w:tblPr/>
      <w:tcPr>
        <w:shd w:val="clear" w:color="FBCEAA" w:themeColor="accent6" w:themeTint="75" w:fill="auto"/>
      </w:tcPr>
    </w:tblStylePr>
    <w:tblStylePr w:type="band1Horz">
      <w:tblPr/>
      <w:tcPr>
        <w:shd w:val="clear" w:color="FBCEAA" w:themeColor="accent6" w:themeTint="75" w:fill="auto"/>
      </w:tcPr>
    </w:tblStylePr>
  </w:style>
  <w:style w:type="table" w:styleId="61">
    <w:name w:val="Grid Table 6 Colorful"/>
    <w:basedOn w:val="a2"/>
    <w:uiPriority w:val="99"/>
    <w:pPr>
      <w:spacing w:after="0"/>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auto"/>
      </w:tcPr>
    </w:tblStylePr>
    <w:tblStylePr w:type="band1Horz">
      <w:rPr>
        <w:rFonts w:ascii="Arial" w:hAnsi="Arial"/>
        <w:color w:val="7F7F7F" w:themeColor="text1" w:themeTint="80" w:themeShade="95"/>
        <w:sz w:val="22"/>
      </w:rPr>
      <w:tblPr/>
      <w:tcPr>
        <w:shd w:val="clear" w:color="CBCBCB" w:themeColor="text1" w:themeTint="34" w:fill="auto"/>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a2"/>
    <w:uiPriority w:val="99"/>
    <w:pPr>
      <w:spacing w:after="0"/>
    </w:pPr>
    <w:tblPr>
      <w:tblStyleRowBandSize w:val="1"/>
      <w:tblStyleColBandSize w:val="1"/>
      <w:tblBorders>
        <w:top w:val="single" w:sz="4" w:space="0" w:color="A6BFDD" w:themeColor="accent1" w:themeTint="80"/>
        <w:left w:val="single" w:sz="4" w:space="0" w:color="A6BFDD" w:themeColor="accent1" w:themeTint="80"/>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b/>
        <w:color w:val="A6BFDD" w:themeColor="accent1" w:themeTint="80" w:themeShade="95"/>
      </w:rPr>
      <w:tblPr/>
      <w:tcPr>
        <w:tcBorders>
          <w:bottom w:val="single" w:sz="12" w:space="0" w:color="A6BFDD" w:themeColor="accent1" w:themeTint="80"/>
        </w:tcBorders>
      </w:tcPr>
    </w:tblStylePr>
    <w:tblStylePr w:type="lastRow">
      <w:rPr>
        <w:b/>
        <w:color w:val="A6BFDD" w:themeColor="accent1" w:themeTint="80" w:themeShade="95"/>
      </w:rPr>
    </w:tblStylePr>
    <w:tblStylePr w:type="firstCol">
      <w:rPr>
        <w:b/>
        <w:color w:val="A6BFDD" w:themeColor="accent1" w:themeTint="80" w:themeShade="95"/>
      </w:rPr>
    </w:tblStylePr>
    <w:tblStylePr w:type="lastCol">
      <w:rPr>
        <w:b/>
        <w:color w:val="A6BFDD" w:themeColor="accent1" w:themeTint="80" w:themeShade="95"/>
      </w:rPr>
    </w:tblStylePr>
    <w:tblStylePr w:type="band1Vert">
      <w:tblPr/>
      <w:tcPr>
        <w:shd w:val="clear" w:color="DAE5F1" w:themeColor="accent1" w:themeTint="34" w:fill="auto"/>
      </w:tcPr>
    </w:tblStylePr>
    <w:tblStylePr w:type="band1Horz">
      <w:rPr>
        <w:rFonts w:ascii="Arial" w:hAnsi="Arial"/>
        <w:color w:val="A6BFDD" w:themeColor="accent1" w:themeTint="80" w:themeShade="95"/>
        <w:sz w:val="22"/>
      </w:rPr>
      <w:tblPr/>
      <w:tcPr>
        <w:shd w:val="clear" w:color="DAE5F1" w:themeColor="accent1" w:themeTint="34" w:fill="auto"/>
      </w:tcPr>
    </w:tblStylePr>
    <w:tblStylePr w:type="band2Horz">
      <w:rPr>
        <w:rFonts w:ascii="Arial" w:hAnsi="Arial"/>
        <w:color w:val="A6BFDD" w:themeColor="accent1" w:themeTint="80" w:themeShade="95"/>
        <w:sz w:val="22"/>
      </w:rPr>
    </w:tblStylePr>
  </w:style>
  <w:style w:type="table" w:customStyle="1" w:styleId="GridTable6Colorful-Accent2">
    <w:name w:val="Grid Table 6 Colorful - Accent 2"/>
    <w:basedOn w:val="a2"/>
    <w:uiPriority w:val="99"/>
    <w:pPr>
      <w:spacing w:after="0"/>
    </w:pPr>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D99695" w:themeColor="accent2" w:themeTint="97" w:themeShade="95"/>
      </w:rPr>
      <w:tblPr/>
      <w:tcPr>
        <w:tcBorders>
          <w:bottom w:val="single" w:sz="12" w:space="0" w:color="D99695" w:themeColor="accent2" w:themeTint="97"/>
        </w:tcBorders>
      </w:tcPr>
    </w:tblStylePr>
    <w:tblStylePr w:type="lastRow">
      <w:rPr>
        <w:b/>
        <w:color w:val="D99695" w:themeColor="accent2" w:themeTint="97" w:themeShade="95"/>
      </w:r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F2DCDC" w:themeColor="accent2" w:themeTint="32" w:fill="auto"/>
      </w:tcPr>
    </w:tblStylePr>
    <w:tblStylePr w:type="band1Horz">
      <w:rPr>
        <w:rFonts w:ascii="Arial" w:hAnsi="Arial"/>
        <w:color w:val="D99695" w:themeColor="accent2" w:themeTint="97" w:themeShade="95"/>
        <w:sz w:val="22"/>
      </w:rPr>
      <w:tblPr/>
      <w:tcPr>
        <w:shd w:val="clear" w:color="F2DCDC" w:themeColor="accent2" w:themeTint="32" w:fill="auto"/>
      </w:tcPr>
    </w:tblStylePr>
    <w:tblStylePr w:type="band2Horz">
      <w:rPr>
        <w:rFonts w:ascii="Arial" w:hAnsi="Arial"/>
        <w:color w:val="D99695" w:themeColor="accent2" w:themeTint="97" w:themeShade="95"/>
        <w:sz w:val="22"/>
      </w:rPr>
    </w:tblStylePr>
  </w:style>
  <w:style w:type="table" w:customStyle="1" w:styleId="GridTable6Colorful-Accent3">
    <w:name w:val="Grid Table 6 Colorful - Accent 3"/>
    <w:basedOn w:val="a2"/>
    <w:uiPriority w:val="99"/>
    <w:pPr>
      <w:spacing w:after="0"/>
    </w:pPr>
    <w:tblPr>
      <w:tblStyleRowBandSize w:val="1"/>
      <w:tblStyleColBandSize w:val="1"/>
      <w:tbl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9ABB59" w:themeColor="accent3" w:themeTint="FE" w:themeShade="95"/>
      </w:rPr>
      <w:tblPr/>
      <w:tcPr>
        <w:tcBorders>
          <w:bottom w:val="single" w:sz="12" w:space="0" w:color="9ABB59" w:themeColor="accent3" w:themeTint="FE"/>
        </w:tcBorders>
      </w:tcPr>
    </w:tblStylePr>
    <w:tblStylePr w:type="lastRow">
      <w:rPr>
        <w:b/>
        <w:color w:val="9ABB59" w:themeColor="accent3" w:themeTint="FE" w:themeShade="95"/>
      </w:rPr>
    </w:tblStylePr>
    <w:tblStylePr w:type="firstCol">
      <w:rPr>
        <w:b/>
        <w:color w:val="9ABB59" w:themeColor="accent3" w:themeTint="FE" w:themeShade="95"/>
      </w:rPr>
    </w:tblStylePr>
    <w:tblStylePr w:type="lastCol">
      <w:rPr>
        <w:b/>
        <w:color w:val="9ABB59" w:themeColor="accent3" w:themeTint="FE" w:themeShade="95"/>
      </w:rPr>
    </w:tblStylePr>
    <w:tblStylePr w:type="band1Vert">
      <w:tblPr/>
      <w:tcPr>
        <w:shd w:val="clear" w:color="EAF1DC" w:themeColor="accent3" w:themeTint="34" w:fill="auto"/>
      </w:tcPr>
    </w:tblStylePr>
    <w:tblStylePr w:type="band1Horz">
      <w:rPr>
        <w:rFonts w:ascii="Arial" w:hAnsi="Arial"/>
        <w:color w:val="9ABB59" w:themeColor="accent3" w:themeTint="FE" w:themeShade="95"/>
        <w:sz w:val="22"/>
      </w:rPr>
      <w:tblPr/>
      <w:tcPr>
        <w:shd w:val="clear" w:color="EAF1DC" w:themeColor="accent3" w:themeTint="34" w:fill="auto"/>
      </w:tcPr>
    </w:tblStylePr>
    <w:tblStylePr w:type="band2Horz">
      <w:rPr>
        <w:rFonts w:ascii="Arial" w:hAnsi="Arial"/>
        <w:color w:val="9ABB59" w:themeColor="accent3" w:themeTint="FE" w:themeShade="95"/>
        <w:sz w:val="22"/>
      </w:rPr>
    </w:tblStylePr>
  </w:style>
  <w:style w:type="table" w:customStyle="1" w:styleId="GridTable6Colorful-Accent4">
    <w:name w:val="Grid Table 6 Colorful - Accent 4"/>
    <w:basedOn w:val="a2"/>
    <w:uiPriority w:val="99"/>
    <w:pPr>
      <w:spacing w:after="0"/>
    </w:pPr>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B2A1C6" w:themeColor="accent4" w:themeTint="9A" w:themeShade="95"/>
      </w:rPr>
      <w:tblPr/>
      <w:tcPr>
        <w:tcBorders>
          <w:bottom w:val="single" w:sz="12" w:space="0" w:color="B2A1C6" w:themeColor="accent4" w:themeTint="9A"/>
        </w:tcBorders>
      </w:tcPr>
    </w:tblStylePr>
    <w:tblStylePr w:type="lastRow">
      <w:rPr>
        <w:b/>
        <w:color w:val="B2A1C6" w:themeColor="accent4" w:themeTint="9A" w:themeShade="95"/>
      </w:r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E5DFEC" w:themeColor="accent4" w:themeTint="34" w:fill="auto"/>
      </w:tcPr>
    </w:tblStylePr>
    <w:tblStylePr w:type="band1Horz">
      <w:rPr>
        <w:rFonts w:ascii="Arial" w:hAnsi="Arial"/>
        <w:color w:val="B2A1C6" w:themeColor="accent4" w:themeTint="9A" w:themeShade="95"/>
        <w:sz w:val="22"/>
      </w:rPr>
      <w:tblPr/>
      <w:tcPr>
        <w:shd w:val="clear" w:color="E5DFEC" w:themeColor="accent4" w:themeTint="34" w:fill="auto"/>
      </w:tcPr>
    </w:tblStylePr>
    <w:tblStylePr w:type="band2Horz">
      <w:rPr>
        <w:rFonts w:ascii="Arial" w:hAnsi="Arial"/>
        <w:color w:val="B2A1C6" w:themeColor="accent4" w:themeTint="9A" w:themeShade="95"/>
        <w:sz w:val="22"/>
      </w:rPr>
    </w:tblStylePr>
  </w:style>
  <w:style w:type="table" w:customStyle="1" w:styleId="GridTable6Colorful-Accent5">
    <w:name w:val="Grid Table 6 Colorful - Accent 5"/>
    <w:basedOn w:val="a2"/>
    <w:uiPriority w:val="99"/>
    <w:pPr>
      <w:spacing w:after="0"/>
    </w:p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insideH w:val="single" w:sz="4" w:space="0" w:color="4BACC6" w:themeColor="accent5"/>
        <w:insideV w:val="single" w:sz="4" w:space="0" w:color="4BACC6" w:themeColor="accent5"/>
      </w:tblBorders>
    </w:tblPr>
    <w:tblStylePr w:type="firstRow">
      <w:rPr>
        <w:b/>
        <w:color w:val="266779" w:themeColor="accent5" w:themeShade="95"/>
      </w:rPr>
      <w:tblPr/>
      <w:tcPr>
        <w:tcBorders>
          <w:bottom w:val="single" w:sz="12" w:space="0" w:color="4BACC6" w:themeColor="accent5"/>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DAEEF3" w:themeColor="accent5" w:themeTint="34" w:fill="auto"/>
      </w:tcPr>
    </w:tblStylePr>
    <w:tblStylePr w:type="band1Horz">
      <w:rPr>
        <w:rFonts w:ascii="Arial" w:hAnsi="Arial"/>
        <w:color w:val="266779" w:themeColor="accent5" w:themeShade="95"/>
        <w:sz w:val="22"/>
      </w:rPr>
      <w:tblPr/>
      <w:tcPr>
        <w:shd w:val="clear" w:color="DAEEF3" w:themeColor="accent5" w:themeTint="34" w:fill="auto"/>
      </w:tcPr>
    </w:tblStylePr>
    <w:tblStylePr w:type="band2Horz">
      <w:rPr>
        <w:rFonts w:ascii="Arial" w:hAnsi="Arial"/>
        <w:color w:val="266779" w:themeColor="accent5" w:themeShade="95"/>
        <w:sz w:val="22"/>
      </w:rPr>
    </w:tblStylePr>
  </w:style>
  <w:style w:type="table" w:customStyle="1" w:styleId="GridTable6Colorful-Accent6">
    <w:name w:val="Grid Table 6 Colorful - Accent 6"/>
    <w:basedOn w:val="a2"/>
    <w:uiPriority w:val="99"/>
    <w:pPr>
      <w:spacing w:after="0"/>
    </w:p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insideH w:val="single" w:sz="4" w:space="0" w:color="F79646" w:themeColor="accent6"/>
        <w:insideV w:val="single" w:sz="4" w:space="0" w:color="F79646" w:themeColor="accent6"/>
      </w:tblBorders>
    </w:tblPr>
    <w:tblStylePr w:type="firstRow">
      <w:rPr>
        <w:b/>
        <w:color w:val="266779" w:themeColor="accent5" w:themeShade="95"/>
      </w:rPr>
      <w:tblPr/>
      <w:tcPr>
        <w:tcBorders>
          <w:bottom w:val="single" w:sz="12" w:space="0" w:color="F79646" w:themeColor="accent6"/>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FDE9D8" w:themeColor="accent6" w:themeTint="34" w:fill="auto"/>
      </w:tcPr>
    </w:tblStylePr>
    <w:tblStylePr w:type="band1Horz">
      <w:rPr>
        <w:rFonts w:ascii="Arial" w:hAnsi="Arial"/>
        <w:color w:val="266779" w:themeColor="accent5" w:themeShade="95"/>
        <w:sz w:val="22"/>
      </w:rPr>
      <w:tblPr/>
      <w:tcPr>
        <w:shd w:val="clear" w:color="FDE9D8" w:themeColor="accent6" w:themeTint="34" w:fill="auto"/>
      </w:tcPr>
    </w:tblStylePr>
    <w:tblStylePr w:type="band2Horz">
      <w:rPr>
        <w:rFonts w:ascii="Arial" w:hAnsi="Arial"/>
        <w:color w:val="266779" w:themeColor="accent5" w:themeShade="95"/>
        <w:sz w:val="22"/>
      </w:rPr>
    </w:tblStylePr>
  </w:style>
  <w:style w:type="table" w:styleId="71">
    <w:name w:val="Grid Table 7 Colorful"/>
    <w:basedOn w:val="a2"/>
    <w:uiPriority w:val="99"/>
    <w:pPr>
      <w:spacing w:after="0"/>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auto"/>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auto"/>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auto"/>
      </w:tcPr>
    </w:tblStylePr>
    <w:tblStylePr w:type="band1Horz">
      <w:rPr>
        <w:rFonts w:ascii="Arial" w:hAnsi="Arial"/>
        <w:color w:val="7F7F7F" w:themeColor="text1" w:themeTint="80" w:themeShade="95"/>
        <w:sz w:val="22"/>
      </w:rPr>
      <w:tblPr/>
      <w:tcPr>
        <w:shd w:val="clear" w:color="F2F2F2" w:themeColor="text1" w:themeTint="0D" w:fill="auto"/>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a2"/>
    <w:uiPriority w:val="99"/>
    <w:pPr>
      <w:spacing w:after="0"/>
    </w:pPr>
    <w:tblPr>
      <w:tblStyleRowBandSize w:val="1"/>
      <w:tblStyleColBandSize w:val="1"/>
      <w:tblBorders>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rFonts w:ascii="Arial" w:hAnsi="Arial"/>
        <w:b/>
        <w:color w:val="A6BFDD" w:themeColor="accent1" w:themeTint="80" w:themeShade="95"/>
        <w:sz w:val="22"/>
      </w:rPr>
      <w:tblPr/>
      <w:tcPr>
        <w:tcBorders>
          <w:top w:val="none" w:sz="4" w:space="0" w:color="000000"/>
          <w:left w:val="none" w:sz="4" w:space="0" w:color="000000"/>
          <w:bottom w:val="single" w:sz="4" w:space="0" w:color="A6BFDD" w:themeColor="accent1" w:themeTint="80"/>
          <w:right w:val="none" w:sz="4" w:space="0" w:color="000000"/>
        </w:tcBorders>
        <w:shd w:val="clear" w:color="FFFFFF" w:themeColor="light1" w:fill="auto"/>
      </w:tcPr>
    </w:tblStylePr>
    <w:tblStylePr w:type="lastRow">
      <w:rPr>
        <w:rFonts w:ascii="Arial" w:hAnsi="Arial"/>
        <w:b/>
        <w:color w:val="A6BFDD" w:themeColor="accent1" w:themeTint="80" w:themeShade="95"/>
        <w:sz w:val="22"/>
      </w:rPr>
      <w:tblPr/>
      <w:tcPr>
        <w:tcBorders>
          <w:top w:val="single" w:sz="4" w:space="0" w:color="A6BFDD" w:themeColor="accent1" w:themeTint="80"/>
          <w:left w:val="none" w:sz="4" w:space="0" w:color="000000"/>
          <w:bottom w:val="none" w:sz="4" w:space="0" w:color="000000"/>
          <w:right w:val="none" w:sz="4" w:space="0" w:color="000000"/>
        </w:tcBorders>
        <w:shd w:val="clear" w:color="FFFFFF" w:themeColor="light1" w:fill="auto"/>
      </w:tcPr>
    </w:tblStylePr>
    <w:tblStylePr w:type="firstCol">
      <w:pPr>
        <w:jc w:val="right"/>
      </w:pPr>
      <w:rPr>
        <w:rFonts w:ascii="Arial" w:hAnsi="Arial"/>
        <w:i/>
        <w:color w:val="A6BFDD" w:themeColor="accent1" w:themeTint="80" w:themeShade="95"/>
        <w:sz w:val="22"/>
      </w:rPr>
      <w:tblPr/>
      <w:tcPr>
        <w:tcBorders>
          <w:top w:val="none" w:sz="4" w:space="0" w:color="000000"/>
          <w:left w:val="none" w:sz="4" w:space="0" w:color="000000"/>
          <w:bottom w:val="none" w:sz="4" w:space="0" w:color="000000"/>
          <w:right w:val="single" w:sz="4" w:space="0" w:color="A6BFDD" w:themeColor="accent1" w:themeTint="80"/>
        </w:tcBorders>
        <w:shd w:val="clear" w:color="FFFFFF" w:fill="auto"/>
      </w:tcPr>
    </w:tblStylePr>
    <w:tblStylePr w:type="lastCol">
      <w:rPr>
        <w:rFonts w:ascii="Arial" w:hAnsi="Arial"/>
        <w:i/>
        <w:color w:val="A6BFDD" w:themeColor="accent1" w:themeTint="80" w:themeShade="95"/>
        <w:sz w:val="22"/>
      </w:rPr>
      <w:tblPr/>
      <w:tcPr>
        <w:tcBorders>
          <w:top w:val="none" w:sz="4" w:space="0" w:color="000000"/>
          <w:left w:val="single" w:sz="4" w:space="0" w:color="A6BFDD" w:themeColor="accent1" w:themeTint="80"/>
          <w:bottom w:val="none" w:sz="4" w:space="0" w:color="000000"/>
          <w:right w:val="none" w:sz="4" w:space="0" w:color="000000"/>
        </w:tcBorders>
        <w:shd w:val="clear" w:color="FFFFFF" w:fill="auto"/>
      </w:tcPr>
    </w:tblStylePr>
    <w:tblStylePr w:type="band1Vert">
      <w:tblPr/>
      <w:tcPr>
        <w:shd w:val="clear" w:color="DAE5F1" w:themeColor="accent1" w:themeTint="34" w:fill="auto"/>
      </w:tcPr>
    </w:tblStylePr>
    <w:tblStylePr w:type="band1Horz">
      <w:rPr>
        <w:rFonts w:ascii="Arial" w:hAnsi="Arial"/>
        <w:color w:val="A6BFDD" w:themeColor="accent1" w:themeTint="80" w:themeShade="95"/>
        <w:sz w:val="22"/>
      </w:rPr>
      <w:tblPr/>
      <w:tcPr>
        <w:shd w:val="clear" w:color="DAE5F1" w:themeColor="accent1" w:themeTint="34" w:fill="auto"/>
      </w:tcPr>
    </w:tblStylePr>
    <w:tblStylePr w:type="band2Horz">
      <w:rPr>
        <w:rFonts w:ascii="Arial" w:hAnsi="Arial"/>
        <w:color w:val="A6BFDD" w:themeColor="accent1" w:themeTint="80" w:themeShade="95"/>
        <w:sz w:val="22"/>
      </w:rPr>
    </w:tblStylePr>
  </w:style>
  <w:style w:type="table" w:customStyle="1" w:styleId="GridTable7Colorful-Accent2">
    <w:name w:val="Grid Table 7 Colorful - Accent 2"/>
    <w:basedOn w:val="a2"/>
    <w:uiPriority w:val="99"/>
    <w:pPr>
      <w:spacing w:after="0"/>
    </w:pPr>
    <w:tblPr>
      <w:tblStyleRowBandSize w:val="1"/>
      <w:tblStyleColBandSize w:val="1"/>
      <w:tblBorders>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rFonts w:ascii="Arial" w:hAnsi="Arial"/>
        <w:b/>
        <w:color w:val="D99695" w:themeColor="accent2" w:themeTint="97" w:themeShade="95"/>
        <w:sz w:val="22"/>
      </w:rPr>
      <w:tblPr/>
      <w:tcPr>
        <w:tcBorders>
          <w:top w:val="none" w:sz="4" w:space="0" w:color="000000"/>
          <w:left w:val="none" w:sz="4" w:space="0" w:color="000000"/>
          <w:bottom w:val="single" w:sz="4" w:space="0" w:color="D99695" w:themeColor="accent2" w:themeTint="97"/>
          <w:right w:val="none" w:sz="4" w:space="0" w:color="000000"/>
        </w:tcBorders>
        <w:shd w:val="clear" w:color="FFFFFF" w:themeColor="light1" w:fill="auto"/>
      </w:tcPr>
    </w:tblStylePr>
    <w:tblStylePr w:type="lastRow">
      <w:rPr>
        <w:rFonts w:ascii="Arial" w:hAnsi="Arial"/>
        <w:b/>
        <w:color w:val="D99695" w:themeColor="accent2" w:themeTint="97" w:themeShade="95"/>
        <w:sz w:val="22"/>
      </w:rPr>
      <w:tblPr/>
      <w:tcPr>
        <w:tcBorders>
          <w:top w:val="single" w:sz="4" w:space="0" w:color="D99695" w:themeColor="accent2" w:themeTint="97"/>
          <w:left w:val="none" w:sz="4" w:space="0" w:color="000000"/>
          <w:bottom w:val="none" w:sz="4" w:space="0" w:color="000000"/>
          <w:right w:val="none" w:sz="4" w:space="0" w:color="000000"/>
        </w:tcBorders>
        <w:shd w:val="clear" w:color="FFFFFF" w:themeColor="light1" w:fill="auto"/>
      </w:tcPr>
    </w:tblStylePr>
    <w:tblStylePr w:type="firstCol">
      <w:pPr>
        <w:jc w:val="right"/>
      </w:pPr>
      <w:rPr>
        <w:rFonts w:ascii="Arial" w:hAnsi="Arial"/>
        <w:i/>
        <w:color w:val="D99695" w:themeColor="accent2" w:themeTint="97" w:themeShade="95"/>
        <w:sz w:val="22"/>
      </w:rPr>
      <w:tblPr/>
      <w:tcPr>
        <w:tcBorders>
          <w:top w:val="none" w:sz="4" w:space="0" w:color="000000"/>
          <w:left w:val="none" w:sz="4" w:space="0" w:color="000000"/>
          <w:bottom w:val="none" w:sz="4" w:space="0" w:color="000000"/>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4" w:space="0" w:color="000000"/>
          <w:left w:val="single" w:sz="4" w:space="0" w:color="D99695" w:themeColor="accent2" w:themeTint="97"/>
          <w:bottom w:val="none" w:sz="4" w:space="0" w:color="000000"/>
          <w:right w:val="none" w:sz="4" w:space="0" w:color="000000"/>
        </w:tcBorders>
        <w:shd w:val="clear" w:color="FFFFFF" w:fill="auto"/>
      </w:tcPr>
    </w:tblStylePr>
    <w:tblStylePr w:type="band1Vert">
      <w:tblPr/>
      <w:tcPr>
        <w:shd w:val="clear" w:color="F2DCDC" w:themeColor="accent2" w:themeTint="32" w:fill="auto"/>
      </w:tcPr>
    </w:tblStylePr>
    <w:tblStylePr w:type="band1Horz">
      <w:rPr>
        <w:rFonts w:ascii="Arial" w:hAnsi="Arial"/>
        <w:color w:val="D99695" w:themeColor="accent2" w:themeTint="97" w:themeShade="95"/>
        <w:sz w:val="22"/>
      </w:rPr>
      <w:tblPr/>
      <w:tcPr>
        <w:shd w:val="clear" w:color="F2DCDC" w:themeColor="accent2" w:themeTint="32" w:fill="auto"/>
      </w:tcPr>
    </w:tblStylePr>
    <w:tblStylePr w:type="band2Horz">
      <w:rPr>
        <w:rFonts w:ascii="Arial" w:hAnsi="Arial"/>
        <w:color w:val="D99695" w:themeColor="accent2" w:themeTint="97" w:themeShade="95"/>
        <w:sz w:val="22"/>
      </w:rPr>
    </w:tblStylePr>
  </w:style>
  <w:style w:type="table" w:customStyle="1" w:styleId="GridTable7Colorful-Accent3">
    <w:name w:val="Grid Table 7 Colorful - Accent 3"/>
    <w:basedOn w:val="a2"/>
    <w:uiPriority w:val="99"/>
    <w:pPr>
      <w:spacing w:after="0"/>
    </w:pPr>
    <w:tblPr>
      <w:tblStyleRowBandSize w:val="1"/>
      <w:tblStyleColBandSize w:val="1"/>
      <w:tblBorders>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rFonts w:ascii="Arial" w:hAnsi="Arial"/>
        <w:b/>
        <w:color w:val="9ABB59" w:themeColor="accent3" w:themeTint="FE" w:themeShade="95"/>
        <w:sz w:val="22"/>
      </w:rPr>
      <w:tblPr/>
      <w:tcPr>
        <w:tcBorders>
          <w:top w:val="none" w:sz="4" w:space="0" w:color="000000"/>
          <w:left w:val="none" w:sz="4" w:space="0" w:color="000000"/>
          <w:bottom w:val="single" w:sz="4" w:space="0" w:color="9ABB59" w:themeColor="accent3" w:themeTint="FE"/>
          <w:right w:val="none" w:sz="4" w:space="0" w:color="000000"/>
        </w:tcBorders>
        <w:shd w:val="clear" w:color="FFFFFF" w:themeColor="light1" w:fill="auto"/>
      </w:tcPr>
    </w:tblStylePr>
    <w:tblStylePr w:type="lastRow">
      <w:rPr>
        <w:rFonts w:ascii="Arial" w:hAnsi="Arial"/>
        <w:b/>
        <w:color w:val="9ABB59" w:themeColor="accent3" w:themeTint="FE" w:themeShade="95"/>
        <w:sz w:val="22"/>
      </w:rPr>
      <w:tblPr/>
      <w:tcPr>
        <w:tcBorders>
          <w:top w:val="single" w:sz="4" w:space="0" w:color="9ABB59" w:themeColor="accent3" w:themeTint="FE"/>
          <w:left w:val="none" w:sz="4" w:space="0" w:color="000000"/>
          <w:bottom w:val="none" w:sz="4" w:space="0" w:color="000000"/>
          <w:right w:val="none" w:sz="4" w:space="0" w:color="000000"/>
        </w:tcBorders>
        <w:shd w:val="clear" w:color="FFFFFF" w:themeColor="light1" w:fill="auto"/>
      </w:tcPr>
    </w:tblStylePr>
    <w:tblStylePr w:type="firstCol">
      <w:pPr>
        <w:jc w:val="right"/>
      </w:pPr>
      <w:rPr>
        <w:rFonts w:ascii="Arial" w:hAnsi="Arial"/>
        <w:i/>
        <w:color w:val="9ABB59" w:themeColor="accent3" w:themeTint="FE" w:themeShade="95"/>
        <w:sz w:val="22"/>
      </w:rPr>
      <w:tblPr/>
      <w:tcPr>
        <w:tcBorders>
          <w:top w:val="none" w:sz="4" w:space="0" w:color="000000"/>
          <w:left w:val="none" w:sz="4" w:space="0" w:color="000000"/>
          <w:bottom w:val="none" w:sz="4" w:space="0" w:color="000000"/>
          <w:right w:val="single" w:sz="4" w:space="0" w:color="9ABB59" w:themeColor="accent3" w:themeTint="FE"/>
        </w:tcBorders>
        <w:shd w:val="clear" w:color="FFFFFF" w:fill="auto"/>
      </w:tcPr>
    </w:tblStylePr>
    <w:tblStylePr w:type="lastCol">
      <w:rPr>
        <w:rFonts w:ascii="Arial" w:hAnsi="Arial"/>
        <w:i/>
        <w:color w:val="9ABB59" w:themeColor="accent3" w:themeTint="FE" w:themeShade="95"/>
        <w:sz w:val="22"/>
      </w:rPr>
      <w:tblPr/>
      <w:tcPr>
        <w:tcBorders>
          <w:top w:val="none" w:sz="4" w:space="0" w:color="000000"/>
          <w:left w:val="single" w:sz="4" w:space="0" w:color="9ABB59" w:themeColor="accent3" w:themeTint="FE"/>
          <w:bottom w:val="none" w:sz="4" w:space="0" w:color="000000"/>
          <w:right w:val="none" w:sz="4" w:space="0" w:color="000000"/>
        </w:tcBorders>
        <w:shd w:val="clear" w:color="FFFFFF" w:fill="auto"/>
      </w:tcPr>
    </w:tblStylePr>
    <w:tblStylePr w:type="band1Vert">
      <w:tblPr/>
      <w:tcPr>
        <w:shd w:val="clear" w:color="EAF1DC" w:themeColor="accent3" w:themeTint="34" w:fill="auto"/>
      </w:tcPr>
    </w:tblStylePr>
    <w:tblStylePr w:type="band1Horz">
      <w:rPr>
        <w:rFonts w:ascii="Arial" w:hAnsi="Arial"/>
        <w:color w:val="9ABB59" w:themeColor="accent3" w:themeTint="FE" w:themeShade="95"/>
        <w:sz w:val="22"/>
      </w:rPr>
      <w:tblPr/>
      <w:tcPr>
        <w:shd w:val="clear" w:color="EAF1DC" w:themeColor="accent3" w:themeTint="34" w:fill="auto"/>
      </w:tcPr>
    </w:tblStylePr>
    <w:tblStylePr w:type="band2Horz">
      <w:rPr>
        <w:rFonts w:ascii="Arial" w:hAnsi="Arial"/>
        <w:color w:val="9ABB59" w:themeColor="accent3" w:themeTint="FE" w:themeShade="95"/>
        <w:sz w:val="22"/>
      </w:rPr>
    </w:tblStylePr>
  </w:style>
  <w:style w:type="table" w:customStyle="1" w:styleId="GridTable7Colorful-Accent4">
    <w:name w:val="Grid Table 7 Colorful - Accent 4"/>
    <w:basedOn w:val="a2"/>
    <w:uiPriority w:val="99"/>
    <w:pPr>
      <w:spacing w:after="0"/>
    </w:pPr>
    <w:tblPr>
      <w:tblStyleRowBandSize w:val="1"/>
      <w:tblStyleColBandSize w:val="1"/>
      <w:tblBorders>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rFonts w:ascii="Arial" w:hAnsi="Arial"/>
        <w:b/>
        <w:color w:val="B2A1C6" w:themeColor="accent4" w:themeTint="9A" w:themeShade="95"/>
        <w:sz w:val="22"/>
      </w:rPr>
      <w:tblPr/>
      <w:tcPr>
        <w:tcBorders>
          <w:top w:val="none" w:sz="4" w:space="0" w:color="000000"/>
          <w:left w:val="none" w:sz="4" w:space="0" w:color="000000"/>
          <w:bottom w:val="single" w:sz="4" w:space="0" w:color="B2A1C6" w:themeColor="accent4" w:themeTint="9A"/>
          <w:right w:val="none" w:sz="4" w:space="0" w:color="000000"/>
        </w:tcBorders>
        <w:shd w:val="clear" w:color="FFFFFF" w:themeColor="light1" w:fill="auto"/>
      </w:tcPr>
    </w:tblStylePr>
    <w:tblStylePr w:type="lastRow">
      <w:rPr>
        <w:rFonts w:ascii="Arial" w:hAnsi="Arial"/>
        <w:b/>
        <w:color w:val="B2A1C6" w:themeColor="accent4" w:themeTint="9A" w:themeShade="95"/>
        <w:sz w:val="22"/>
      </w:rPr>
      <w:tblPr/>
      <w:tcPr>
        <w:tcBorders>
          <w:top w:val="single" w:sz="4" w:space="0" w:color="B2A1C6" w:themeColor="accent4" w:themeTint="9A"/>
          <w:left w:val="none" w:sz="4" w:space="0" w:color="000000"/>
          <w:bottom w:val="none" w:sz="4" w:space="0" w:color="000000"/>
          <w:right w:val="none" w:sz="4" w:space="0" w:color="000000"/>
        </w:tcBorders>
        <w:shd w:val="clear" w:color="FFFFFF" w:themeColor="light1" w:fill="auto"/>
      </w:tcPr>
    </w:tblStylePr>
    <w:tblStylePr w:type="firstCol">
      <w:pPr>
        <w:jc w:val="right"/>
      </w:pPr>
      <w:rPr>
        <w:rFonts w:ascii="Arial" w:hAnsi="Arial"/>
        <w:i/>
        <w:color w:val="B2A1C6" w:themeColor="accent4" w:themeTint="9A" w:themeShade="95"/>
        <w:sz w:val="22"/>
      </w:rPr>
      <w:tblPr/>
      <w:tcPr>
        <w:tcBorders>
          <w:top w:val="none" w:sz="4" w:space="0" w:color="000000"/>
          <w:left w:val="none" w:sz="4" w:space="0" w:color="000000"/>
          <w:bottom w:val="none" w:sz="4" w:space="0" w:color="000000"/>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4" w:space="0" w:color="000000"/>
          <w:left w:val="single" w:sz="4" w:space="0" w:color="B2A1C6" w:themeColor="accent4" w:themeTint="9A"/>
          <w:bottom w:val="none" w:sz="4" w:space="0" w:color="000000"/>
          <w:right w:val="none" w:sz="4" w:space="0" w:color="000000"/>
        </w:tcBorders>
        <w:shd w:val="clear" w:color="FFFFFF" w:fill="auto"/>
      </w:tcPr>
    </w:tblStylePr>
    <w:tblStylePr w:type="band1Vert">
      <w:tblPr/>
      <w:tcPr>
        <w:shd w:val="clear" w:color="E5DFEC" w:themeColor="accent4" w:themeTint="34" w:fill="auto"/>
      </w:tcPr>
    </w:tblStylePr>
    <w:tblStylePr w:type="band1Horz">
      <w:rPr>
        <w:rFonts w:ascii="Arial" w:hAnsi="Arial"/>
        <w:color w:val="B2A1C6" w:themeColor="accent4" w:themeTint="9A" w:themeShade="95"/>
        <w:sz w:val="22"/>
      </w:rPr>
      <w:tblPr/>
      <w:tcPr>
        <w:shd w:val="clear" w:color="E5DFEC" w:themeColor="accent4" w:themeTint="34" w:fill="auto"/>
      </w:tcPr>
    </w:tblStylePr>
    <w:tblStylePr w:type="band2Horz">
      <w:rPr>
        <w:rFonts w:ascii="Arial" w:hAnsi="Arial"/>
        <w:color w:val="B2A1C6" w:themeColor="accent4" w:themeTint="9A" w:themeShade="95"/>
        <w:sz w:val="22"/>
      </w:rPr>
    </w:tblStylePr>
  </w:style>
  <w:style w:type="table" w:customStyle="1" w:styleId="GridTable7Colorful-Accent5">
    <w:name w:val="Grid Table 7 Colorful - Accent 5"/>
    <w:basedOn w:val="a2"/>
    <w:uiPriority w:val="99"/>
    <w:pPr>
      <w:spacing w:after="0"/>
    </w:pPr>
    <w:tblPr>
      <w:tblStyleRowBandSize w:val="1"/>
      <w:tblStyleColBandSize w:val="1"/>
      <w:tblBorders>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266779" w:themeColor="accent5" w:themeShade="95"/>
        <w:sz w:val="22"/>
      </w:rPr>
      <w:tblPr/>
      <w:tcPr>
        <w:tcBorders>
          <w:top w:val="none" w:sz="4" w:space="0" w:color="000000"/>
          <w:left w:val="none" w:sz="4" w:space="0" w:color="000000"/>
          <w:bottom w:val="single" w:sz="4" w:space="0" w:color="99D0DE" w:themeColor="accent5" w:themeTint="90"/>
          <w:right w:val="none" w:sz="4" w:space="0" w:color="000000"/>
        </w:tcBorders>
        <w:shd w:val="clear" w:color="FFFFFF" w:themeColor="light1" w:fill="auto"/>
      </w:tcPr>
    </w:tblStylePr>
    <w:tblStylePr w:type="lastRow">
      <w:rPr>
        <w:rFonts w:ascii="Arial" w:hAnsi="Arial"/>
        <w:b/>
        <w:color w:val="266779" w:themeColor="accent5" w:themeShade="95"/>
        <w:sz w:val="22"/>
      </w:rPr>
      <w:tblPr/>
      <w:tcPr>
        <w:tcBorders>
          <w:top w:val="single" w:sz="4" w:space="0" w:color="99D0DE" w:themeColor="accent5" w:themeTint="90"/>
          <w:left w:val="none" w:sz="4" w:space="0" w:color="000000"/>
          <w:bottom w:val="none" w:sz="4" w:space="0" w:color="000000"/>
          <w:right w:val="none" w:sz="4" w:space="0" w:color="000000"/>
        </w:tcBorders>
        <w:shd w:val="clear" w:color="FFFFFF" w:themeColor="light1" w:fill="auto"/>
      </w:tcPr>
    </w:tblStylePr>
    <w:tblStylePr w:type="firstCol">
      <w:pPr>
        <w:jc w:val="right"/>
      </w:pPr>
      <w:rPr>
        <w:rFonts w:ascii="Arial" w:hAnsi="Arial"/>
        <w:i/>
        <w:color w:val="266779" w:themeColor="accent5" w:themeShade="95"/>
        <w:sz w:val="22"/>
      </w:rPr>
      <w:tblPr/>
      <w:tcPr>
        <w:tcBorders>
          <w:top w:val="none" w:sz="4" w:space="0" w:color="000000"/>
          <w:left w:val="none" w:sz="4" w:space="0" w:color="000000"/>
          <w:bottom w:val="none" w:sz="4" w:space="0" w:color="000000"/>
          <w:right w:val="single" w:sz="4" w:space="0" w:color="99D0DE" w:themeColor="accent5" w:themeTint="90"/>
        </w:tcBorders>
        <w:shd w:val="clear" w:color="FFFFFF" w:fill="auto"/>
      </w:tcPr>
    </w:tblStylePr>
    <w:tblStylePr w:type="lastCol">
      <w:rPr>
        <w:rFonts w:ascii="Arial" w:hAnsi="Arial"/>
        <w:i/>
        <w:color w:val="266779" w:themeColor="accent5" w:themeShade="95"/>
        <w:sz w:val="22"/>
      </w:rPr>
      <w:tblPr/>
      <w:tcPr>
        <w:tcBorders>
          <w:top w:val="none" w:sz="4" w:space="0" w:color="000000"/>
          <w:left w:val="single" w:sz="4" w:space="0" w:color="99D0DE" w:themeColor="accent5" w:themeTint="90"/>
          <w:bottom w:val="none" w:sz="4" w:space="0" w:color="000000"/>
          <w:right w:val="none" w:sz="4" w:space="0" w:color="000000"/>
        </w:tcBorders>
        <w:shd w:val="clear" w:color="FFFFFF" w:fill="auto"/>
      </w:tcPr>
    </w:tblStylePr>
    <w:tblStylePr w:type="band1Vert">
      <w:tblPr/>
      <w:tcPr>
        <w:shd w:val="clear" w:color="DAEEF3" w:themeColor="accent5" w:themeTint="34" w:fill="auto"/>
      </w:tcPr>
    </w:tblStylePr>
    <w:tblStylePr w:type="band1Horz">
      <w:rPr>
        <w:rFonts w:ascii="Arial" w:hAnsi="Arial"/>
        <w:color w:val="266779" w:themeColor="accent5" w:themeShade="95"/>
        <w:sz w:val="22"/>
      </w:rPr>
      <w:tblPr/>
      <w:tcPr>
        <w:shd w:val="clear" w:color="DAEEF3" w:themeColor="accent5" w:themeTint="34" w:fill="auto"/>
      </w:tcPr>
    </w:tblStylePr>
    <w:tblStylePr w:type="band2Horz">
      <w:rPr>
        <w:rFonts w:ascii="Arial" w:hAnsi="Arial"/>
        <w:color w:val="266779" w:themeColor="accent5" w:themeShade="95"/>
        <w:sz w:val="22"/>
      </w:rPr>
    </w:tblStylePr>
  </w:style>
  <w:style w:type="table" w:customStyle="1" w:styleId="GridTable7Colorful-Accent6">
    <w:name w:val="Grid Table 7 Colorful - Accent 6"/>
    <w:basedOn w:val="a2"/>
    <w:uiPriority w:val="99"/>
    <w:pPr>
      <w:spacing w:after="0"/>
    </w:pPr>
    <w:tblPr>
      <w:tblStyleRowBandSize w:val="1"/>
      <w:tblStyleColBandSize w:val="1"/>
      <w:tblBorders>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B15407" w:themeColor="accent6" w:themeShade="95"/>
        <w:sz w:val="22"/>
      </w:rPr>
      <w:tblPr/>
      <w:tcPr>
        <w:tcBorders>
          <w:top w:val="none" w:sz="4" w:space="0" w:color="000000"/>
          <w:left w:val="none" w:sz="4" w:space="0" w:color="000000"/>
          <w:bottom w:val="single" w:sz="4" w:space="0" w:color="FAC396" w:themeColor="accent6" w:themeTint="90"/>
          <w:right w:val="none" w:sz="4" w:space="0" w:color="000000"/>
        </w:tcBorders>
        <w:shd w:val="clear" w:color="FFFFFF" w:themeColor="light1" w:fill="auto"/>
      </w:tcPr>
    </w:tblStylePr>
    <w:tblStylePr w:type="lastRow">
      <w:rPr>
        <w:rFonts w:ascii="Arial" w:hAnsi="Arial"/>
        <w:b/>
        <w:color w:val="B15407" w:themeColor="accent6" w:themeShade="95"/>
        <w:sz w:val="22"/>
      </w:rPr>
      <w:tblPr/>
      <w:tcPr>
        <w:tcBorders>
          <w:top w:val="single" w:sz="4" w:space="0" w:color="FAC396" w:themeColor="accent6" w:themeTint="90"/>
          <w:left w:val="none" w:sz="4" w:space="0" w:color="000000"/>
          <w:bottom w:val="none" w:sz="4" w:space="0" w:color="000000"/>
          <w:right w:val="none" w:sz="4" w:space="0" w:color="000000"/>
        </w:tcBorders>
        <w:shd w:val="clear" w:color="FFFFFF" w:themeColor="light1" w:fill="auto"/>
      </w:tcPr>
    </w:tblStylePr>
    <w:tblStylePr w:type="firstCol">
      <w:pPr>
        <w:jc w:val="right"/>
      </w:pPr>
      <w:rPr>
        <w:rFonts w:ascii="Arial" w:hAnsi="Arial"/>
        <w:i/>
        <w:color w:val="B15407" w:themeColor="accent6" w:themeShade="95"/>
        <w:sz w:val="22"/>
      </w:rPr>
      <w:tblPr/>
      <w:tcPr>
        <w:tcBorders>
          <w:top w:val="none" w:sz="4" w:space="0" w:color="000000"/>
          <w:left w:val="none" w:sz="4" w:space="0" w:color="000000"/>
          <w:bottom w:val="none" w:sz="4" w:space="0" w:color="000000"/>
          <w:right w:val="single" w:sz="4" w:space="0" w:color="FAC396" w:themeColor="accent6" w:themeTint="90"/>
        </w:tcBorders>
        <w:shd w:val="clear" w:color="FFFFFF" w:fill="auto"/>
      </w:tcPr>
    </w:tblStylePr>
    <w:tblStylePr w:type="lastCol">
      <w:rPr>
        <w:rFonts w:ascii="Arial" w:hAnsi="Arial"/>
        <w:i/>
        <w:color w:val="B15407" w:themeColor="accent6" w:themeShade="95"/>
        <w:sz w:val="22"/>
      </w:rPr>
      <w:tblPr/>
      <w:tcPr>
        <w:tcBorders>
          <w:top w:val="none" w:sz="4" w:space="0" w:color="000000"/>
          <w:left w:val="single" w:sz="4" w:space="0" w:color="FAC396" w:themeColor="accent6" w:themeTint="90"/>
          <w:bottom w:val="none" w:sz="4" w:space="0" w:color="000000"/>
          <w:right w:val="none" w:sz="4" w:space="0" w:color="000000"/>
        </w:tcBorders>
        <w:shd w:val="clear" w:color="FFFFFF" w:fill="auto"/>
      </w:tcPr>
    </w:tblStylePr>
    <w:tblStylePr w:type="band1Vert">
      <w:tblPr/>
      <w:tcPr>
        <w:shd w:val="clear" w:color="FDE9D8" w:themeColor="accent6" w:themeTint="34" w:fill="auto"/>
      </w:tcPr>
    </w:tblStylePr>
    <w:tblStylePr w:type="band1Horz">
      <w:rPr>
        <w:rFonts w:ascii="Arial" w:hAnsi="Arial"/>
        <w:color w:val="B15407" w:themeColor="accent6" w:themeShade="95"/>
        <w:sz w:val="22"/>
      </w:rPr>
      <w:tblPr/>
      <w:tcPr>
        <w:shd w:val="clear" w:color="FDE9D8" w:themeColor="accent6" w:themeTint="34" w:fill="auto"/>
      </w:tcPr>
    </w:tblStylePr>
    <w:tblStylePr w:type="band2Horz">
      <w:rPr>
        <w:rFonts w:ascii="Arial" w:hAnsi="Arial"/>
        <w:color w:val="B15407" w:themeColor="accent6" w:themeShade="95"/>
        <w:sz w:val="22"/>
      </w:rPr>
    </w:tblStylePr>
  </w:style>
  <w:style w:type="table" w:styleId="13">
    <w:name w:val="List Table 1 Light"/>
    <w:basedOn w:val="a2"/>
    <w:uiPriority w:val="99"/>
    <w:pPr>
      <w:spacing w:after="0"/>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auto"/>
      </w:tcPr>
    </w:tblStylePr>
    <w:tblStylePr w:type="band1Horz">
      <w:tblPr/>
      <w:tcPr>
        <w:shd w:val="clear" w:color="BFBFBF" w:themeColor="text1" w:themeTint="40" w:fill="auto"/>
      </w:tcPr>
    </w:tblStylePr>
  </w:style>
  <w:style w:type="table" w:customStyle="1" w:styleId="ListTable1Light-Accent1">
    <w:name w:val="List Table 1 Light - Accent 1"/>
    <w:basedOn w:val="a2"/>
    <w:uiPriority w:val="99"/>
    <w:pPr>
      <w:spacing w:after="0"/>
    </w:pPr>
    <w:tblPr>
      <w:tblStyleRowBandSize w:val="1"/>
      <w:tblStyleColBandSize w:val="1"/>
    </w:tblPr>
    <w:tblStylePr w:type="firstRow">
      <w:rPr>
        <w:b/>
        <w:color w:val="404040"/>
      </w:rPr>
      <w:tblPr/>
      <w:tcPr>
        <w:tcBorders>
          <w:top w:val="none" w:sz="4" w:space="0" w:color="000000"/>
          <w:left w:val="none" w:sz="4" w:space="0" w:color="000000"/>
          <w:bottom w:val="single" w:sz="4" w:space="0" w:color="4F81BD" w:themeColor="accent1"/>
          <w:right w:val="none" w:sz="4" w:space="0" w:color="000000"/>
        </w:tcBorders>
      </w:tcPr>
    </w:tblStylePr>
    <w:tblStylePr w:type="lastRow">
      <w:rPr>
        <w:b/>
        <w:color w:val="404040"/>
      </w:rPr>
      <w:tblPr/>
      <w:tcPr>
        <w:tcBorders>
          <w:top w:val="single" w:sz="4" w:space="0" w:color="4F81BD"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2DFEE" w:themeColor="accent1" w:themeTint="40" w:fill="auto"/>
      </w:tcPr>
    </w:tblStylePr>
    <w:tblStylePr w:type="band1Horz">
      <w:tblPr/>
      <w:tcPr>
        <w:shd w:val="clear" w:color="D2DFEE" w:themeColor="accent1" w:themeTint="40" w:fill="auto"/>
      </w:tcPr>
    </w:tblStylePr>
  </w:style>
  <w:style w:type="table" w:customStyle="1" w:styleId="ListTable1Light-Accent2">
    <w:name w:val="List Table 1 Light - Accent 2"/>
    <w:basedOn w:val="a2"/>
    <w:uiPriority w:val="99"/>
    <w:pPr>
      <w:spacing w:after="0"/>
    </w:pPr>
    <w:tblPr>
      <w:tblStyleRowBandSize w:val="1"/>
      <w:tblStyleColBandSize w:val="1"/>
    </w:tblPr>
    <w:tblStylePr w:type="firstRow">
      <w:rPr>
        <w:b/>
        <w:color w:val="404040"/>
      </w:rPr>
      <w:tblPr/>
      <w:tcPr>
        <w:tcBorders>
          <w:top w:val="none" w:sz="4" w:space="0" w:color="000000"/>
          <w:left w:val="none" w:sz="4" w:space="0" w:color="000000"/>
          <w:bottom w:val="single" w:sz="4" w:space="0" w:color="C0504D" w:themeColor="accent2"/>
          <w:right w:val="none" w:sz="4" w:space="0" w:color="000000"/>
        </w:tcBorders>
      </w:tcPr>
    </w:tblStylePr>
    <w:tblStylePr w:type="lastRow">
      <w:rPr>
        <w:b/>
        <w:color w:val="404040"/>
      </w:rPr>
      <w:tblPr/>
      <w:tcPr>
        <w:tcBorders>
          <w:top w:val="single" w:sz="4" w:space="0" w:color="C0504D"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FD2D2" w:themeColor="accent2" w:themeTint="40" w:fill="auto"/>
      </w:tcPr>
    </w:tblStylePr>
    <w:tblStylePr w:type="band1Horz">
      <w:tblPr/>
      <w:tcPr>
        <w:shd w:val="clear" w:color="EFD2D2" w:themeColor="accent2" w:themeTint="40" w:fill="auto"/>
      </w:tcPr>
    </w:tblStylePr>
  </w:style>
  <w:style w:type="table" w:customStyle="1" w:styleId="ListTable1Light-Accent3">
    <w:name w:val="List Table 1 Light - Accent 3"/>
    <w:basedOn w:val="a2"/>
    <w:uiPriority w:val="99"/>
    <w:pPr>
      <w:spacing w:after="0"/>
    </w:pPr>
    <w:tblPr>
      <w:tblStyleRowBandSize w:val="1"/>
      <w:tblStyleColBandSize w:val="1"/>
    </w:tblPr>
    <w:tblStylePr w:type="firstRow">
      <w:rPr>
        <w:b/>
        <w:color w:val="404040"/>
      </w:rPr>
      <w:tblPr/>
      <w:tcPr>
        <w:tcBorders>
          <w:top w:val="none" w:sz="4" w:space="0" w:color="000000"/>
          <w:left w:val="none" w:sz="4" w:space="0" w:color="000000"/>
          <w:bottom w:val="single" w:sz="4" w:space="0" w:color="9BBB59" w:themeColor="accent3"/>
          <w:right w:val="none" w:sz="4" w:space="0" w:color="000000"/>
        </w:tcBorders>
      </w:tcPr>
    </w:tblStylePr>
    <w:tblStylePr w:type="lastRow">
      <w:rPr>
        <w:b/>
        <w:color w:val="404040"/>
      </w:rPr>
      <w:tblPr/>
      <w:tcPr>
        <w:tcBorders>
          <w:top w:val="single" w:sz="4" w:space="0" w:color="9BBB59"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5EED5" w:themeColor="accent3" w:themeTint="40" w:fill="auto"/>
      </w:tcPr>
    </w:tblStylePr>
    <w:tblStylePr w:type="band1Horz">
      <w:tblPr/>
      <w:tcPr>
        <w:shd w:val="clear" w:color="E5EED5" w:themeColor="accent3" w:themeTint="40" w:fill="auto"/>
      </w:tcPr>
    </w:tblStylePr>
  </w:style>
  <w:style w:type="table" w:customStyle="1" w:styleId="ListTable1Light-Accent4">
    <w:name w:val="List Table 1 Light - Accent 4"/>
    <w:basedOn w:val="a2"/>
    <w:uiPriority w:val="99"/>
    <w:pPr>
      <w:spacing w:after="0"/>
    </w:pPr>
    <w:tblPr>
      <w:tblStyleRowBandSize w:val="1"/>
      <w:tblStyleColBandSize w:val="1"/>
    </w:tblPr>
    <w:tblStylePr w:type="firstRow">
      <w:rPr>
        <w:b/>
        <w:color w:val="404040"/>
      </w:rPr>
      <w:tblPr/>
      <w:tcPr>
        <w:tcBorders>
          <w:top w:val="none" w:sz="4" w:space="0" w:color="000000"/>
          <w:left w:val="none" w:sz="4" w:space="0" w:color="000000"/>
          <w:bottom w:val="single" w:sz="4" w:space="0" w:color="8064A2" w:themeColor="accent4"/>
          <w:right w:val="none" w:sz="4" w:space="0" w:color="000000"/>
        </w:tcBorders>
      </w:tcPr>
    </w:tblStylePr>
    <w:tblStylePr w:type="lastRow">
      <w:rPr>
        <w:b/>
        <w:color w:val="404040"/>
      </w:rPr>
      <w:tblPr/>
      <w:tcPr>
        <w:tcBorders>
          <w:top w:val="single" w:sz="4" w:space="0" w:color="8064A2"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FD8E7" w:themeColor="accent4" w:themeTint="40" w:fill="auto"/>
      </w:tcPr>
    </w:tblStylePr>
    <w:tblStylePr w:type="band1Horz">
      <w:tblPr/>
      <w:tcPr>
        <w:shd w:val="clear" w:color="DFD8E7" w:themeColor="accent4" w:themeTint="40" w:fill="auto"/>
      </w:tcPr>
    </w:tblStylePr>
  </w:style>
  <w:style w:type="table" w:customStyle="1" w:styleId="ListTable1Light-Accent5">
    <w:name w:val="List Table 1 Light - Accent 5"/>
    <w:basedOn w:val="a2"/>
    <w:uiPriority w:val="99"/>
    <w:pPr>
      <w:spacing w:after="0"/>
    </w:pPr>
    <w:tblPr>
      <w:tblStyleRowBandSize w:val="1"/>
      <w:tblStyleColBandSize w:val="1"/>
    </w:tblPr>
    <w:tblStylePr w:type="firstRow">
      <w:rPr>
        <w:b/>
        <w:color w:val="404040"/>
      </w:rPr>
      <w:tblPr/>
      <w:tcPr>
        <w:tcBorders>
          <w:top w:val="none" w:sz="4" w:space="0" w:color="000000"/>
          <w:left w:val="none" w:sz="4" w:space="0" w:color="000000"/>
          <w:bottom w:val="single" w:sz="4" w:space="0" w:color="4BACC6" w:themeColor="accent5"/>
          <w:right w:val="none" w:sz="4" w:space="0" w:color="000000"/>
        </w:tcBorders>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1EAF0" w:themeColor="accent5" w:themeTint="40" w:fill="auto"/>
      </w:tcPr>
    </w:tblStylePr>
    <w:tblStylePr w:type="band1Horz">
      <w:tblPr/>
      <w:tcPr>
        <w:shd w:val="clear" w:color="D1EAF0" w:themeColor="accent5" w:themeTint="40" w:fill="auto"/>
      </w:tcPr>
    </w:tblStylePr>
  </w:style>
  <w:style w:type="table" w:customStyle="1" w:styleId="ListTable1Light-Accent6">
    <w:name w:val="List Table 1 Light - Accent 6"/>
    <w:basedOn w:val="a2"/>
    <w:uiPriority w:val="99"/>
    <w:pPr>
      <w:spacing w:after="0"/>
    </w:pPr>
    <w:tblPr>
      <w:tblStyleRowBandSize w:val="1"/>
      <w:tblStyleColBandSize w:val="1"/>
    </w:tblPr>
    <w:tblStylePr w:type="firstRow">
      <w:rPr>
        <w:b/>
        <w:color w:val="404040"/>
      </w:rPr>
      <w:tblPr/>
      <w:tcPr>
        <w:tcBorders>
          <w:top w:val="none" w:sz="4" w:space="0" w:color="000000"/>
          <w:left w:val="none" w:sz="4" w:space="0" w:color="000000"/>
          <w:bottom w:val="single" w:sz="4" w:space="0" w:color="F79646" w:themeColor="accent6"/>
          <w:right w:val="none" w:sz="4" w:space="0" w:color="000000"/>
        </w:tcBorders>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DE4D0" w:themeColor="accent6" w:themeTint="40" w:fill="auto"/>
      </w:tcPr>
    </w:tblStylePr>
    <w:tblStylePr w:type="band1Horz">
      <w:tblPr/>
      <w:tcPr>
        <w:shd w:val="clear" w:color="FDE4D0" w:themeColor="accent6" w:themeTint="40" w:fill="auto"/>
      </w:tcPr>
    </w:tblStylePr>
  </w:style>
  <w:style w:type="table" w:styleId="23">
    <w:name w:val="List Table 2"/>
    <w:basedOn w:val="a2"/>
    <w:uiPriority w:val="99"/>
    <w:pPr>
      <w:spacing w:after="0"/>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auto"/>
      </w:tcPr>
    </w:tblStylePr>
    <w:tblStylePr w:type="band1Horz">
      <w:rPr>
        <w:rFonts w:ascii="Arial" w:hAnsi="Arial"/>
        <w:color w:val="404040"/>
        <w:sz w:val="22"/>
      </w:rPr>
      <w:tblPr/>
      <w:tcPr>
        <w:shd w:val="clear" w:color="BFBFBF" w:themeColor="text1" w:themeTint="40" w:fill="auto"/>
      </w:tcPr>
    </w:tblStylePr>
  </w:style>
  <w:style w:type="table" w:customStyle="1" w:styleId="ListTable2-Accent1">
    <w:name w:val="List Table 2 - Accent 1"/>
    <w:basedOn w:val="a2"/>
    <w:uiPriority w:val="99"/>
    <w:pPr>
      <w:spacing w:after="0"/>
    </w:pPr>
    <w:tblPr>
      <w:tblStyleRowBandSize w:val="1"/>
      <w:tblStyleColBandSize w:val="1"/>
      <w:tblBorders>
        <w:top w:val="single" w:sz="4" w:space="0" w:color="9BB7D9" w:themeColor="accent1" w:themeTint="90"/>
        <w:bottom w:val="single" w:sz="4" w:space="0" w:color="9BB7D9" w:themeColor="accent1" w:themeTint="90"/>
        <w:insideH w:val="single" w:sz="4" w:space="0" w:color="9BB7D9" w:themeColor="accent1" w:themeTint="90"/>
      </w:tblBorders>
    </w:tblPr>
    <w:tblStylePr w:type="fir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la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2DFEE" w:themeColor="accent1" w:themeTint="40" w:fill="auto"/>
      </w:tcPr>
    </w:tblStylePr>
    <w:tblStylePr w:type="band1Horz">
      <w:rPr>
        <w:rFonts w:ascii="Arial" w:hAnsi="Arial"/>
        <w:color w:val="404040"/>
        <w:sz w:val="22"/>
      </w:rPr>
      <w:tblPr/>
      <w:tcPr>
        <w:shd w:val="clear" w:color="D2DFEE" w:themeColor="accent1" w:themeTint="40" w:fill="auto"/>
      </w:tcPr>
    </w:tblStylePr>
  </w:style>
  <w:style w:type="table" w:customStyle="1" w:styleId="ListTable2-Accent2">
    <w:name w:val="List Table 2 - Accent 2"/>
    <w:basedOn w:val="a2"/>
    <w:uiPriority w:val="99"/>
    <w:pPr>
      <w:spacing w:after="0"/>
    </w:pPr>
    <w:tblPr>
      <w:tblStyleRowBandSize w:val="1"/>
      <w:tblStyleColBandSize w:val="1"/>
      <w:tblBorders>
        <w:top w:val="single" w:sz="4" w:space="0" w:color="DB9B9A" w:themeColor="accent2" w:themeTint="90"/>
        <w:bottom w:val="single" w:sz="4" w:space="0" w:color="DB9B9A" w:themeColor="accent2" w:themeTint="90"/>
        <w:insideH w:val="single" w:sz="4" w:space="0" w:color="DB9B9A" w:themeColor="accent2" w:themeTint="90"/>
      </w:tblBorders>
    </w:tblPr>
    <w:tblStylePr w:type="fir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la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FD2D2" w:themeColor="accent2" w:themeTint="40" w:fill="auto"/>
      </w:tcPr>
    </w:tblStylePr>
    <w:tblStylePr w:type="band1Horz">
      <w:rPr>
        <w:rFonts w:ascii="Arial" w:hAnsi="Arial"/>
        <w:color w:val="404040"/>
        <w:sz w:val="22"/>
      </w:rPr>
      <w:tblPr/>
      <w:tcPr>
        <w:shd w:val="clear" w:color="EFD2D2" w:themeColor="accent2" w:themeTint="40" w:fill="auto"/>
      </w:tcPr>
    </w:tblStylePr>
  </w:style>
  <w:style w:type="table" w:customStyle="1" w:styleId="ListTable2-Accent3">
    <w:name w:val="List Table 2 - Accent 3"/>
    <w:basedOn w:val="a2"/>
    <w:uiPriority w:val="99"/>
    <w:pPr>
      <w:spacing w:after="0"/>
    </w:pPr>
    <w:tblPr>
      <w:tblStyleRowBandSize w:val="1"/>
      <w:tblStyleColBandSize w:val="1"/>
      <w:tblBorders>
        <w:top w:val="single" w:sz="4" w:space="0" w:color="C6D8A1" w:themeColor="accent3" w:themeTint="90"/>
        <w:bottom w:val="single" w:sz="4" w:space="0" w:color="C6D8A1" w:themeColor="accent3" w:themeTint="90"/>
        <w:insideH w:val="single" w:sz="4" w:space="0" w:color="C6D8A1" w:themeColor="accent3" w:themeTint="90"/>
      </w:tblBorders>
    </w:tblPr>
    <w:tblStylePr w:type="fir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la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5EED5" w:themeColor="accent3" w:themeTint="40" w:fill="auto"/>
      </w:tcPr>
    </w:tblStylePr>
    <w:tblStylePr w:type="band1Horz">
      <w:rPr>
        <w:rFonts w:ascii="Arial" w:hAnsi="Arial"/>
        <w:color w:val="404040"/>
        <w:sz w:val="22"/>
      </w:rPr>
      <w:tblPr/>
      <w:tcPr>
        <w:shd w:val="clear" w:color="E5EED5" w:themeColor="accent3" w:themeTint="40" w:fill="auto"/>
      </w:tcPr>
    </w:tblStylePr>
  </w:style>
  <w:style w:type="table" w:customStyle="1" w:styleId="ListTable2-Accent4">
    <w:name w:val="List Table 2 - Accent 4"/>
    <w:basedOn w:val="a2"/>
    <w:uiPriority w:val="99"/>
    <w:pPr>
      <w:spacing w:after="0"/>
    </w:pPr>
    <w:tblPr>
      <w:tblStyleRowBandSize w:val="1"/>
      <w:tblStyleColBandSize w:val="1"/>
      <w:tblBorders>
        <w:top w:val="single" w:sz="4" w:space="0" w:color="B7A7CA" w:themeColor="accent4" w:themeTint="90"/>
        <w:bottom w:val="single" w:sz="4" w:space="0" w:color="B7A7CA" w:themeColor="accent4" w:themeTint="90"/>
        <w:insideH w:val="single" w:sz="4" w:space="0" w:color="B7A7CA" w:themeColor="accent4" w:themeTint="90"/>
      </w:tblBorders>
    </w:tblPr>
    <w:tblStylePr w:type="fir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la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FD8E7" w:themeColor="accent4" w:themeTint="40" w:fill="auto"/>
      </w:tcPr>
    </w:tblStylePr>
    <w:tblStylePr w:type="band1Horz">
      <w:rPr>
        <w:rFonts w:ascii="Arial" w:hAnsi="Arial"/>
        <w:color w:val="404040"/>
        <w:sz w:val="22"/>
      </w:rPr>
      <w:tblPr/>
      <w:tcPr>
        <w:shd w:val="clear" w:color="DFD8E7" w:themeColor="accent4" w:themeTint="40" w:fill="auto"/>
      </w:tcPr>
    </w:tblStylePr>
  </w:style>
  <w:style w:type="table" w:customStyle="1" w:styleId="ListTable2-Accent5">
    <w:name w:val="List Table 2 - Accent 5"/>
    <w:basedOn w:val="a2"/>
    <w:uiPriority w:val="99"/>
    <w:pPr>
      <w:spacing w:after="0"/>
    </w:pPr>
    <w:tblPr>
      <w:tblStyleRowBandSize w:val="1"/>
      <w:tblStyleColBandSize w:val="1"/>
      <w:tblBorders>
        <w:top w:val="single" w:sz="4" w:space="0" w:color="99D0DE" w:themeColor="accent5" w:themeTint="90"/>
        <w:bottom w:val="single" w:sz="4" w:space="0" w:color="99D0DE" w:themeColor="accent5" w:themeTint="90"/>
        <w:insideH w:val="single" w:sz="4" w:space="0" w:color="99D0DE" w:themeColor="accent5" w:themeTint="90"/>
      </w:tblBorders>
    </w:tblPr>
    <w:tblStylePr w:type="fir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la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1EAF0" w:themeColor="accent5" w:themeTint="40" w:fill="auto"/>
      </w:tcPr>
    </w:tblStylePr>
    <w:tblStylePr w:type="band1Horz">
      <w:rPr>
        <w:rFonts w:ascii="Arial" w:hAnsi="Arial"/>
        <w:color w:val="404040"/>
        <w:sz w:val="22"/>
      </w:rPr>
      <w:tblPr/>
      <w:tcPr>
        <w:shd w:val="clear" w:color="D1EAF0" w:themeColor="accent5" w:themeTint="40" w:fill="auto"/>
      </w:tcPr>
    </w:tblStylePr>
  </w:style>
  <w:style w:type="table" w:customStyle="1" w:styleId="ListTable2-Accent6">
    <w:name w:val="List Table 2 - Accent 6"/>
    <w:basedOn w:val="a2"/>
    <w:uiPriority w:val="99"/>
    <w:pPr>
      <w:spacing w:after="0"/>
    </w:pPr>
    <w:tblPr>
      <w:tblStyleRowBandSize w:val="1"/>
      <w:tblStyleColBandSize w:val="1"/>
      <w:tblBorders>
        <w:top w:val="single" w:sz="4" w:space="0" w:color="FAC396" w:themeColor="accent6" w:themeTint="90"/>
        <w:bottom w:val="single" w:sz="4" w:space="0" w:color="FAC396" w:themeColor="accent6" w:themeTint="90"/>
        <w:insideH w:val="single" w:sz="4" w:space="0" w:color="FAC396" w:themeColor="accent6" w:themeTint="90"/>
      </w:tblBorders>
    </w:tblPr>
    <w:tblStylePr w:type="fir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la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DE4D0" w:themeColor="accent6" w:themeTint="40" w:fill="auto"/>
      </w:tcPr>
    </w:tblStylePr>
    <w:tblStylePr w:type="band1Horz">
      <w:rPr>
        <w:rFonts w:ascii="Arial" w:hAnsi="Arial"/>
        <w:color w:val="404040"/>
        <w:sz w:val="22"/>
      </w:rPr>
      <w:tblPr/>
      <w:tcPr>
        <w:shd w:val="clear" w:color="FDE4D0" w:themeColor="accent6" w:themeTint="40" w:fill="auto"/>
      </w:tcPr>
    </w:tblStylePr>
  </w:style>
  <w:style w:type="table" w:styleId="33">
    <w:name w:val="List Table 3"/>
    <w:basedOn w:val="a2"/>
    <w:uiPriority w:val="99"/>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a2"/>
    <w:uiPriority w:val="99"/>
    <w:pPr>
      <w:spacing w:after="0"/>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rFonts w:ascii="Arial" w:hAnsi="Arial"/>
        <w:b/>
        <w:color w:val="FFFFFF"/>
        <w:sz w:val="22"/>
      </w:rPr>
      <w:tblPr/>
      <w:tcPr>
        <w:shd w:val="clear" w:color="4F81BD" w:themeColor="accent1"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F81BD" w:themeColor="accent1"/>
          <w:right w:val="single" w:sz="4" w:space="0" w:color="4F81BD" w:themeColor="accent1"/>
        </w:tcBorders>
      </w:tcPr>
    </w:tblStylePr>
    <w:tblStylePr w:type="band1Horz">
      <w:rPr>
        <w:rFonts w:ascii="Arial" w:hAnsi="Arial"/>
        <w:color w:val="404040"/>
        <w:sz w:val="22"/>
      </w:rPr>
      <w:tblPr/>
      <w:tcPr>
        <w:tcBorders>
          <w:top w:val="single" w:sz="4" w:space="0" w:color="4F81BD" w:themeColor="accent1"/>
          <w:bottom w:val="single" w:sz="4" w:space="0" w:color="4F81BD" w:themeColor="accent1"/>
        </w:tcBorders>
      </w:tcPr>
    </w:tblStylePr>
  </w:style>
  <w:style w:type="table" w:customStyle="1" w:styleId="ListTable3-Accent2">
    <w:name w:val="List Table 3 - Accent 2"/>
    <w:basedOn w:val="a2"/>
    <w:uiPriority w:val="99"/>
    <w:pPr>
      <w:spacing w:after="0"/>
    </w:pPr>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blBorders>
    </w:tblPr>
    <w:tblStylePr w:type="firstRow">
      <w:rPr>
        <w:rFonts w:ascii="Arial" w:hAnsi="Arial"/>
        <w:b/>
        <w:color w:val="FFFFFF"/>
        <w:sz w:val="22"/>
      </w:rPr>
      <w:tblPr/>
      <w:tcPr>
        <w:shd w:val="clear" w:color="D99695" w:themeColor="accent2" w:themeTint="97"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99695" w:themeColor="accent2" w:themeTint="97"/>
          <w:right w:val="single" w:sz="4" w:space="0" w:color="D99695" w:themeColor="accent2" w:themeTint="97"/>
        </w:tcBorders>
      </w:tcPr>
    </w:tblStylePr>
    <w:tblStylePr w:type="band1Horz">
      <w:rPr>
        <w:rFonts w:ascii="Arial" w:hAnsi="Arial"/>
        <w:color w:val="404040"/>
        <w:sz w:val="22"/>
      </w:rPr>
      <w:tblPr/>
      <w:tcPr>
        <w:tcBorders>
          <w:top w:val="single" w:sz="4" w:space="0" w:color="D99695" w:themeColor="accent2" w:themeTint="97"/>
          <w:bottom w:val="single" w:sz="4" w:space="0" w:color="D99695" w:themeColor="accent2" w:themeTint="97"/>
        </w:tcBorders>
      </w:tcPr>
    </w:tblStylePr>
  </w:style>
  <w:style w:type="table" w:customStyle="1" w:styleId="ListTable3-Accent3">
    <w:name w:val="List Table 3 - Accent 3"/>
    <w:basedOn w:val="a2"/>
    <w:uiPriority w:val="99"/>
    <w:pPr>
      <w:spacing w:after="0"/>
    </w:pPr>
    <w:tblPr>
      <w:tblStyleRowBandSize w:val="1"/>
      <w:tblStyleColBandSize w:val="1"/>
      <w:tblBorders>
        <w:top w:val="single" w:sz="4" w:space="0" w:color="C3D69B" w:themeColor="accent3" w:themeTint="98"/>
        <w:left w:val="single" w:sz="4" w:space="0" w:color="C3D69B" w:themeColor="accent3" w:themeTint="98"/>
        <w:bottom w:val="single" w:sz="4" w:space="0" w:color="C3D69B" w:themeColor="accent3" w:themeTint="98"/>
        <w:right w:val="single" w:sz="4" w:space="0" w:color="C3D69B" w:themeColor="accent3" w:themeTint="98"/>
      </w:tblBorders>
    </w:tblPr>
    <w:tblStylePr w:type="firstRow">
      <w:rPr>
        <w:rFonts w:ascii="Arial" w:hAnsi="Arial"/>
        <w:b/>
        <w:color w:val="FFFFFF"/>
        <w:sz w:val="22"/>
      </w:rPr>
      <w:tblPr/>
      <w:tcPr>
        <w:shd w:val="clear" w:color="C3D69B" w:themeColor="accent3" w:themeTint="98"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3D69B" w:themeColor="accent3" w:themeTint="98"/>
          <w:right w:val="single" w:sz="4" w:space="0" w:color="C3D69B" w:themeColor="accent3" w:themeTint="98"/>
        </w:tcBorders>
      </w:tcPr>
    </w:tblStylePr>
    <w:tblStylePr w:type="band1Horz">
      <w:rPr>
        <w:rFonts w:ascii="Arial" w:hAnsi="Arial"/>
        <w:color w:val="404040"/>
        <w:sz w:val="22"/>
      </w:rPr>
      <w:tblPr/>
      <w:tcPr>
        <w:tcBorders>
          <w:top w:val="single" w:sz="4" w:space="0" w:color="C3D69B" w:themeColor="accent3" w:themeTint="98"/>
          <w:bottom w:val="single" w:sz="4" w:space="0" w:color="C3D69B" w:themeColor="accent3" w:themeTint="98"/>
        </w:tcBorders>
      </w:tcPr>
    </w:tblStylePr>
  </w:style>
  <w:style w:type="table" w:customStyle="1" w:styleId="ListTable3-Accent4">
    <w:name w:val="List Table 3 - Accent 4"/>
    <w:basedOn w:val="a2"/>
    <w:uiPriority w:val="99"/>
    <w:pPr>
      <w:spacing w:after="0"/>
    </w:pPr>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blBorders>
    </w:tblPr>
    <w:tblStylePr w:type="firstRow">
      <w:rPr>
        <w:rFonts w:ascii="Arial" w:hAnsi="Arial"/>
        <w:b/>
        <w:color w:val="FFFFFF"/>
        <w:sz w:val="22"/>
      </w:rPr>
      <w:tblPr/>
      <w:tcPr>
        <w:shd w:val="clear" w:color="B2A1C6" w:themeColor="accent4" w:themeTint="9A"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B2A1C6" w:themeColor="accent4" w:themeTint="9A"/>
          <w:right w:val="single" w:sz="4" w:space="0" w:color="B2A1C6" w:themeColor="accent4" w:themeTint="9A"/>
        </w:tcBorders>
      </w:tcPr>
    </w:tblStylePr>
    <w:tblStylePr w:type="band1Horz">
      <w:rPr>
        <w:rFonts w:ascii="Arial" w:hAnsi="Arial"/>
        <w:color w:val="404040"/>
        <w:sz w:val="22"/>
      </w:rPr>
      <w:tblPr/>
      <w:tcPr>
        <w:tcBorders>
          <w:top w:val="single" w:sz="4" w:space="0" w:color="B2A1C6" w:themeColor="accent4" w:themeTint="9A"/>
          <w:bottom w:val="single" w:sz="4" w:space="0" w:color="B2A1C6" w:themeColor="accent4" w:themeTint="9A"/>
        </w:tcBorders>
      </w:tcPr>
    </w:tblStylePr>
  </w:style>
  <w:style w:type="table" w:customStyle="1" w:styleId="ListTable3-Accent5">
    <w:name w:val="List Table 3 - Accent 5"/>
    <w:basedOn w:val="a2"/>
    <w:uiPriority w:val="99"/>
    <w:pPr>
      <w:spacing w:after="0"/>
    </w:pPr>
    <w:tblPr>
      <w:tblStyleRowBandSize w:val="1"/>
      <w:tblStyleColBandSize w:val="1"/>
      <w:tblBorders>
        <w:top w:val="single" w:sz="4" w:space="0" w:color="92CCDC" w:themeColor="accent5" w:themeTint="9A"/>
        <w:left w:val="single" w:sz="4" w:space="0" w:color="92CCDC" w:themeColor="accent5" w:themeTint="9A"/>
        <w:bottom w:val="single" w:sz="4" w:space="0" w:color="92CCDC" w:themeColor="accent5" w:themeTint="9A"/>
        <w:right w:val="single" w:sz="4" w:space="0" w:color="92CCDC" w:themeColor="accent5" w:themeTint="9A"/>
      </w:tblBorders>
    </w:tblPr>
    <w:tblStylePr w:type="firstRow">
      <w:rPr>
        <w:rFonts w:ascii="Arial" w:hAnsi="Arial"/>
        <w:b/>
        <w:color w:val="FFFFFF"/>
        <w:sz w:val="22"/>
      </w:rPr>
      <w:tblPr/>
      <w:tcPr>
        <w:shd w:val="clear" w:color="92CCDC" w:themeColor="accent5" w:themeTint="9A"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2CCDC" w:themeColor="accent5" w:themeTint="9A"/>
          <w:right w:val="single" w:sz="4" w:space="0" w:color="92CCDC" w:themeColor="accent5" w:themeTint="9A"/>
        </w:tcBorders>
      </w:tcPr>
    </w:tblStylePr>
    <w:tblStylePr w:type="band1Horz">
      <w:rPr>
        <w:rFonts w:ascii="Arial" w:hAnsi="Arial"/>
        <w:color w:val="404040"/>
        <w:sz w:val="22"/>
      </w:rPr>
      <w:tblPr/>
      <w:tcPr>
        <w:tcBorders>
          <w:top w:val="single" w:sz="4" w:space="0" w:color="92CCDC" w:themeColor="accent5" w:themeTint="9A"/>
          <w:bottom w:val="single" w:sz="4" w:space="0" w:color="92CCDC" w:themeColor="accent5" w:themeTint="9A"/>
        </w:tcBorders>
      </w:tcPr>
    </w:tblStylePr>
  </w:style>
  <w:style w:type="table" w:customStyle="1" w:styleId="ListTable3-Accent6">
    <w:name w:val="List Table 3 - Accent 6"/>
    <w:basedOn w:val="a2"/>
    <w:uiPriority w:val="99"/>
    <w:pPr>
      <w:spacing w:after="0"/>
    </w:pPr>
    <w:tblPr>
      <w:tblStyleRowBandSize w:val="1"/>
      <w:tblStyleColBandSize w:val="1"/>
      <w:tblBorders>
        <w:top w:val="single" w:sz="4" w:space="0" w:color="FAC090" w:themeColor="accent6" w:themeTint="98"/>
        <w:left w:val="single" w:sz="4" w:space="0" w:color="FAC090" w:themeColor="accent6" w:themeTint="98"/>
        <w:bottom w:val="single" w:sz="4" w:space="0" w:color="FAC090" w:themeColor="accent6" w:themeTint="98"/>
        <w:right w:val="single" w:sz="4" w:space="0" w:color="FAC090" w:themeColor="accent6" w:themeTint="98"/>
      </w:tblBorders>
    </w:tblPr>
    <w:tblStylePr w:type="firstRow">
      <w:rPr>
        <w:rFonts w:ascii="Arial" w:hAnsi="Arial"/>
        <w:b/>
        <w:color w:val="FFFFFF"/>
        <w:sz w:val="22"/>
      </w:rPr>
      <w:tblPr/>
      <w:tcPr>
        <w:shd w:val="clear" w:color="FAC090" w:themeColor="accent6" w:themeTint="98"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AC090" w:themeColor="accent6" w:themeTint="98"/>
          <w:right w:val="single" w:sz="4" w:space="0" w:color="FAC090" w:themeColor="accent6" w:themeTint="98"/>
        </w:tcBorders>
      </w:tcPr>
    </w:tblStylePr>
    <w:tblStylePr w:type="band1Horz">
      <w:rPr>
        <w:rFonts w:ascii="Arial" w:hAnsi="Arial"/>
        <w:color w:val="404040"/>
        <w:sz w:val="22"/>
      </w:rPr>
      <w:tblPr/>
      <w:tcPr>
        <w:tcBorders>
          <w:top w:val="single" w:sz="4" w:space="0" w:color="FAC090" w:themeColor="accent6" w:themeTint="98"/>
          <w:bottom w:val="single" w:sz="4" w:space="0" w:color="FAC090" w:themeColor="accent6" w:themeTint="98"/>
        </w:tcBorders>
      </w:tcPr>
    </w:tblStylePr>
  </w:style>
  <w:style w:type="table" w:styleId="43">
    <w:name w:val="List Table 4"/>
    <w:basedOn w:val="a2"/>
    <w:uiPriority w:val="99"/>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auto"/>
      </w:tcPr>
    </w:tblStylePr>
    <w:tblStylePr w:type="band1Horz">
      <w:rPr>
        <w:rFonts w:ascii="Arial" w:hAnsi="Arial"/>
        <w:color w:val="404040"/>
        <w:sz w:val="22"/>
      </w:rPr>
      <w:tblPr/>
      <w:tcPr>
        <w:shd w:val="clear" w:color="BFBFBF" w:themeColor="text1" w:themeTint="40" w:fill="auto"/>
      </w:tcPr>
    </w:tblStylePr>
  </w:style>
  <w:style w:type="table" w:customStyle="1" w:styleId="ListTable4-Accent1">
    <w:name w:val="List Table 4 - Accent 1"/>
    <w:basedOn w:val="a2"/>
    <w:uiPriority w:val="99"/>
    <w:pPr>
      <w:spacing w:after="0"/>
    </w:pPr>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tblBorders>
    </w:tblPr>
    <w:tblStylePr w:type="firstRow">
      <w:rPr>
        <w:rFonts w:ascii="Arial" w:hAnsi="Arial"/>
        <w:b/>
        <w:color w:val="FFFFFF"/>
        <w:sz w:val="22"/>
      </w:rPr>
      <w:tblPr/>
      <w:tcPr>
        <w:shd w:val="clear" w:color="4F81BD" w:themeColor="accent1"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2DFEE" w:themeColor="accent1" w:themeTint="40" w:fill="auto"/>
      </w:tcPr>
    </w:tblStylePr>
    <w:tblStylePr w:type="band1Horz">
      <w:rPr>
        <w:rFonts w:ascii="Arial" w:hAnsi="Arial"/>
        <w:color w:val="404040"/>
        <w:sz w:val="22"/>
      </w:rPr>
      <w:tblPr/>
      <w:tcPr>
        <w:shd w:val="clear" w:color="D2DFEE" w:themeColor="accent1" w:themeTint="40" w:fill="auto"/>
      </w:tcPr>
    </w:tblStylePr>
  </w:style>
  <w:style w:type="table" w:customStyle="1" w:styleId="ListTable4-Accent2">
    <w:name w:val="List Table 4 - Accent 2"/>
    <w:basedOn w:val="a2"/>
    <w:uiPriority w:val="99"/>
    <w:pPr>
      <w:spacing w:after="0"/>
    </w:pPr>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tblBorders>
    </w:tblPr>
    <w:tblStylePr w:type="firstRow">
      <w:rPr>
        <w:rFonts w:ascii="Arial" w:hAnsi="Arial"/>
        <w:b/>
        <w:color w:val="FFFFFF"/>
        <w:sz w:val="22"/>
      </w:rPr>
      <w:tblPr/>
      <w:tcPr>
        <w:shd w:val="clear" w:color="C0504D" w:themeColor="accent2"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FD2D2" w:themeColor="accent2" w:themeTint="40" w:fill="auto"/>
      </w:tcPr>
    </w:tblStylePr>
    <w:tblStylePr w:type="band1Horz">
      <w:rPr>
        <w:rFonts w:ascii="Arial" w:hAnsi="Arial"/>
        <w:color w:val="404040"/>
        <w:sz w:val="22"/>
      </w:rPr>
      <w:tblPr/>
      <w:tcPr>
        <w:shd w:val="clear" w:color="EFD2D2" w:themeColor="accent2" w:themeTint="40" w:fill="auto"/>
      </w:tcPr>
    </w:tblStylePr>
  </w:style>
  <w:style w:type="table" w:customStyle="1" w:styleId="ListTable4-Accent3">
    <w:name w:val="List Table 4 - Accent 3"/>
    <w:basedOn w:val="a2"/>
    <w:uiPriority w:val="99"/>
    <w:pPr>
      <w:spacing w:after="0"/>
    </w:pPr>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tblBorders>
    </w:tblPr>
    <w:tblStylePr w:type="firstRow">
      <w:rPr>
        <w:rFonts w:ascii="Arial" w:hAnsi="Arial"/>
        <w:b/>
        <w:color w:val="FFFFFF"/>
        <w:sz w:val="22"/>
      </w:rPr>
      <w:tblPr/>
      <w:tcPr>
        <w:shd w:val="clear" w:color="9BBB59" w:themeColor="accent3"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EED5" w:themeColor="accent3" w:themeTint="40" w:fill="auto"/>
      </w:tcPr>
    </w:tblStylePr>
    <w:tblStylePr w:type="band1Horz">
      <w:rPr>
        <w:rFonts w:ascii="Arial" w:hAnsi="Arial"/>
        <w:color w:val="404040"/>
        <w:sz w:val="22"/>
      </w:rPr>
      <w:tblPr/>
      <w:tcPr>
        <w:shd w:val="clear" w:color="E5EED5" w:themeColor="accent3" w:themeTint="40" w:fill="auto"/>
      </w:tcPr>
    </w:tblStylePr>
  </w:style>
  <w:style w:type="table" w:customStyle="1" w:styleId="ListTable4-Accent4">
    <w:name w:val="List Table 4 - Accent 4"/>
    <w:basedOn w:val="a2"/>
    <w:uiPriority w:val="99"/>
    <w:pPr>
      <w:spacing w:after="0"/>
    </w:pPr>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tblBorders>
    </w:tblPr>
    <w:tblStylePr w:type="firstRow">
      <w:rPr>
        <w:rFonts w:ascii="Arial" w:hAnsi="Arial"/>
        <w:b/>
        <w:color w:val="FFFFFF"/>
        <w:sz w:val="22"/>
      </w:rPr>
      <w:tblPr/>
      <w:tcPr>
        <w:shd w:val="clear" w:color="8064A2" w:themeColor="accent4"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FD8E7" w:themeColor="accent4" w:themeTint="40" w:fill="auto"/>
      </w:tcPr>
    </w:tblStylePr>
    <w:tblStylePr w:type="band1Horz">
      <w:rPr>
        <w:rFonts w:ascii="Arial" w:hAnsi="Arial"/>
        <w:color w:val="404040"/>
        <w:sz w:val="22"/>
      </w:rPr>
      <w:tblPr/>
      <w:tcPr>
        <w:shd w:val="clear" w:color="DFD8E7" w:themeColor="accent4" w:themeTint="40" w:fill="auto"/>
      </w:tcPr>
    </w:tblStylePr>
  </w:style>
  <w:style w:type="table" w:customStyle="1" w:styleId="ListTable4-Accent5">
    <w:name w:val="List Table 4 - Accent 5"/>
    <w:basedOn w:val="a2"/>
    <w:uiPriority w:val="99"/>
    <w:pPr>
      <w:spacing w:after="0"/>
    </w:pPr>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tblBorders>
    </w:tblPr>
    <w:tblStylePr w:type="firstRow">
      <w:rPr>
        <w:rFonts w:ascii="Arial" w:hAnsi="Arial"/>
        <w:b/>
        <w:color w:val="FFFFFF"/>
        <w:sz w:val="22"/>
      </w:rPr>
      <w:tblPr/>
      <w:tcPr>
        <w:shd w:val="clear" w:color="4BACC6" w:themeColor="accent5"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1EAF0" w:themeColor="accent5" w:themeTint="40" w:fill="auto"/>
      </w:tcPr>
    </w:tblStylePr>
    <w:tblStylePr w:type="band1Horz">
      <w:rPr>
        <w:rFonts w:ascii="Arial" w:hAnsi="Arial"/>
        <w:color w:val="404040"/>
        <w:sz w:val="22"/>
      </w:rPr>
      <w:tblPr/>
      <w:tcPr>
        <w:shd w:val="clear" w:color="D1EAF0" w:themeColor="accent5" w:themeTint="40" w:fill="auto"/>
      </w:tcPr>
    </w:tblStylePr>
  </w:style>
  <w:style w:type="table" w:customStyle="1" w:styleId="ListTable4-Accent6">
    <w:name w:val="List Table 4 - Accent 6"/>
    <w:basedOn w:val="a2"/>
    <w:uiPriority w:val="99"/>
    <w:pPr>
      <w:spacing w:after="0"/>
    </w:pPr>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tblBorders>
    </w:tblPr>
    <w:tblStylePr w:type="firstRow">
      <w:rPr>
        <w:rFonts w:ascii="Arial" w:hAnsi="Arial"/>
        <w:b/>
        <w:color w:val="FFFFFF"/>
        <w:sz w:val="22"/>
      </w:rPr>
      <w:tblPr/>
      <w:tcPr>
        <w:shd w:val="clear" w:color="F79646" w:themeColor="accent6"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4D0" w:themeColor="accent6" w:themeTint="40" w:fill="auto"/>
      </w:tcPr>
    </w:tblStylePr>
    <w:tblStylePr w:type="band1Horz">
      <w:rPr>
        <w:rFonts w:ascii="Arial" w:hAnsi="Arial"/>
        <w:color w:val="404040"/>
        <w:sz w:val="22"/>
      </w:rPr>
      <w:tblPr/>
      <w:tcPr>
        <w:shd w:val="clear" w:color="FDE4D0" w:themeColor="accent6" w:themeTint="40" w:fill="auto"/>
      </w:tcPr>
    </w:tblStylePr>
  </w:style>
  <w:style w:type="table" w:styleId="53">
    <w:name w:val="List Table 5 Dark"/>
    <w:basedOn w:val="a2"/>
    <w:uiPriority w:val="99"/>
    <w:pPr>
      <w:spacing w:after="0"/>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auto"/>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auto"/>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auto"/>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auto"/>
      </w:tcPr>
    </w:tblStylePr>
    <w:tblStylePr w:type="band2Horz">
      <w:tblPr/>
      <w:tcPr>
        <w:tcBorders>
          <w:top w:val="single" w:sz="4" w:space="0" w:color="FFFFFF" w:themeColor="light1"/>
          <w:bottom w:val="single" w:sz="4" w:space="0" w:color="FFFFFF" w:themeColor="light1"/>
        </w:tcBorders>
        <w:shd w:val="clear" w:color="7F7F7F" w:themeColor="text1" w:themeTint="80" w:fill="auto"/>
      </w:tcPr>
    </w:tblStylePr>
  </w:style>
  <w:style w:type="table" w:customStyle="1" w:styleId="ListTable5Dark-Accent1">
    <w:name w:val="List Table 5 Dark - Accent 1"/>
    <w:basedOn w:val="a2"/>
    <w:uiPriority w:val="99"/>
    <w:pPr>
      <w:spacing w:after="0"/>
    </w:pPr>
    <w:tblPr>
      <w:tblStyleRowBandSize w:val="1"/>
      <w:tblStyleColBandSize w:val="1"/>
      <w:tblBorders>
        <w:top w:val="single" w:sz="32" w:space="0" w:color="4F81BD" w:themeColor="accent1"/>
        <w:left w:val="single" w:sz="32" w:space="0" w:color="4F81BD" w:themeColor="accent1"/>
        <w:bottom w:val="single" w:sz="32" w:space="0" w:color="4F81BD" w:themeColor="accent1"/>
        <w:right w:val="single" w:sz="32" w:space="0" w:color="4F81BD" w:themeColor="accent1"/>
      </w:tblBorders>
      <w:shd w:val="clear" w:color="4F81BD" w:themeColor="accent1" w:fill="auto"/>
    </w:tblPr>
    <w:tblStylePr w:type="firstRow">
      <w:rPr>
        <w:rFonts w:ascii="Arial" w:hAnsi="Arial"/>
        <w:b/>
        <w:color w:val="FFFFFF" w:themeColor="light1"/>
        <w:sz w:val="22"/>
      </w:rPr>
      <w:tblPr/>
      <w:tcPr>
        <w:tcBorders>
          <w:top w:val="single" w:sz="32" w:space="0" w:color="4F81BD" w:themeColor="accent1"/>
          <w:bottom w:val="single" w:sz="12" w:space="0" w:color="FFFFFF" w:themeColor="light1"/>
        </w:tcBorders>
        <w:shd w:val="clear" w:color="4F81BD" w:themeColor="accent1" w:fill="auto"/>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F81BD" w:themeColor="accent1"/>
          <w:right w:val="single" w:sz="4" w:space="0" w:color="FFFFFF" w:themeColor="light1"/>
        </w:tcBorders>
      </w:tcPr>
    </w:tblStylePr>
    <w:tblStylePr w:type="lastCol">
      <w:tblPr/>
      <w:tcPr>
        <w:tcBorders>
          <w:left w:val="single" w:sz="4" w:space="0" w:color="FFFFFF" w:themeColor="light1"/>
          <w:right w:val="single" w:sz="32" w:space="0" w:color="4F81BD" w:themeColor="accent1"/>
        </w:tcBorders>
      </w:tcPr>
    </w:tblStylePr>
    <w:tblStylePr w:type="band1Vert">
      <w:tblPr/>
      <w:tcPr>
        <w:tcBorders>
          <w:left w:val="single" w:sz="4" w:space="0" w:color="FFFFFF" w:themeColor="light1"/>
          <w:right w:val="single" w:sz="4" w:space="0" w:color="FFFFFF" w:themeColor="light1"/>
        </w:tcBorders>
        <w:shd w:val="clear" w:color="4F81BD" w:themeColor="accent1" w:fill="auto"/>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F81BD" w:themeColor="accent1" w:fill="auto"/>
      </w:tcPr>
    </w:tblStylePr>
    <w:tblStylePr w:type="band2Horz">
      <w:tblPr/>
      <w:tcPr>
        <w:tcBorders>
          <w:top w:val="single" w:sz="4" w:space="0" w:color="FFFFFF" w:themeColor="light1"/>
          <w:bottom w:val="single" w:sz="4" w:space="0" w:color="FFFFFF" w:themeColor="light1"/>
        </w:tcBorders>
        <w:shd w:val="clear" w:color="4F81BD" w:themeColor="accent1" w:fill="auto"/>
      </w:tcPr>
    </w:tblStylePr>
  </w:style>
  <w:style w:type="table" w:customStyle="1" w:styleId="ListTable5Dark-Accent2">
    <w:name w:val="List Table 5 Dark - Accent 2"/>
    <w:basedOn w:val="a2"/>
    <w:uiPriority w:val="99"/>
    <w:pPr>
      <w:spacing w:after="0"/>
    </w:pPr>
    <w:tblPr>
      <w:tblStyleRowBandSize w:val="1"/>
      <w:tblStyleColBandSize w:val="1"/>
      <w:tblBorders>
        <w:top w:val="single" w:sz="32" w:space="0" w:color="D99695" w:themeColor="accent2" w:themeTint="97"/>
        <w:left w:val="single" w:sz="32" w:space="0" w:color="D99695" w:themeColor="accent2" w:themeTint="97"/>
        <w:bottom w:val="single" w:sz="32" w:space="0" w:color="D99695" w:themeColor="accent2" w:themeTint="97"/>
        <w:right w:val="single" w:sz="32" w:space="0" w:color="D99695" w:themeColor="accent2" w:themeTint="97"/>
      </w:tblBorders>
      <w:shd w:val="clear" w:color="D99695" w:themeColor="accent2" w:themeTint="97" w:fill="auto"/>
    </w:tblPr>
    <w:tblStylePr w:type="firstRow">
      <w:rPr>
        <w:rFonts w:ascii="Arial" w:hAnsi="Arial"/>
        <w:b/>
        <w:color w:val="FFFFFF" w:themeColor="light1"/>
        <w:sz w:val="22"/>
      </w:rPr>
      <w:tblPr/>
      <w:tcPr>
        <w:tcBorders>
          <w:top w:val="single" w:sz="32" w:space="0" w:color="D99695" w:themeColor="accent2" w:themeTint="97"/>
          <w:bottom w:val="single" w:sz="12" w:space="0" w:color="FFFFFF" w:themeColor="light1"/>
        </w:tcBorders>
        <w:shd w:val="clear" w:color="D99695" w:themeColor="accent2" w:themeTint="97" w:fill="auto"/>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99695" w:themeColor="accent2" w:themeTint="97"/>
          <w:right w:val="single" w:sz="4" w:space="0" w:color="FFFFFF" w:themeColor="light1"/>
        </w:tcBorders>
      </w:tcPr>
    </w:tblStylePr>
    <w:tblStylePr w:type="lastCol">
      <w:tblPr/>
      <w:tcPr>
        <w:tcBorders>
          <w:left w:val="single" w:sz="4" w:space="0" w:color="FFFFFF" w:themeColor="light1"/>
          <w:right w:val="single" w:sz="32" w:space="0" w:color="D99695" w:themeColor="accent2" w:themeTint="97"/>
        </w:tcBorders>
      </w:tcPr>
    </w:tblStylePr>
    <w:tblStylePr w:type="band1Vert">
      <w:tblPr/>
      <w:tcPr>
        <w:tcBorders>
          <w:left w:val="single" w:sz="4" w:space="0" w:color="FFFFFF" w:themeColor="light1"/>
          <w:right w:val="single" w:sz="4" w:space="0" w:color="FFFFFF" w:themeColor="light1"/>
        </w:tcBorders>
        <w:shd w:val="clear" w:color="D99695" w:themeColor="accent2" w:themeTint="97" w:fill="auto"/>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D99695" w:themeColor="accent2" w:themeTint="97" w:fill="auto"/>
      </w:tcPr>
    </w:tblStylePr>
    <w:tblStylePr w:type="band2Horz">
      <w:tblPr/>
      <w:tcPr>
        <w:tcBorders>
          <w:top w:val="single" w:sz="4" w:space="0" w:color="FFFFFF" w:themeColor="light1"/>
          <w:bottom w:val="single" w:sz="4" w:space="0" w:color="FFFFFF" w:themeColor="light1"/>
        </w:tcBorders>
        <w:shd w:val="clear" w:color="D99695" w:themeColor="accent2" w:themeTint="97" w:fill="auto"/>
      </w:tcPr>
    </w:tblStylePr>
  </w:style>
  <w:style w:type="table" w:customStyle="1" w:styleId="ListTable5Dark-Accent3">
    <w:name w:val="List Table 5 Dark - Accent 3"/>
    <w:basedOn w:val="a2"/>
    <w:uiPriority w:val="99"/>
    <w:pPr>
      <w:spacing w:after="0"/>
    </w:pPr>
    <w:tblPr>
      <w:tblStyleRowBandSize w:val="1"/>
      <w:tblStyleColBandSize w:val="1"/>
      <w:tblBorders>
        <w:top w:val="single" w:sz="32" w:space="0" w:color="C3D69B" w:themeColor="accent3" w:themeTint="98"/>
        <w:left w:val="single" w:sz="32" w:space="0" w:color="C3D69B" w:themeColor="accent3" w:themeTint="98"/>
        <w:bottom w:val="single" w:sz="32" w:space="0" w:color="C3D69B" w:themeColor="accent3" w:themeTint="98"/>
        <w:right w:val="single" w:sz="32" w:space="0" w:color="C3D69B" w:themeColor="accent3" w:themeTint="98"/>
      </w:tblBorders>
      <w:shd w:val="clear" w:color="C3D69B" w:themeColor="accent3" w:themeTint="98" w:fill="auto"/>
    </w:tblPr>
    <w:tblStylePr w:type="firstRow">
      <w:rPr>
        <w:rFonts w:ascii="Arial" w:hAnsi="Arial"/>
        <w:b/>
        <w:color w:val="FFFFFF" w:themeColor="light1"/>
        <w:sz w:val="22"/>
      </w:rPr>
      <w:tblPr/>
      <w:tcPr>
        <w:tcBorders>
          <w:top w:val="single" w:sz="32" w:space="0" w:color="C3D69B" w:themeColor="accent3" w:themeTint="98"/>
          <w:bottom w:val="single" w:sz="12" w:space="0" w:color="FFFFFF" w:themeColor="light1"/>
        </w:tcBorders>
        <w:shd w:val="clear" w:color="C3D69B" w:themeColor="accent3" w:themeTint="98" w:fill="auto"/>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3D69B" w:themeColor="accent3" w:themeTint="98"/>
          <w:right w:val="single" w:sz="4" w:space="0" w:color="FFFFFF" w:themeColor="light1"/>
        </w:tcBorders>
      </w:tcPr>
    </w:tblStylePr>
    <w:tblStylePr w:type="lastCol">
      <w:tblPr/>
      <w:tcPr>
        <w:tcBorders>
          <w:left w:val="single" w:sz="4" w:space="0" w:color="FFFFFF" w:themeColor="light1"/>
          <w:right w:val="single" w:sz="32" w:space="0" w:color="C3D69B" w:themeColor="accent3" w:themeTint="98"/>
        </w:tcBorders>
      </w:tcPr>
    </w:tblStylePr>
    <w:tblStylePr w:type="band1Vert">
      <w:tblPr/>
      <w:tcPr>
        <w:tcBorders>
          <w:left w:val="single" w:sz="4" w:space="0" w:color="FFFFFF" w:themeColor="light1"/>
          <w:right w:val="single" w:sz="4" w:space="0" w:color="FFFFFF" w:themeColor="light1"/>
        </w:tcBorders>
        <w:shd w:val="clear" w:color="C3D69B" w:themeColor="accent3" w:themeTint="98" w:fill="auto"/>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3D69B" w:themeColor="accent3" w:themeTint="98" w:fill="auto"/>
      </w:tcPr>
    </w:tblStylePr>
    <w:tblStylePr w:type="band2Horz">
      <w:tblPr/>
      <w:tcPr>
        <w:tcBorders>
          <w:top w:val="single" w:sz="4" w:space="0" w:color="FFFFFF" w:themeColor="light1"/>
          <w:bottom w:val="single" w:sz="4" w:space="0" w:color="FFFFFF" w:themeColor="light1"/>
        </w:tcBorders>
        <w:shd w:val="clear" w:color="C3D69B" w:themeColor="accent3" w:themeTint="98" w:fill="auto"/>
      </w:tcPr>
    </w:tblStylePr>
  </w:style>
  <w:style w:type="table" w:customStyle="1" w:styleId="ListTable5Dark-Accent4">
    <w:name w:val="List Table 5 Dark - Accent 4"/>
    <w:basedOn w:val="a2"/>
    <w:uiPriority w:val="99"/>
    <w:pPr>
      <w:spacing w:after="0"/>
    </w:pPr>
    <w:tblPr>
      <w:tblStyleRowBandSize w:val="1"/>
      <w:tblStyleColBandSize w:val="1"/>
      <w:tblBorders>
        <w:top w:val="single" w:sz="32" w:space="0" w:color="B2A1C6" w:themeColor="accent4" w:themeTint="9A"/>
        <w:left w:val="single" w:sz="32" w:space="0" w:color="B2A1C6" w:themeColor="accent4" w:themeTint="9A"/>
        <w:bottom w:val="single" w:sz="32" w:space="0" w:color="B2A1C6" w:themeColor="accent4" w:themeTint="9A"/>
        <w:right w:val="single" w:sz="32" w:space="0" w:color="B2A1C6" w:themeColor="accent4" w:themeTint="9A"/>
      </w:tblBorders>
      <w:shd w:val="clear" w:color="B2A1C6" w:themeColor="accent4" w:themeTint="9A" w:fill="auto"/>
    </w:tblPr>
    <w:tblStylePr w:type="firstRow">
      <w:rPr>
        <w:rFonts w:ascii="Arial" w:hAnsi="Arial"/>
        <w:b/>
        <w:color w:val="FFFFFF" w:themeColor="light1"/>
        <w:sz w:val="22"/>
      </w:rPr>
      <w:tblPr/>
      <w:tcPr>
        <w:tcBorders>
          <w:top w:val="single" w:sz="32" w:space="0" w:color="B2A1C6" w:themeColor="accent4" w:themeTint="9A"/>
          <w:bottom w:val="single" w:sz="12" w:space="0" w:color="FFFFFF" w:themeColor="light1"/>
        </w:tcBorders>
        <w:shd w:val="clear" w:color="B2A1C6" w:themeColor="accent4" w:themeTint="9A" w:fill="auto"/>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B2A1C6" w:themeColor="accent4" w:themeTint="9A"/>
          <w:right w:val="single" w:sz="4" w:space="0" w:color="FFFFFF" w:themeColor="light1"/>
        </w:tcBorders>
      </w:tcPr>
    </w:tblStylePr>
    <w:tblStylePr w:type="lastCol">
      <w:tblPr/>
      <w:tcPr>
        <w:tcBorders>
          <w:left w:val="single" w:sz="4" w:space="0" w:color="FFFFFF" w:themeColor="light1"/>
          <w:right w:val="single" w:sz="32" w:space="0" w:color="B2A1C6" w:themeColor="accent4" w:themeTint="9A"/>
        </w:tcBorders>
      </w:tcPr>
    </w:tblStylePr>
    <w:tblStylePr w:type="band1Vert">
      <w:tblPr/>
      <w:tcPr>
        <w:tcBorders>
          <w:left w:val="single" w:sz="4" w:space="0" w:color="FFFFFF" w:themeColor="light1"/>
          <w:right w:val="single" w:sz="4" w:space="0" w:color="FFFFFF" w:themeColor="light1"/>
        </w:tcBorders>
        <w:shd w:val="clear" w:color="B2A1C6" w:themeColor="accent4" w:themeTint="9A" w:fill="auto"/>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B2A1C6" w:themeColor="accent4" w:themeTint="9A" w:fill="auto"/>
      </w:tcPr>
    </w:tblStylePr>
    <w:tblStylePr w:type="band2Horz">
      <w:tblPr/>
      <w:tcPr>
        <w:tcBorders>
          <w:top w:val="single" w:sz="4" w:space="0" w:color="FFFFFF" w:themeColor="light1"/>
          <w:bottom w:val="single" w:sz="4" w:space="0" w:color="FFFFFF" w:themeColor="light1"/>
        </w:tcBorders>
        <w:shd w:val="clear" w:color="B2A1C6" w:themeColor="accent4" w:themeTint="9A" w:fill="auto"/>
      </w:tcPr>
    </w:tblStylePr>
  </w:style>
  <w:style w:type="table" w:customStyle="1" w:styleId="ListTable5Dark-Accent5">
    <w:name w:val="List Table 5 Dark - Accent 5"/>
    <w:basedOn w:val="a2"/>
    <w:uiPriority w:val="99"/>
    <w:pPr>
      <w:spacing w:after="0"/>
    </w:pPr>
    <w:tblPr>
      <w:tblStyleRowBandSize w:val="1"/>
      <w:tblStyleColBandSize w:val="1"/>
      <w:tblBorders>
        <w:top w:val="single" w:sz="32" w:space="0" w:color="92CCDC" w:themeColor="accent5" w:themeTint="9A"/>
        <w:left w:val="single" w:sz="32" w:space="0" w:color="92CCDC" w:themeColor="accent5" w:themeTint="9A"/>
        <w:bottom w:val="single" w:sz="32" w:space="0" w:color="92CCDC" w:themeColor="accent5" w:themeTint="9A"/>
        <w:right w:val="single" w:sz="32" w:space="0" w:color="92CCDC" w:themeColor="accent5" w:themeTint="9A"/>
      </w:tblBorders>
      <w:shd w:val="clear" w:color="92CCDC" w:themeColor="accent5" w:themeTint="9A" w:fill="auto"/>
    </w:tblPr>
    <w:tblStylePr w:type="firstRow">
      <w:rPr>
        <w:rFonts w:ascii="Arial" w:hAnsi="Arial"/>
        <w:b/>
        <w:color w:val="FFFFFF" w:themeColor="light1"/>
        <w:sz w:val="22"/>
      </w:rPr>
      <w:tblPr/>
      <w:tcPr>
        <w:tcBorders>
          <w:top w:val="single" w:sz="32" w:space="0" w:color="92CCDC" w:themeColor="accent5" w:themeTint="9A"/>
          <w:bottom w:val="single" w:sz="12" w:space="0" w:color="FFFFFF" w:themeColor="light1"/>
        </w:tcBorders>
        <w:shd w:val="clear" w:color="92CCDC" w:themeColor="accent5" w:themeTint="9A" w:fill="auto"/>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2CCDC" w:themeColor="accent5" w:themeTint="9A"/>
          <w:right w:val="single" w:sz="4" w:space="0" w:color="FFFFFF" w:themeColor="light1"/>
        </w:tcBorders>
      </w:tcPr>
    </w:tblStylePr>
    <w:tblStylePr w:type="lastCol">
      <w:tblPr/>
      <w:tcPr>
        <w:tcBorders>
          <w:left w:val="single" w:sz="4" w:space="0" w:color="FFFFFF" w:themeColor="light1"/>
          <w:right w:val="single" w:sz="32" w:space="0" w:color="92CCDC" w:themeColor="accent5" w:themeTint="9A"/>
        </w:tcBorders>
      </w:tcPr>
    </w:tblStylePr>
    <w:tblStylePr w:type="band1Vert">
      <w:tblPr/>
      <w:tcPr>
        <w:tcBorders>
          <w:left w:val="single" w:sz="4" w:space="0" w:color="FFFFFF" w:themeColor="light1"/>
          <w:right w:val="single" w:sz="4" w:space="0" w:color="FFFFFF" w:themeColor="light1"/>
        </w:tcBorders>
        <w:shd w:val="clear" w:color="92CCDC" w:themeColor="accent5" w:themeTint="9A" w:fill="auto"/>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2CCDC" w:themeColor="accent5" w:themeTint="9A" w:fill="auto"/>
      </w:tcPr>
    </w:tblStylePr>
    <w:tblStylePr w:type="band2Horz">
      <w:tblPr/>
      <w:tcPr>
        <w:tcBorders>
          <w:top w:val="single" w:sz="4" w:space="0" w:color="FFFFFF" w:themeColor="light1"/>
          <w:bottom w:val="single" w:sz="4" w:space="0" w:color="FFFFFF" w:themeColor="light1"/>
        </w:tcBorders>
        <w:shd w:val="clear" w:color="92CCDC" w:themeColor="accent5" w:themeTint="9A" w:fill="auto"/>
      </w:tcPr>
    </w:tblStylePr>
  </w:style>
  <w:style w:type="table" w:customStyle="1" w:styleId="ListTable5Dark-Accent6">
    <w:name w:val="List Table 5 Dark - Accent 6"/>
    <w:basedOn w:val="a2"/>
    <w:uiPriority w:val="99"/>
    <w:pPr>
      <w:spacing w:after="0"/>
    </w:pPr>
    <w:tblPr>
      <w:tblStyleRowBandSize w:val="1"/>
      <w:tblStyleColBandSize w:val="1"/>
      <w:tblBorders>
        <w:top w:val="single" w:sz="32" w:space="0" w:color="FAC090" w:themeColor="accent6" w:themeTint="98"/>
        <w:left w:val="single" w:sz="32" w:space="0" w:color="FAC090" w:themeColor="accent6" w:themeTint="98"/>
        <w:bottom w:val="single" w:sz="32" w:space="0" w:color="FAC090" w:themeColor="accent6" w:themeTint="98"/>
        <w:right w:val="single" w:sz="32" w:space="0" w:color="FAC090" w:themeColor="accent6" w:themeTint="98"/>
      </w:tblBorders>
      <w:shd w:val="clear" w:color="FAC090" w:themeColor="accent6" w:themeTint="98" w:fill="auto"/>
    </w:tblPr>
    <w:tblStylePr w:type="firstRow">
      <w:rPr>
        <w:rFonts w:ascii="Arial" w:hAnsi="Arial"/>
        <w:b/>
        <w:color w:val="FFFFFF" w:themeColor="light1"/>
        <w:sz w:val="22"/>
      </w:rPr>
      <w:tblPr/>
      <w:tcPr>
        <w:tcBorders>
          <w:top w:val="single" w:sz="32" w:space="0" w:color="FAC090" w:themeColor="accent6" w:themeTint="98"/>
          <w:bottom w:val="single" w:sz="12" w:space="0" w:color="FFFFFF" w:themeColor="light1"/>
        </w:tcBorders>
        <w:shd w:val="clear" w:color="FAC090" w:themeColor="accent6" w:themeTint="98" w:fill="auto"/>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AC090" w:themeColor="accent6" w:themeTint="98"/>
          <w:right w:val="single" w:sz="4" w:space="0" w:color="FFFFFF" w:themeColor="light1"/>
        </w:tcBorders>
      </w:tcPr>
    </w:tblStylePr>
    <w:tblStylePr w:type="lastCol">
      <w:tblPr/>
      <w:tcPr>
        <w:tcBorders>
          <w:left w:val="single" w:sz="4" w:space="0" w:color="FFFFFF" w:themeColor="light1"/>
          <w:right w:val="single" w:sz="32" w:space="0" w:color="FAC090" w:themeColor="accent6" w:themeTint="98"/>
        </w:tcBorders>
      </w:tcPr>
    </w:tblStylePr>
    <w:tblStylePr w:type="band1Vert">
      <w:tblPr/>
      <w:tcPr>
        <w:tcBorders>
          <w:left w:val="single" w:sz="4" w:space="0" w:color="FFFFFF" w:themeColor="light1"/>
          <w:right w:val="single" w:sz="4" w:space="0" w:color="FFFFFF" w:themeColor="light1"/>
        </w:tcBorders>
        <w:shd w:val="clear" w:color="FAC090" w:themeColor="accent6" w:themeTint="98" w:fill="auto"/>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AC090" w:themeColor="accent6" w:themeTint="98" w:fill="auto"/>
      </w:tcPr>
    </w:tblStylePr>
    <w:tblStylePr w:type="band2Horz">
      <w:tblPr/>
      <w:tcPr>
        <w:tcBorders>
          <w:top w:val="single" w:sz="4" w:space="0" w:color="FFFFFF" w:themeColor="light1"/>
          <w:bottom w:val="single" w:sz="4" w:space="0" w:color="FFFFFF" w:themeColor="light1"/>
        </w:tcBorders>
        <w:shd w:val="clear" w:color="FAC090" w:themeColor="accent6" w:themeTint="98" w:fill="auto"/>
      </w:tcPr>
    </w:tblStylePr>
  </w:style>
  <w:style w:type="table" w:styleId="62">
    <w:name w:val="List Table 6 Colorful"/>
    <w:basedOn w:val="a2"/>
    <w:uiPriority w:val="99"/>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auto"/>
      </w:tcPr>
    </w:tblStylePr>
    <w:tblStylePr w:type="band1Horz">
      <w:rPr>
        <w:rFonts w:ascii="Arial" w:hAnsi="Arial"/>
        <w:color w:val="000000" w:themeColor="text1"/>
        <w:sz w:val="22"/>
      </w:rPr>
      <w:tblPr/>
      <w:tcPr>
        <w:shd w:val="clear" w:color="BFBFBF" w:themeColor="text1" w:themeTint="40" w:fill="auto"/>
      </w:tcPr>
    </w:tblStylePr>
    <w:tblStylePr w:type="band2Horz">
      <w:rPr>
        <w:rFonts w:ascii="Arial" w:hAnsi="Arial"/>
        <w:color w:val="000000" w:themeColor="text1"/>
        <w:sz w:val="22"/>
      </w:rPr>
    </w:tblStylePr>
  </w:style>
  <w:style w:type="table" w:customStyle="1" w:styleId="ListTable6Colorful-Accent1">
    <w:name w:val="List Table 6 Colorful - Accent 1"/>
    <w:basedOn w:val="a2"/>
    <w:uiPriority w:val="99"/>
    <w:pPr>
      <w:spacing w:after="0"/>
    </w:pPr>
    <w:tblPr>
      <w:tblStyleRowBandSize w:val="1"/>
      <w:tblStyleColBandSize w:val="1"/>
      <w:tblBorders>
        <w:top w:val="single" w:sz="4" w:space="0" w:color="4F81BD" w:themeColor="accent1"/>
        <w:bottom w:val="single" w:sz="4" w:space="0" w:color="4F81BD" w:themeColor="accent1"/>
      </w:tblBorders>
    </w:tblPr>
    <w:tblStylePr w:type="firstRow">
      <w:rPr>
        <w:b/>
        <w:color w:val="2A4A71" w:themeColor="accent1" w:themeShade="95"/>
      </w:rPr>
      <w:tblPr/>
      <w:tcPr>
        <w:tcBorders>
          <w:bottom w:val="single" w:sz="4" w:space="0" w:color="4F81BD" w:themeColor="accent1"/>
        </w:tcBorders>
      </w:tcPr>
    </w:tblStylePr>
    <w:tblStylePr w:type="lastRow">
      <w:rPr>
        <w:b/>
        <w:color w:val="2A4A71" w:themeColor="accent1" w:themeShade="95"/>
      </w:rPr>
      <w:tblPr/>
      <w:tcPr>
        <w:tcBorders>
          <w:top w:val="single" w:sz="4" w:space="0" w:color="4F81BD" w:themeColor="accent1"/>
        </w:tcBorders>
      </w:tcPr>
    </w:tblStylePr>
    <w:tblStylePr w:type="firstCol">
      <w:rPr>
        <w:b/>
        <w:color w:val="2A4A71" w:themeColor="accent1" w:themeShade="95"/>
      </w:rPr>
    </w:tblStylePr>
    <w:tblStylePr w:type="lastCol">
      <w:rPr>
        <w:b/>
        <w:color w:val="2A4A71" w:themeColor="accent1" w:themeShade="95"/>
      </w:rPr>
    </w:tblStylePr>
    <w:tblStylePr w:type="band1Vert">
      <w:tblPr/>
      <w:tcPr>
        <w:shd w:val="clear" w:color="D2DFEE" w:themeColor="accent1" w:themeTint="40" w:fill="auto"/>
      </w:tcPr>
    </w:tblStylePr>
    <w:tblStylePr w:type="band1Horz">
      <w:rPr>
        <w:rFonts w:ascii="Arial" w:hAnsi="Arial"/>
        <w:color w:val="2A4A71" w:themeColor="accent1" w:themeShade="95"/>
        <w:sz w:val="22"/>
      </w:rPr>
      <w:tblPr/>
      <w:tcPr>
        <w:shd w:val="clear" w:color="D2DFEE" w:themeColor="accent1" w:themeTint="40" w:fill="auto"/>
      </w:tcPr>
    </w:tblStylePr>
    <w:tblStylePr w:type="band2Horz">
      <w:rPr>
        <w:rFonts w:ascii="Arial" w:hAnsi="Arial"/>
        <w:color w:val="2A4A71" w:themeColor="accent1" w:themeShade="95"/>
        <w:sz w:val="22"/>
      </w:rPr>
    </w:tblStylePr>
  </w:style>
  <w:style w:type="table" w:customStyle="1" w:styleId="ListTable6Colorful-Accent2">
    <w:name w:val="List Table 6 Colorful - Accent 2"/>
    <w:basedOn w:val="a2"/>
    <w:uiPriority w:val="99"/>
    <w:pPr>
      <w:spacing w:after="0"/>
    </w:pPr>
    <w:tblPr>
      <w:tblStyleRowBandSize w:val="1"/>
      <w:tblStyleColBandSize w:val="1"/>
      <w:tblBorders>
        <w:top w:val="single" w:sz="4" w:space="0" w:color="D99695" w:themeColor="accent2" w:themeTint="97"/>
        <w:bottom w:val="single" w:sz="4" w:space="0" w:color="D99695" w:themeColor="accent2" w:themeTint="97"/>
      </w:tblBorders>
    </w:tblPr>
    <w:tblStylePr w:type="firstRow">
      <w:rPr>
        <w:b/>
        <w:color w:val="D99695" w:themeColor="accent2" w:themeTint="97" w:themeShade="95"/>
      </w:rPr>
      <w:tblPr/>
      <w:tcPr>
        <w:tcBorders>
          <w:bottom w:val="single" w:sz="4" w:space="0" w:color="D99695" w:themeColor="accent2" w:themeTint="97"/>
        </w:tcBorders>
      </w:tcPr>
    </w:tblStylePr>
    <w:tblStylePr w:type="lastRow">
      <w:rPr>
        <w:b/>
        <w:color w:val="D99695" w:themeColor="accent2" w:themeTint="97" w:themeShade="95"/>
      </w:rPr>
      <w:tblPr/>
      <w:tcPr>
        <w:tcBorders>
          <w:top w:val="single" w:sz="4" w:space="0" w:color="D99695" w:themeColor="accent2" w:themeTint="97"/>
        </w:tcBorders>
      </w:tc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EFD2D2" w:themeColor="accent2" w:themeTint="40" w:fill="auto"/>
      </w:tcPr>
    </w:tblStylePr>
    <w:tblStylePr w:type="band1Horz">
      <w:rPr>
        <w:rFonts w:ascii="Arial" w:hAnsi="Arial"/>
        <w:color w:val="D99695" w:themeColor="accent2" w:themeTint="97" w:themeShade="95"/>
        <w:sz w:val="22"/>
      </w:rPr>
      <w:tblPr/>
      <w:tcPr>
        <w:shd w:val="clear" w:color="EFD2D2" w:themeColor="accent2" w:themeTint="40" w:fill="auto"/>
      </w:tcPr>
    </w:tblStylePr>
    <w:tblStylePr w:type="band2Horz">
      <w:rPr>
        <w:rFonts w:ascii="Arial" w:hAnsi="Arial"/>
        <w:color w:val="D99695" w:themeColor="accent2" w:themeTint="97" w:themeShade="95"/>
        <w:sz w:val="22"/>
      </w:rPr>
    </w:tblStylePr>
  </w:style>
  <w:style w:type="table" w:customStyle="1" w:styleId="ListTable6Colorful-Accent3">
    <w:name w:val="List Table 6 Colorful - Accent 3"/>
    <w:basedOn w:val="a2"/>
    <w:uiPriority w:val="99"/>
    <w:pPr>
      <w:spacing w:after="0"/>
    </w:pPr>
    <w:tblPr>
      <w:tblStyleRowBandSize w:val="1"/>
      <w:tblStyleColBandSize w:val="1"/>
      <w:tblBorders>
        <w:top w:val="single" w:sz="4" w:space="0" w:color="C3D69B" w:themeColor="accent3" w:themeTint="98"/>
        <w:bottom w:val="single" w:sz="4" w:space="0" w:color="C3D69B" w:themeColor="accent3" w:themeTint="98"/>
      </w:tblBorders>
    </w:tblPr>
    <w:tblStylePr w:type="firstRow">
      <w:rPr>
        <w:b/>
        <w:color w:val="C3D69B" w:themeColor="accent3" w:themeTint="98" w:themeShade="95"/>
      </w:rPr>
      <w:tblPr/>
      <w:tcPr>
        <w:tcBorders>
          <w:bottom w:val="single" w:sz="4" w:space="0" w:color="C3D69B" w:themeColor="accent3" w:themeTint="98"/>
        </w:tcBorders>
      </w:tcPr>
    </w:tblStylePr>
    <w:tblStylePr w:type="lastRow">
      <w:rPr>
        <w:b/>
        <w:color w:val="C3D69B" w:themeColor="accent3" w:themeTint="98" w:themeShade="95"/>
      </w:rPr>
      <w:tblPr/>
      <w:tcPr>
        <w:tcBorders>
          <w:top w:val="single" w:sz="4" w:space="0" w:color="C3D69B" w:themeColor="accent3" w:themeTint="98"/>
        </w:tcBorders>
      </w:tcPr>
    </w:tblStylePr>
    <w:tblStylePr w:type="firstCol">
      <w:rPr>
        <w:b/>
        <w:color w:val="C3D69B" w:themeColor="accent3" w:themeTint="98" w:themeShade="95"/>
      </w:rPr>
    </w:tblStylePr>
    <w:tblStylePr w:type="lastCol">
      <w:rPr>
        <w:b/>
        <w:color w:val="C3D69B" w:themeColor="accent3" w:themeTint="98" w:themeShade="95"/>
      </w:rPr>
    </w:tblStylePr>
    <w:tblStylePr w:type="band1Vert">
      <w:tblPr/>
      <w:tcPr>
        <w:shd w:val="clear" w:color="E5EED5" w:themeColor="accent3" w:themeTint="40" w:fill="auto"/>
      </w:tcPr>
    </w:tblStylePr>
    <w:tblStylePr w:type="band1Horz">
      <w:rPr>
        <w:rFonts w:ascii="Arial" w:hAnsi="Arial"/>
        <w:color w:val="C3D69B" w:themeColor="accent3" w:themeTint="98" w:themeShade="95"/>
        <w:sz w:val="22"/>
      </w:rPr>
      <w:tblPr/>
      <w:tcPr>
        <w:shd w:val="clear" w:color="E5EED5" w:themeColor="accent3" w:themeTint="40" w:fill="auto"/>
      </w:tcPr>
    </w:tblStylePr>
    <w:tblStylePr w:type="band2Horz">
      <w:rPr>
        <w:rFonts w:ascii="Arial" w:hAnsi="Arial"/>
        <w:color w:val="C3D69B" w:themeColor="accent3" w:themeTint="98" w:themeShade="95"/>
        <w:sz w:val="22"/>
      </w:rPr>
    </w:tblStylePr>
  </w:style>
  <w:style w:type="table" w:customStyle="1" w:styleId="ListTable6Colorful-Accent4">
    <w:name w:val="List Table 6 Colorful - Accent 4"/>
    <w:basedOn w:val="a2"/>
    <w:uiPriority w:val="99"/>
    <w:pPr>
      <w:spacing w:after="0"/>
    </w:pPr>
    <w:tblPr>
      <w:tblStyleRowBandSize w:val="1"/>
      <w:tblStyleColBandSize w:val="1"/>
      <w:tblBorders>
        <w:top w:val="single" w:sz="4" w:space="0" w:color="B2A1C6" w:themeColor="accent4" w:themeTint="9A"/>
        <w:bottom w:val="single" w:sz="4" w:space="0" w:color="B2A1C6" w:themeColor="accent4" w:themeTint="9A"/>
      </w:tblBorders>
    </w:tblPr>
    <w:tblStylePr w:type="firstRow">
      <w:rPr>
        <w:b/>
        <w:color w:val="B2A1C6" w:themeColor="accent4" w:themeTint="9A" w:themeShade="95"/>
      </w:rPr>
      <w:tblPr/>
      <w:tcPr>
        <w:tcBorders>
          <w:bottom w:val="single" w:sz="4" w:space="0" w:color="B2A1C6" w:themeColor="accent4" w:themeTint="9A"/>
        </w:tcBorders>
      </w:tcPr>
    </w:tblStylePr>
    <w:tblStylePr w:type="lastRow">
      <w:rPr>
        <w:b/>
        <w:color w:val="B2A1C6" w:themeColor="accent4" w:themeTint="9A" w:themeShade="95"/>
      </w:rPr>
      <w:tblPr/>
      <w:tcPr>
        <w:tcBorders>
          <w:top w:val="single" w:sz="4" w:space="0" w:color="B2A1C6" w:themeColor="accent4" w:themeTint="9A"/>
        </w:tcBorders>
      </w:tc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DFD8E7" w:themeColor="accent4" w:themeTint="40" w:fill="auto"/>
      </w:tcPr>
    </w:tblStylePr>
    <w:tblStylePr w:type="band1Horz">
      <w:rPr>
        <w:rFonts w:ascii="Arial" w:hAnsi="Arial"/>
        <w:color w:val="B2A1C6" w:themeColor="accent4" w:themeTint="9A" w:themeShade="95"/>
        <w:sz w:val="22"/>
      </w:rPr>
      <w:tblPr/>
      <w:tcPr>
        <w:shd w:val="clear" w:color="DFD8E7" w:themeColor="accent4" w:themeTint="40" w:fill="auto"/>
      </w:tcPr>
    </w:tblStylePr>
    <w:tblStylePr w:type="band2Horz">
      <w:rPr>
        <w:rFonts w:ascii="Arial" w:hAnsi="Arial"/>
        <w:color w:val="B2A1C6" w:themeColor="accent4" w:themeTint="9A" w:themeShade="95"/>
        <w:sz w:val="22"/>
      </w:rPr>
    </w:tblStylePr>
  </w:style>
  <w:style w:type="table" w:customStyle="1" w:styleId="ListTable6Colorful-Accent5">
    <w:name w:val="List Table 6 Colorful - Accent 5"/>
    <w:basedOn w:val="a2"/>
    <w:uiPriority w:val="99"/>
    <w:pPr>
      <w:spacing w:after="0"/>
    </w:pPr>
    <w:tblPr>
      <w:tblStyleRowBandSize w:val="1"/>
      <w:tblStyleColBandSize w:val="1"/>
      <w:tblBorders>
        <w:top w:val="single" w:sz="4" w:space="0" w:color="92CCDC" w:themeColor="accent5" w:themeTint="9A"/>
        <w:bottom w:val="single" w:sz="4" w:space="0" w:color="92CCDC" w:themeColor="accent5" w:themeTint="9A"/>
      </w:tblBorders>
    </w:tblPr>
    <w:tblStylePr w:type="firstRow">
      <w:rPr>
        <w:b/>
        <w:color w:val="92CCDC" w:themeColor="accent5" w:themeTint="9A" w:themeShade="95"/>
      </w:rPr>
      <w:tblPr/>
      <w:tcPr>
        <w:tcBorders>
          <w:bottom w:val="single" w:sz="4" w:space="0" w:color="92CCDC" w:themeColor="accent5" w:themeTint="9A"/>
        </w:tcBorders>
      </w:tcPr>
    </w:tblStylePr>
    <w:tblStylePr w:type="lastRow">
      <w:rPr>
        <w:b/>
        <w:color w:val="92CCDC" w:themeColor="accent5" w:themeTint="9A" w:themeShade="95"/>
      </w:rPr>
      <w:tblPr/>
      <w:tcPr>
        <w:tcBorders>
          <w:top w:val="single" w:sz="4" w:space="0" w:color="92CCDC" w:themeColor="accent5" w:themeTint="9A"/>
        </w:tcBorders>
      </w:tcPr>
    </w:tblStylePr>
    <w:tblStylePr w:type="firstCol">
      <w:rPr>
        <w:b/>
        <w:color w:val="92CCDC" w:themeColor="accent5" w:themeTint="9A" w:themeShade="95"/>
      </w:rPr>
    </w:tblStylePr>
    <w:tblStylePr w:type="lastCol">
      <w:rPr>
        <w:b/>
        <w:color w:val="92CCDC" w:themeColor="accent5" w:themeTint="9A" w:themeShade="95"/>
      </w:rPr>
    </w:tblStylePr>
    <w:tblStylePr w:type="band1Vert">
      <w:tblPr/>
      <w:tcPr>
        <w:shd w:val="clear" w:color="D1EAF0" w:themeColor="accent5" w:themeTint="40" w:fill="auto"/>
      </w:tcPr>
    </w:tblStylePr>
    <w:tblStylePr w:type="band1Horz">
      <w:rPr>
        <w:rFonts w:ascii="Arial" w:hAnsi="Arial"/>
        <w:color w:val="92CCDC" w:themeColor="accent5" w:themeTint="9A" w:themeShade="95"/>
        <w:sz w:val="22"/>
      </w:rPr>
      <w:tblPr/>
      <w:tcPr>
        <w:shd w:val="clear" w:color="D1EAF0" w:themeColor="accent5" w:themeTint="40" w:fill="auto"/>
      </w:tcPr>
    </w:tblStylePr>
    <w:tblStylePr w:type="band2Horz">
      <w:rPr>
        <w:rFonts w:ascii="Arial" w:hAnsi="Arial"/>
        <w:color w:val="92CCDC" w:themeColor="accent5" w:themeTint="9A" w:themeShade="95"/>
        <w:sz w:val="22"/>
      </w:rPr>
    </w:tblStylePr>
  </w:style>
  <w:style w:type="table" w:customStyle="1" w:styleId="ListTable6Colorful-Accent6">
    <w:name w:val="List Table 6 Colorful - Accent 6"/>
    <w:basedOn w:val="a2"/>
    <w:uiPriority w:val="99"/>
    <w:pPr>
      <w:spacing w:after="0"/>
    </w:pPr>
    <w:tblPr>
      <w:tblStyleRowBandSize w:val="1"/>
      <w:tblStyleColBandSize w:val="1"/>
      <w:tblBorders>
        <w:top w:val="single" w:sz="4" w:space="0" w:color="FAC090" w:themeColor="accent6" w:themeTint="98"/>
        <w:bottom w:val="single" w:sz="4" w:space="0" w:color="FAC090" w:themeColor="accent6" w:themeTint="98"/>
      </w:tblBorders>
    </w:tblPr>
    <w:tblStylePr w:type="firstRow">
      <w:rPr>
        <w:b/>
        <w:color w:val="FAC090" w:themeColor="accent6" w:themeTint="98" w:themeShade="95"/>
      </w:rPr>
      <w:tblPr/>
      <w:tcPr>
        <w:tcBorders>
          <w:bottom w:val="single" w:sz="4" w:space="0" w:color="FAC090" w:themeColor="accent6" w:themeTint="98"/>
        </w:tcBorders>
      </w:tcPr>
    </w:tblStylePr>
    <w:tblStylePr w:type="lastRow">
      <w:rPr>
        <w:b/>
        <w:color w:val="FAC090" w:themeColor="accent6" w:themeTint="98" w:themeShade="95"/>
      </w:rPr>
      <w:tblPr/>
      <w:tcPr>
        <w:tcBorders>
          <w:top w:val="single" w:sz="4" w:space="0" w:color="FAC090" w:themeColor="accent6" w:themeTint="98"/>
        </w:tcBorders>
      </w:tcPr>
    </w:tblStylePr>
    <w:tblStylePr w:type="firstCol">
      <w:rPr>
        <w:b/>
        <w:color w:val="FAC090" w:themeColor="accent6" w:themeTint="98" w:themeShade="95"/>
      </w:rPr>
    </w:tblStylePr>
    <w:tblStylePr w:type="lastCol">
      <w:rPr>
        <w:b/>
        <w:color w:val="FAC090" w:themeColor="accent6" w:themeTint="98" w:themeShade="95"/>
      </w:rPr>
    </w:tblStylePr>
    <w:tblStylePr w:type="band1Vert">
      <w:tblPr/>
      <w:tcPr>
        <w:shd w:val="clear" w:color="FDE4D0" w:themeColor="accent6" w:themeTint="40" w:fill="auto"/>
      </w:tcPr>
    </w:tblStylePr>
    <w:tblStylePr w:type="band1Horz">
      <w:rPr>
        <w:rFonts w:ascii="Arial" w:hAnsi="Arial"/>
        <w:color w:val="FAC090" w:themeColor="accent6" w:themeTint="98" w:themeShade="95"/>
        <w:sz w:val="22"/>
      </w:rPr>
      <w:tblPr/>
      <w:tcPr>
        <w:shd w:val="clear" w:color="FDE4D0" w:themeColor="accent6" w:themeTint="40" w:fill="auto"/>
      </w:tcPr>
    </w:tblStylePr>
    <w:tblStylePr w:type="band2Horz">
      <w:rPr>
        <w:rFonts w:ascii="Arial" w:hAnsi="Arial"/>
        <w:color w:val="FAC090" w:themeColor="accent6" w:themeTint="98" w:themeShade="95"/>
        <w:sz w:val="22"/>
      </w:rPr>
    </w:tblStylePr>
  </w:style>
  <w:style w:type="table" w:styleId="72">
    <w:name w:val="List Table 7 Colorful"/>
    <w:basedOn w:val="a2"/>
    <w:uiPriority w:val="99"/>
    <w:pPr>
      <w:spacing w:after="0"/>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auto"/>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auto"/>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auto"/>
      </w:tcPr>
    </w:tblStylePr>
    <w:tblStylePr w:type="band1Horz">
      <w:rPr>
        <w:rFonts w:ascii="Arial" w:hAnsi="Arial"/>
        <w:color w:val="7F7F7F" w:themeColor="text1" w:themeTint="80" w:themeShade="95"/>
        <w:sz w:val="22"/>
      </w:rPr>
      <w:tblPr/>
      <w:tcPr>
        <w:shd w:val="clear" w:color="BFBFBF" w:themeColor="text1" w:themeTint="40" w:fill="auto"/>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a2"/>
    <w:uiPriority w:val="99"/>
    <w:pPr>
      <w:spacing w:after="0"/>
    </w:pPr>
    <w:tblPr>
      <w:tblStyleRowBandSize w:val="1"/>
      <w:tblStyleColBandSize w:val="1"/>
      <w:tblBorders>
        <w:right w:val="single" w:sz="4" w:space="0" w:color="4F81BD" w:themeColor="accent1"/>
      </w:tblBorders>
    </w:tblPr>
    <w:tblStylePr w:type="firstRow">
      <w:rPr>
        <w:rFonts w:ascii="Arial" w:hAnsi="Arial"/>
        <w:i/>
        <w:color w:val="2A4A71" w:themeColor="accent1" w:themeShade="95"/>
        <w:sz w:val="22"/>
      </w:rPr>
      <w:tblPr/>
      <w:tcPr>
        <w:tcBorders>
          <w:top w:val="none" w:sz="4" w:space="0" w:color="000000"/>
          <w:left w:val="none" w:sz="4" w:space="0" w:color="000000"/>
          <w:bottom w:val="single" w:sz="4" w:space="0" w:color="4F81BD" w:themeColor="accent1"/>
          <w:right w:val="none" w:sz="4" w:space="0" w:color="000000"/>
        </w:tcBorders>
        <w:shd w:val="clear" w:color="FFFFFF" w:themeColor="light1" w:fill="auto"/>
      </w:tcPr>
    </w:tblStylePr>
    <w:tblStylePr w:type="lastRow">
      <w:rPr>
        <w:rFonts w:ascii="Arial" w:hAnsi="Arial"/>
        <w:i/>
        <w:color w:val="2A4A71" w:themeColor="accent1" w:themeShade="95"/>
        <w:sz w:val="22"/>
      </w:rPr>
      <w:tblPr/>
      <w:tcPr>
        <w:tcBorders>
          <w:top w:val="single" w:sz="4" w:space="0" w:color="4F81BD" w:themeColor="accent1"/>
          <w:left w:val="none" w:sz="4" w:space="0" w:color="000000"/>
          <w:bottom w:val="none" w:sz="4" w:space="0" w:color="000000"/>
          <w:right w:val="none" w:sz="4" w:space="0" w:color="000000"/>
        </w:tcBorders>
        <w:shd w:val="clear" w:color="FFFFFF" w:themeColor="light1" w:fill="auto"/>
      </w:tcPr>
    </w:tblStylePr>
    <w:tblStylePr w:type="firstCol">
      <w:pPr>
        <w:jc w:val="right"/>
      </w:pPr>
      <w:rPr>
        <w:rFonts w:ascii="Arial" w:hAnsi="Arial"/>
        <w:i/>
        <w:color w:val="2A4A71" w:themeColor="accent1" w:themeShade="95"/>
        <w:sz w:val="22"/>
      </w:rPr>
      <w:tblPr/>
      <w:tcPr>
        <w:tcBorders>
          <w:top w:val="none" w:sz="4" w:space="0" w:color="000000"/>
          <w:left w:val="none" w:sz="4" w:space="0" w:color="000000"/>
          <w:bottom w:val="none" w:sz="4" w:space="0" w:color="000000"/>
          <w:right w:val="single" w:sz="4" w:space="0" w:color="4F81BD" w:themeColor="accent1"/>
        </w:tcBorders>
        <w:shd w:val="clear" w:color="FFFFFF" w:fill="auto"/>
      </w:tcPr>
    </w:tblStylePr>
    <w:tblStylePr w:type="lastCol">
      <w:rPr>
        <w:rFonts w:ascii="Arial" w:hAnsi="Arial"/>
        <w:i/>
        <w:color w:val="2A4A71" w:themeColor="accent1" w:themeShade="95"/>
        <w:sz w:val="22"/>
      </w:rPr>
      <w:tblPr/>
      <w:tcPr>
        <w:tcBorders>
          <w:top w:val="none" w:sz="4" w:space="0" w:color="000000"/>
          <w:left w:val="single" w:sz="4" w:space="0" w:color="4F81BD" w:themeColor="accent1"/>
          <w:bottom w:val="none" w:sz="4" w:space="0" w:color="000000"/>
          <w:right w:val="none" w:sz="4" w:space="0" w:color="000000"/>
        </w:tcBorders>
        <w:shd w:val="clear" w:color="FFFFFF" w:fill="auto"/>
      </w:tcPr>
    </w:tblStylePr>
    <w:tblStylePr w:type="band1Vert">
      <w:tblPr/>
      <w:tcPr>
        <w:shd w:val="clear" w:color="D2DFEE" w:themeColor="accent1" w:themeTint="40" w:fill="auto"/>
      </w:tcPr>
    </w:tblStylePr>
    <w:tblStylePr w:type="band1Horz">
      <w:rPr>
        <w:rFonts w:ascii="Arial" w:hAnsi="Arial"/>
        <w:color w:val="2A4A71" w:themeColor="accent1" w:themeShade="95"/>
        <w:sz w:val="22"/>
      </w:rPr>
      <w:tblPr/>
      <w:tcPr>
        <w:shd w:val="clear" w:color="D2DFEE" w:themeColor="accent1" w:themeTint="40" w:fill="auto"/>
      </w:tcPr>
    </w:tblStylePr>
    <w:tblStylePr w:type="band2Horz">
      <w:rPr>
        <w:rFonts w:ascii="Arial" w:hAnsi="Arial"/>
        <w:color w:val="2A4A71" w:themeColor="accent1" w:themeShade="95"/>
        <w:sz w:val="22"/>
      </w:rPr>
    </w:tblStylePr>
  </w:style>
  <w:style w:type="table" w:customStyle="1" w:styleId="ListTable7Colorful-Accent2">
    <w:name w:val="List Table 7 Colorful - Accent 2"/>
    <w:basedOn w:val="a2"/>
    <w:uiPriority w:val="99"/>
    <w:pPr>
      <w:spacing w:after="0"/>
    </w:pPr>
    <w:tblPr>
      <w:tblStyleRowBandSize w:val="1"/>
      <w:tblStyleColBandSize w:val="1"/>
      <w:tblBorders>
        <w:right w:val="single" w:sz="4" w:space="0" w:color="D99695" w:themeColor="accent2" w:themeTint="97"/>
      </w:tblBorders>
    </w:tblPr>
    <w:tblStylePr w:type="firstRow">
      <w:rPr>
        <w:rFonts w:ascii="Arial" w:hAnsi="Arial"/>
        <w:i/>
        <w:color w:val="D99695" w:themeColor="accent2" w:themeTint="97" w:themeShade="95"/>
        <w:sz w:val="22"/>
      </w:rPr>
      <w:tblPr/>
      <w:tcPr>
        <w:tcBorders>
          <w:top w:val="none" w:sz="4" w:space="0" w:color="000000"/>
          <w:left w:val="none" w:sz="4" w:space="0" w:color="000000"/>
          <w:bottom w:val="single" w:sz="4" w:space="0" w:color="D99695" w:themeColor="accent2" w:themeTint="97"/>
          <w:right w:val="none" w:sz="4" w:space="0" w:color="000000"/>
        </w:tcBorders>
        <w:shd w:val="clear" w:color="FFFFFF" w:themeColor="light1" w:fill="auto"/>
      </w:tcPr>
    </w:tblStylePr>
    <w:tblStylePr w:type="lastRow">
      <w:rPr>
        <w:rFonts w:ascii="Arial" w:hAnsi="Arial"/>
        <w:i/>
        <w:color w:val="D99695" w:themeColor="accent2" w:themeTint="97" w:themeShade="95"/>
        <w:sz w:val="22"/>
      </w:rPr>
      <w:tblPr/>
      <w:tcPr>
        <w:tcBorders>
          <w:top w:val="single" w:sz="4" w:space="0" w:color="D99695" w:themeColor="accent2" w:themeTint="97"/>
          <w:left w:val="none" w:sz="4" w:space="0" w:color="000000"/>
          <w:bottom w:val="none" w:sz="4" w:space="0" w:color="000000"/>
          <w:right w:val="none" w:sz="4" w:space="0" w:color="000000"/>
        </w:tcBorders>
        <w:shd w:val="clear" w:color="FFFFFF" w:themeColor="light1" w:fill="auto"/>
      </w:tcPr>
    </w:tblStylePr>
    <w:tblStylePr w:type="firstCol">
      <w:pPr>
        <w:jc w:val="right"/>
      </w:pPr>
      <w:rPr>
        <w:rFonts w:ascii="Arial" w:hAnsi="Arial"/>
        <w:i/>
        <w:color w:val="D99695" w:themeColor="accent2" w:themeTint="97" w:themeShade="95"/>
        <w:sz w:val="22"/>
      </w:rPr>
      <w:tblPr/>
      <w:tcPr>
        <w:tcBorders>
          <w:top w:val="none" w:sz="4" w:space="0" w:color="000000"/>
          <w:left w:val="none" w:sz="4" w:space="0" w:color="000000"/>
          <w:bottom w:val="none" w:sz="4" w:space="0" w:color="000000"/>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4" w:space="0" w:color="000000"/>
          <w:left w:val="single" w:sz="4" w:space="0" w:color="D99695" w:themeColor="accent2" w:themeTint="97"/>
          <w:bottom w:val="none" w:sz="4" w:space="0" w:color="000000"/>
          <w:right w:val="none" w:sz="4" w:space="0" w:color="000000"/>
        </w:tcBorders>
        <w:shd w:val="clear" w:color="FFFFFF" w:fill="auto"/>
      </w:tcPr>
    </w:tblStylePr>
    <w:tblStylePr w:type="band1Vert">
      <w:tblPr/>
      <w:tcPr>
        <w:shd w:val="clear" w:color="EFD2D2" w:themeColor="accent2" w:themeTint="40" w:fill="auto"/>
      </w:tcPr>
    </w:tblStylePr>
    <w:tblStylePr w:type="band1Horz">
      <w:rPr>
        <w:rFonts w:ascii="Arial" w:hAnsi="Arial"/>
        <w:color w:val="D99695" w:themeColor="accent2" w:themeTint="97" w:themeShade="95"/>
        <w:sz w:val="22"/>
      </w:rPr>
      <w:tblPr/>
      <w:tcPr>
        <w:shd w:val="clear" w:color="EFD2D2" w:themeColor="accent2" w:themeTint="40" w:fill="auto"/>
      </w:tcPr>
    </w:tblStylePr>
    <w:tblStylePr w:type="band2Horz">
      <w:rPr>
        <w:rFonts w:ascii="Arial" w:hAnsi="Arial"/>
        <w:color w:val="D99695" w:themeColor="accent2" w:themeTint="97" w:themeShade="95"/>
        <w:sz w:val="22"/>
      </w:rPr>
    </w:tblStylePr>
  </w:style>
  <w:style w:type="table" w:customStyle="1" w:styleId="ListTable7Colorful-Accent3">
    <w:name w:val="List Table 7 Colorful - Accent 3"/>
    <w:basedOn w:val="a2"/>
    <w:uiPriority w:val="99"/>
    <w:pPr>
      <w:spacing w:after="0"/>
    </w:pPr>
    <w:tblPr>
      <w:tblStyleRowBandSize w:val="1"/>
      <w:tblStyleColBandSize w:val="1"/>
      <w:tblBorders>
        <w:right w:val="single" w:sz="4" w:space="0" w:color="C3D69B" w:themeColor="accent3" w:themeTint="98"/>
      </w:tblBorders>
    </w:tblPr>
    <w:tblStylePr w:type="firstRow">
      <w:rPr>
        <w:rFonts w:ascii="Arial" w:hAnsi="Arial"/>
        <w:i/>
        <w:color w:val="C3D69B" w:themeColor="accent3" w:themeTint="98" w:themeShade="95"/>
        <w:sz w:val="22"/>
      </w:rPr>
      <w:tblPr/>
      <w:tcPr>
        <w:tcBorders>
          <w:top w:val="none" w:sz="4" w:space="0" w:color="000000"/>
          <w:left w:val="none" w:sz="4" w:space="0" w:color="000000"/>
          <w:bottom w:val="single" w:sz="4" w:space="0" w:color="C3D69B" w:themeColor="accent3" w:themeTint="98"/>
          <w:right w:val="none" w:sz="4" w:space="0" w:color="000000"/>
        </w:tcBorders>
        <w:shd w:val="clear" w:color="FFFFFF" w:themeColor="light1" w:fill="auto"/>
      </w:tcPr>
    </w:tblStylePr>
    <w:tblStylePr w:type="lastRow">
      <w:rPr>
        <w:rFonts w:ascii="Arial" w:hAnsi="Arial"/>
        <w:i/>
        <w:color w:val="C3D69B" w:themeColor="accent3" w:themeTint="98" w:themeShade="95"/>
        <w:sz w:val="22"/>
      </w:rPr>
      <w:tblPr/>
      <w:tcPr>
        <w:tcBorders>
          <w:top w:val="single" w:sz="4" w:space="0" w:color="C3D69B" w:themeColor="accent3" w:themeTint="98"/>
          <w:left w:val="none" w:sz="4" w:space="0" w:color="000000"/>
          <w:bottom w:val="none" w:sz="4" w:space="0" w:color="000000"/>
          <w:right w:val="none" w:sz="4" w:space="0" w:color="000000"/>
        </w:tcBorders>
        <w:shd w:val="clear" w:color="FFFFFF" w:themeColor="light1" w:fill="auto"/>
      </w:tcPr>
    </w:tblStylePr>
    <w:tblStylePr w:type="firstCol">
      <w:pPr>
        <w:jc w:val="right"/>
      </w:pPr>
      <w:rPr>
        <w:rFonts w:ascii="Arial" w:hAnsi="Arial"/>
        <w:i/>
        <w:color w:val="C3D69B" w:themeColor="accent3" w:themeTint="98" w:themeShade="95"/>
        <w:sz w:val="22"/>
      </w:rPr>
      <w:tblPr/>
      <w:tcPr>
        <w:tcBorders>
          <w:top w:val="none" w:sz="4" w:space="0" w:color="000000"/>
          <w:left w:val="none" w:sz="4" w:space="0" w:color="000000"/>
          <w:bottom w:val="none" w:sz="4" w:space="0" w:color="000000"/>
          <w:right w:val="single" w:sz="4" w:space="0" w:color="C3D69B" w:themeColor="accent3" w:themeTint="98"/>
        </w:tcBorders>
        <w:shd w:val="clear" w:color="FFFFFF" w:fill="auto"/>
      </w:tcPr>
    </w:tblStylePr>
    <w:tblStylePr w:type="lastCol">
      <w:rPr>
        <w:rFonts w:ascii="Arial" w:hAnsi="Arial"/>
        <w:i/>
        <w:color w:val="C3D69B" w:themeColor="accent3" w:themeTint="98" w:themeShade="95"/>
        <w:sz w:val="22"/>
      </w:rPr>
      <w:tblPr/>
      <w:tcPr>
        <w:tcBorders>
          <w:top w:val="none" w:sz="4" w:space="0" w:color="000000"/>
          <w:left w:val="single" w:sz="4" w:space="0" w:color="C3D69B" w:themeColor="accent3" w:themeTint="98"/>
          <w:bottom w:val="none" w:sz="4" w:space="0" w:color="000000"/>
          <w:right w:val="none" w:sz="4" w:space="0" w:color="000000"/>
        </w:tcBorders>
        <w:shd w:val="clear" w:color="FFFFFF" w:fill="auto"/>
      </w:tcPr>
    </w:tblStylePr>
    <w:tblStylePr w:type="band1Vert">
      <w:tblPr/>
      <w:tcPr>
        <w:shd w:val="clear" w:color="E5EED5" w:themeColor="accent3" w:themeTint="40" w:fill="auto"/>
      </w:tcPr>
    </w:tblStylePr>
    <w:tblStylePr w:type="band1Horz">
      <w:rPr>
        <w:rFonts w:ascii="Arial" w:hAnsi="Arial"/>
        <w:color w:val="C3D69B" w:themeColor="accent3" w:themeTint="98" w:themeShade="95"/>
        <w:sz w:val="22"/>
      </w:rPr>
      <w:tblPr/>
      <w:tcPr>
        <w:shd w:val="clear" w:color="E5EED5" w:themeColor="accent3" w:themeTint="40" w:fill="auto"/>
      </w:tcPr>
    </w:tblStylePr>
    <w:tblStylePr w:type="band2Horz">
      <w:rPr>
        <w:rFonts w:ascii="Arial" w:hAnsi="Arial"/>
        <w:color w:val="C3D69B" w:themeColor="accent3" w:themeTint="98" w:themeShade="95"/>
        <w:sz w:val="22"/>
      </w:rPr>
    </w:tblStylePr>
  </w:style>
  <w:style w:type="table" w:customStyle="1" w:styleId="ListTable7Colorful-Accent4">
    <w:name w:val="List Table 7 Colorful - Accent 4"/>
    <w:basedOn w:val="a2"/>
    <w:uiPriority w:val="99"/>
    <w:pPr>
      <w:spacing w:after="0"/>
    </w:pPr>
    <w:tblPr>
      <w:tblStyleRowBandSize w:val="1"/>
      <w:tblStyleColBandSize w:val="1"/>
      <w:tblBorders>
        <w:right w:val="single" w:sz="4" w:space="0" w:color="B2A1C6" w:themeColor="accent4" w:themeTint="9A"/>
      </w:tblBorders>
    </w:tblPr>
    <w:tblStylePr w:type="firstRow">
      <w:rPr>
        <w:rFonts w:ascii="Arial" w:hAnsi="Arial"/>
        <w:i/>
        <w:color w:val="B2A1C6" w:themeColor="accent4" w:themeTint="9A" w:themeShade="95"/>
        <w:sz w:val="22"/>
      </w:rPr>
      <w:tblPr/>
      <w:tcPr>
        <w:tcBorders>
          <w:top w:val="none" w:sz="4" w:space="0" w:color="000000"/>
          <w:left w:val="none" w:sz="4" w:space="0" w:color="000000"/>
          <w:bottom w:val="single" w:sz="4" w:space="0" w:color="B2A1C6" w:themeColor="accent4" w:themeTint="9A"/>
          <w:right w:val="none" w:sz="4" w:space="0" w:color="000000"/>
        </w:tcBorders>
        <w:shd w:val="clear" w:color="FFFFFF" w:themeColor="light1" w:fill="auto"/>
      </w:tcPr>
    </w:tblStylePr>
    <w:tblStylePr w:type="lastRow">
      <w:rPr>
        <w:rFonts w:ascii="Arial" w:hAnsi="Arial"/>
        <w:i/>
        <w:color w:val="B2A1C6" w:themeColor="accent4" w:themeTint="9A" w:themeShade="95"/>
        <w:sz w:val="22"/>
      </w:rPr>
      <w:tblPr/>
      <w:tcPr>
        <w:tcBorders>
          <w:top w:val="single" w:sz="4" w:space="0" w:color="B2A1C6" w:themeColor="accent4" w:themeTint="9A"/>
          <w:left w:val="none" w:sz="4" w:space="0" w:color="000000"/>
          <w:bottom w:val="none" w:sz="4" w:space="0" w:color="000000"/>
          <w:right w:val="none" w:sz="4" w:space="0" w:color="000000"/>
        </w:tcBorders>
        <w:shd w:val="clear" w:color="FFFFFF" w:themeColor="light1" w:fill="auto"/>
      </w:tcPr>
    </w:tblStylePr>
    <w:tblStylePr w:type="firstCol">
      <w:pPr>
        <w:jc w:val="right"/>
      </w:pPr>
      <w:rPr>
        <w:rFonts w:ascii="Arial" w:hAnsi="Arial"/>
        <w:i/>
        <w:color w:val="B2A1C6" w:themeColor="accent4" w:themeTint="9A" w:themeShade="95"/>
        <w:sz w:val="22"/>
      </w:rPr>
      <w:tblPr/>
      <w:tcPr>
        <w:tcBorders>
          <w:top w:val="none" w:sz="4" w:space="0" w:color="000000"/>
          <w:left w:val="none" w:sz="4" w:space="0" w:color="000000"/>
          <w:bottom w:val="none" w:sz="4" w:space="0" w:color="000000"/>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4" w:space="0" w:color="000000"/>
          <w:left w:val="single" w:sz="4" w:space="0" w:color="B2A1C6" w:themeColor="accent4" w:themeTint="9A"/>
          <w:bottom w:val="none" w:sz="4" w:space="0" w:color="000000"/>
          <w:right w:val="none" w:sz="4" w:space="0" w:color="000000"/>
        </w:tcBorders>
        <w:shd w:val="clear" w:color="FFFFFF" w:fill="auto"/>
      </w:tcPr>
    </w:tblStylePr>
    <w:tblStylePr w:type="band1Vert">
      <w:tblPr/>
      <w:tcPr>
        <w:shd w:val="clear" w:color="DFD8E7" w:themeColor="accent4" w:themeTint="40" w:fill="auto"/>
      </w:tcPr>
    </w:tblStylePr>
    <w:tblStylePr w:type="band1Horz">
      <w:rPr>
        <w:rFonts w:ascii="Arial" w:hAnsi="Arial"/>
        <w:color w:val="B2A1C6" w:themeColor="accent4" w:themeTint="9A" w:themeShade="95"/>
        <w:sz w:val="22"/>
      </w:rPr>
      <w:tblPr/>
      <w:tcPr>
        <w:shd w:val="clear" w:color="DFD8E7" w:themeColor="accent4" w:themeTint="40" w:fill="auto"/>
      </w:tcPr>
    </w:tblStylePr>
    <w:tblStylePr w:type="band2Horz">
      <w:rPr>
        <w:rFonts w:ascii="Arial" w:hAnsi="Arial"/>
        <w:color w:val="B2A1C6" w:themeColor="accent4" w:themeTint="9A" w:themeShade="95"/>
        <w:sz w:val="22"/>
      </w:rPr>
    </w:tblStylePr>
  </w:style>
  <w:style w:type="table" w:customStyle="1" w:styleId="ListTable7Colorful-Accent5">
    <w:name w:val="List Table 7 Colorful - Accent 5"/>
    <w:basedOn w:val="a2"/>
    <w:uiPriority w:val="99"/>
    <w:pPr>
      <w:spacing w:after="0"/>
    </w:pPr>
    <w:tblPr>
      <w:tblStyleRowBandSize w:val="1"/>
      <w:tblStyleColBandSize w:val="1"/>
      <w:tblBorders>
        <w:right w:val="single" w:sz="4" w:space="0" w:color="92CCDC" w:themeColor="accent5" w:themeTint="9A"/>
      </w:tblBorders>
    </w:tblPr>
    <w:tblStylePr w:type="firstRow">
      <w:rPr>
        <w:rFonts w:ascii="Arial" w:hAnsi="Arial"/>
        <w:i/>
        <w:color w:val="92CCDC" w:themeColor="accent5" w:themeTint="9A" w:themeShade="95"/>
        <w:sz w:val="22"/>
      </w:rPr>
      <w:tblPr/>
      <w:tcPr>
        <w:tcBorders>
          <w:top w:val="none" w:sz="4" w:space="0" w:color="000000"/>
          <w:left w:val="none" w:sz="4" w:space="0" w:color="000000"/>
          <w:bottom w:val="single" w:sz="4" w:space="0" w:color="92CCDC" w:themeColor="accent5" w:themeTint="9A"/>
          <w:right w:val="none" w:sz="4" w:space="0" w:color="000000"/>
        </w:tcBorders>
        <w:shd w:val="clear" w:color="FFFFFF" w:themeColor="light1" w:fill="auto"/>
      </w:tcPr>
    </w:tblStylePr>
    <w:tblStylePr w:type="lastRow">
      <w:rPr>
        <w:rFonts w:ascii="Arial" w:hAnsi="Arial"/>
        <w:i/>
        <w:color w:val="92CCDC" w:themeColor="accent5" w:themeTint="9A" w:themeShade="95"/>
        <w:sz w:val="22"/>
      </w:rPr>
      <w:tblPr/>
      <w:tcPr>
        <w:tcBorders>
          <w:top w:val="single" w:sz="4" w:space="0" w:color="92CCDC" w:themeColor="accent5" w:themeTint="9A"/>
          <w:left w:val="none" w:sz="4" w:space="0" w:color="000000"/>
          <w:bottom w:val="none" w:sz="4" w:space="0" w:color="000000"/>
          <w:right w:val="none" w:sz="4" w:space="0" w:color="000000"/>
        </w:tcBorders>
        <w:shd w:val="clear" w:color="FFFFFF" w:themeColor="light1" w:fill="auto"/>
      </w:tcPr>
    </w:tblStylePr>
    <w:tblStylePr w:type="firstCol">
      <w:pPr>
        <w:jc w:val="right"/>
      </w:pPr>
      <w:rPr>
        <w:rFonts w:ascii="Arial" w:hAnsi="Arial"/>
        <w:i/>
        <w:color w:val="92CCDC" w:themeColor="accent5" w:themeTint="9A" w:themeShade="95"/>
        <w:sz w:val="22"/>
      </w:rPr>
      <w:tblPr/>
      <w:tcPr>
        <w:tcBorders>
          <w:top w:val="none" w:sz="4" w:space="0" w:color="000000"/>
          <w:left w:val="none" w:sz="4" w:space="0" w:color="000000"/>
          <w:bottom w:val="none" w:sz="4" w:space="0" w:color="000000"/>
          <w:right w:val="single" w:sz="4" w:space="0" w:color="92CCDC" w:themeColor="accent5" w:themeTint="9A"/>
        </w:tcBorders>
        <w:shd w:val="clear" w:color="FFFFFF" w:fill="auto"/>
      </w:tcPr>
    </w:tblStylePr>
    <w:tblStylePr w:type="lastCol">
      <w:rPr>
        <w:rFonts w:ascii="Arial" w:hAnsi="Arial"/>
        <w:i/>
        <w:color w:val="92CCDC" w:themeColor="accent5" w:themeTint="9A" w:themeShade="95"/>
        <w:sz w:val="22"/>
      </w:rPr>
      <w:tblPr/>
      <w:tcPr>
        <w:tcBorders>
          <w:top w:val="none" w:sz="4" w:space="0" w:color="000000"/>
          <w:left w:val="single" w:sz="4" w:space="0" w:color="92CCDC" w:themeColor="accent5" w:themeTint="9A"/>
          <w:bottom w:val="none" w:sz="4" w:space="0" w:color="000000"/>
          <w:right w:val="none" w:sz="4" w:space="0" w:color="000000"/>
        </w:tcBorders>
        <w:shd w:val="clear" w:color="FFFFFF" w:fill="auto"/>
      </w:tcPr>
    </w:tblStylePr>
    <w:tblStylePr w:type="band1Vert">
      <w:tblPr/>
      <w:tcPr>
        <w:shd w:val="clear" w:color="D1EAF0" w:themeColor="accent5" w:themeTint="40" w:fill="auto"/>
      </w:tcPr>
    </w:tblStylePr>
    <w:tblStylePr w:type="band1Horz">
      <w:rPr>
        <w:rFonts w:ascii="Arial" w:hAnsi="Arial"/>
        <w:color w:val="92CCDC" w:themeColor="accent5" w:themeTint="9A" w:themeShade="95"/>
        <w:sz w:val="22"/>
      </w:rPr>
      <w:tblPr/>
      <w:tcPr>
        <w:shd w:val="clear" w:color="D1EAF0" w:themeColor="accent5" w:themeTint="40" w:fill="auto"/>
      </w:tcPr>
    </w:tblStylePr>
    <w:tblStylePr w:type="band2Horz">
      <w:rPr>
        <w:rFonts w:ascii="Arial" w:hAnsi="Arial"/>
        <w:color w:val="92CCDC" w:themeColor="accent5" w:themeTint="9A" w:themeShade="95"/>
        <w:sz w:val="22"/>
      </w:rPr>
    </w:tblStylePr>
  </w:style>
  <w:style w:type="table" w:customStyle="1" w:styleId="ListTable7Colorful-Accent6">
    <w:name w:val="List Table 7 Colorful - Accent 6"/>
    <w:basedOn w:val="a2"/>
    <w:uiPriority w:val="99"/>
    <w:pPr>
      <w:spacing w:after="0"/>
    </w:pPr>
    <w:tblPr>
      <w:tblStyleRowBandSize w:val="1"/>
      <w:tblStyleColBandSize w:val="1"/>
      <w:tblBorders>
        <w:right w:val="single" w:sz="4" w:space="0" w:color="FAC090" w:themeColor="accent6" w:themeTint="98"/>
      </w:tblBorders>
    </w:tblPr>
    <w:tblStylePr w:type="firstRow">
      <w:rPr>
        <w:rFonts w:ascii="Arial" w:hAnsi="Arial"/>
        <w:i/>
        <w:color w:val="FAC090" w:themeColor="accent6" w:themeTint="98" w:themeShade="95"/>
        <w:sz w:val="22"/>
      </w:rPr>
      <w:tblPr/>
      <w:tcPr>
        <w:tcBorders>
          <w:top w:val="none" w:sz="4" w:space="0" w:color="000000"/>
          <w:left w:val="none" w:sz="4" w:space="0" w:color="000000"/>
          <w:bottom w:val="single" w:sz="4" w:space="0" w:color="FAC090" w:themeColor="accent6" w:themeTint="98"/>
          <w:right w:val="none" w:sz="4" w:space="0" w:color="000000"/>
        </w:tcBorders>
        <w:shd w:val="clear" w:color="FFFFFF" w:themeColor="light1" w:fill="auto"/>
      </w:tcPr>
    </w:tblStylePr>
    <w:tblStylePr w:type="lastRow">
      <w:rPr>
        <w:rFonts w:ascii="Arial" w:hAnsi="Arial"/>
        <w:i/>
        <w:color w:val="FAC090" w:themeColor="accent6" w:themeTint="98" w:themeShade="95"/>
        <w:sz w:val="22"/>
      </w:rPr>
      <w:tblPr/>
      <w:tcPr>
        <w:tcBorders>
          <w:top w:val="single" w:sz="4" w:space="0" w:color="FAC090" w:themeColor="accent6" w:themeTint="98"/>
          <w:left w:val="none" w:sz="4" w:space="0" w:color="000000"/>
          <w:bottom w:val="none" w:sz="4" w:space="0" w:color="000000"/>
          <w:right w:val="none" w:sz="4" w:space="0" w:color="000000"/>
        </w:tcBorders>
        <w:shd w:val="clear" w:color="FFFFFF" w:themeColor="light1" w:fill="auto"/>
      </w:tcPr>
    </w:tblStylePr>
    <w:tblStylePr w:type="firstCol">
      <w:pPr>
        <w:jc w:val="right"/>
      </w:pPr>
      <w:rPr>
        <w:rFonts w:ascii="Arial" w:hAnsi="Arial"/>
        <w:i/>
        <w:color w:val="FAC090" w:themeColor="accent6" w:themeTint="98" w:themeShade="95"/>
        <w:sz w:val="22"/>
      </w:rPr>
      <w:tblPr/>
      <w:tcPr>
        <w:tcBorders>
          <w:top w:val="none" w:sz="4" w:space="0" w:color="000000"/>
          <w:left w:val="none" w:sz="4" w:space="0" w:color="000000"/>
          <w:bottom w:val="none" w:sz="4" w:space="0" w:color="000000"/>
          <w:right w:val="single" w:sz="4" w:space="0" w:color="FAC090" w:themeColor="accent6" w:themeTint="98"/>
        </w:tcBorders>
        <w:shd w:val="clear" w:color="FFFFFF" w:fill="auto"/>
      </w:tcPr>
    </w:tblStylePr>
    <w:tblStylePr w:type="lastCol">
      <w:rPr>
        <w:rFonts w:ascii="Arial" w:hAnsi="Arial"/>
        <w:i/>
        <w:color w:val="FAC090" w:themeColor="accent6" w:themeTint="98" w:themeShade="95"/>
        <w:sz w:val="22"/>
      </w:rPr>
      <w:tblPr/>
      <w:tcPr>
        <w:tcBorders>
          <w:top w:val="none" w:sz="4" w:space="0" w:color="000000"/>
          <w:left w:val="single" w:sz="4" w:space="0" w:color="FAC090" w:themeColor="accent6" w:themeTint="98"/>
          <w:bottom w:val="none" w:sz="4" w:space="0" w:color="000000"/>
          <w:right w:val="none" w:sz="4" w:space="0" w:color="000000"/>
        </w:tcBorders>
        <w:shd w:val="clear" w:color="FFFFFF" w:fill="auto"/>
      </w:tcPr>
    </w:tblStylePr>
    <w:tblStylePr w:type="band1Vert">
      <w:tblPr/>
      <w:tcPr>
        <w:shd w:val="clear" w:color="FDE4D0" w:themeColor="accent6" w:themeTint="40" w:fill="auto"/>
      </w:tcPr>
    </w:tblStylePr>
    <w:tblStylePr w:type="band1Horz">
      <w:rPr>
        <w:rFonts w:ascii="Arial" w:hAnsi="Arial"/>
        <w:color w:val="FAC090" w:themeColor="accent6" w:themeTint="98" w:themeShade="95"/>
        <w:sz w:val="22"/>
      </w:rPr>
      <w:tblPr/>
      <w:tcPr>
        <w:shd w:val="clear" w:color="FDE4D0" w:themeColor="accent6" w:themeTint="40" w:fill="auto"/>
      </w:tcPr>
    </w:tblStylePr>
    <w:tblStylePr w:type="band2Horz">
      <w:rPr>
        <w:rFonts w:ascii="Arial" w:hAnsi="Arial"/>
        <w:color w:val="FAC090" w:themeColor="accent6" w:themeTint="98" w:themeShade="95"/>
        <w:sz w:val="22"/>
      </w:rPr>
    </w:tblStylePr>
  </w:style>
  <w:style w:type="table" w:customStyle="1" w:styleId="Lined-Accent">
    <w:name w:val="Lined - Accent"/>
    <w:basedOn w:val="a2"/>
    <w:uiPriority w:val="99"/>
    <w:pPr>
      <w:spacing w:after="0"/>
    </w:pPr>
    <w:rPr>
      <w:color w:val="404040"/>
    </w:rPr>
    <w:tblPr>
      <w:tblStyleRowBandSize w:val="1"/>
      <w:tblStyleColBandSize w:val="1"/>
    </w:tblPr>
    <w:tblStylePr w:type="firstRow">
      <w:rPr>
        <w:rFonts w:ascii="Arial" w:hAnsi="Arial"/>
        <w:color w:val="F2F2F2"/>
        <w:sz w:val="22"/>
      </w:rPr>
      <w:tblPr/>
      <w:tcPr>
        <w:shd w:val="clear" w:color="7F7F7F" w:themeColor="text1" w:themeTint="80" w:fill="auto"/>
      </w:tcPr>
    </w:tblStylePr>
    <w:tblStylePr w:type="lastRow">
      <w:rPr>
        <w:rFonts w:ascii="Arial" w:hAnsi="Arial"/>
        <w:color w:val="F2F2F2"/>
        <w:sz w:val="22"/>
      </w:rPr>
      <w:tblPr/>
      <w:tcPr>
        <w:shd w:val="clear" w:color="7F7F7F" w:themeColor="text1" w:themeTint="80" w:fill="auto"/>
      </w:tcPr>
    </w:tblStylePr>
    <w:tblStylePr w:type="firstCol">
      <w:rPr>
        <w:rFonts w:ascii="Arial" w:hAnsi="Arial"/>
        <w:color w:val="F2F2F2"/>
        <w:sz w:val="22"/>
      </w:rPr>
      <w:tblPr/>
      <w:tcPr>
        <w:shd w:val="clear" w:color="7F7F7F" w:themeColor="text1" w:themeTint="80" w:fill="auto"/>
      </w:tcPr>
    </w:tblStylePr>
    <w:tblStylePr w:type="lastCol">
      <w:rPr>
        <w:rFonts w:ascii="Arial" w:hAnsi="Arial"/>
        <w:color w:val="F2F2F2"/>
        <w:sz w:val="22"/>
      </w:rPr>
      <w:tblPr/>
      <w:tcPr>
        <w:shd w:val="clear" w:color="7F7F7F" w:themeColor="text1" w:themeTint="80" w:fill="auto"/>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auto"/>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auto"/>
      </w:tcPr>
    </w:tblStylePr>
  </w:style>
  <w:style w:type="table" w:customStyle="1" w:styleId="Lined-Accent1">
    <w:name w:val="Lined - Accent 1"/>
    <w:basedOn w:val="a2"/>
    <w:uiPriority w:val="99"/>
    <w:pPr>
      <w:spacing w:after="0"/>
    </w:pPr>
    <w:rPr>
      <w:color w:val="404040"/>
    </w:rPr>
    <w:tblPr>
      <w:tblStyleRowBandSize w:val="1"/>
      <w:tblStyleColBandSize w:val="1"/>
    </w:tblPr>
    <w:tblStylePr w:type="firstRow">
      <w:rPr>
        <w:rFonts w:ascii="Arial" w:hAnsi="Arial"/>
        <w:color w:val="F2F2F2"/>
        <w:sz w:val="22"/>
      </w:rPr>
      <w:tblPr/>
      <w:tcPr>
        <w:shd w:val="clear" w:color="5D8AC2" w:themeColor="accent1" w:themeTint="EA" w:fill="auto"/>
      </w:tcPr>
    </w:tblStylePr>
    <w:tblStylePr w:type="lastRow">
      <w:rPr>
        <w:rFonts w:ascii="Arial" w:hAnsi="Arial"/>
        <w:color w:val="F2F2F2"/>
        <w:sz w:val="22"/>
      </w:rPr>
      <w:tblPr/>
      <w:tcPr>
        <w:shd w:val="clear" w:color="5D8AC2" w:themeColor="accent1" w:themeTint="EA" w:fill="auto"/>
      </w:tcPr>
    </w:tblStylePr>
    <w:tblStylePr w:type="firstCol">
      <w:rPr>
        <w:rFonts w:ascii="Arial" w:hAnsi="Arial"/>
        <w:color w:val="F2F2F2"/>
        <w:sz w:val="22"/>
      </w:rPr>
      <w:tblPr/>
      <w:tcPr>
        <w:shd w:val="clear" w:color="5D8AC2" w:themeColor="accent1" w:themeTint="EA" w:fill="auto"/>
      </w:tcPr>
    </w:tblStylePr>
    <w:tblStylePr w:type="lastCol">
      <w:rPr>
        <w:rFonts w:ascii="Arial" w:hAnsi="Arial"/>
        <w:color w:val="F2F2F2"/>
        <w:sz w:val="22"/>
      </w:rPr>
      <w:tblPr/>
      <w:tcPr>
        <w:shd w:val="clear" w:color="5D8AC2" w:themeColor="accent1" w:themeTint="EA" w:fill="auto"/>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auto"/>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auto"/>
      </w:tcPr>
    </w:tblStylePr>
  </w:style>
  <w:style w:type="table" w:customStyle="1" w:styleId="Lined-Accent2">
    <w:name w:val="Lined - Accent 2"/>
    <w:basedOn w:val="a2"/>
    <w:uiPriority w:val="99"/>
    <w:pPr>
      <w:spacing w:after="0"/>
    </w:pPr>
    <w:rPr>
      <w:color w:val="404040"/>
    </w:rPr>
    <w:tblPr>
      <w:tblStyleRowBandSize w:val="1"/>
      <w:tblStyleColBandSize w:val="1"/>
    </w:tblPr>
    <w:tblStylePr w:type="firstRow">
      <w:rPr>
        <w:rFonts w:ascii="Arial" w:hAnsi="Arial"/>
        <w:color w:val="F2F2F2"/>
        <w:sz w:val="22"/>
      </w:rPr>
      <w:tblPr/>
      <w:tcPr>
        <w:shd w:val="clear" w:color="D99695" w:themeColor="accent2" w:themeTint="97" w:fill="auto"/>
      </w:tcPr>
    </w:tblStylePr>
    <w:tblStylePr w:type="lastRow">
      <w:rPr>
        <w:rFonts w:ascii="Arial" w:hAnsi="Arial"/>
        <w:color w:val="F2F2F2"/>
        <w:sz w:val="22"/>
      </w:rPr>
      <w:tblPr/>
      <w:tcPr>
        <w:shd w:val="clear" w:color="D99695" w:themeColor="accent2" w:themeTint="97" w:fill="auto"/>
      </w:tcPr>
    </w:tblStylePr>
    <w:tblStylePr w:type="firstCol">
      <w:rPr>
        <w:rFonts w:ascii="Arial" w:hAnsi="Arial"/>
        <w:color w:val="F2F2F2"/>
        <w:sz w:val="22"/>
      </w:rPr>
      <w:tblPr/>
      <w:tcPr>
        <w:shd w:val="clear" w:color="D99695" w:themeColor="accent2" w:themeTint="97" w:fill="auto"/>
      </w:tcPr>
    </w:tblStylePr>
    <w:tblStylePr w:type="lastCol">
      <w:rPr>
        <w:rFonts w:ascii="Arial" w:hAnsi="Arial"/>
        <w:color w:val="F2F2F2"/>
        <w:sz w:val="22"/>
      </w:rPr>
      <w:tblPr/>
      <w:tcPr>
        <w:shd w:val="clear" w:color="D99695" w:themeColor="accent2" w:themeTint="97" w:fill="auto"/>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auto"/>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auto"/>
      </w:tcPr>
    </w:tblStylePr>
  </w:style>
  <w:style w:type="table" w:customStyle="1" w:styleId="Lined-Accent3">
    <w:name w:val="Lined - Accent 3"/>
    <w:basedOn w:val="a2"/>
    <w:uiPriority w:val="99"/>
    <w:pPr>
      <w:spacing w:after="0"/>
    </w:pPr>
    <w:rPr>
      <w:color w:val="404040"/>
    </w:rPr>
    <w:tblPr>
      <w:tblStyleRowBandSize w:val="1"/>
      <w:tblStyleColBandSize w:val="1"/>
    </w:tblPr>
    <w:tblStylePr w:type="firstRow">
      <w:rPr>
        <w:rFonts w:ascii="Arial" w:hAnsi="Arial"/>
        <w:color w:val="F2F2F2"/>
        <w:sz w:val="22"/>
      </w:rPr>
      <w:tblPr/>
      <w:tcPr>
        <w:shd w:val="clear" w:color="9ABB59" w:themeColor="accent3" w:themeTint="FE" w:fill="auto"/>
      </w:tcPr>
    </w:tblStylePr>
    <w:tblStylePr w:type="lastRow">
      <w:rPr>
        <w:rFonts w:ascii="Arial" w:hAnsi="Arial"/>
        <w:color w:val="F2F2F2"/>
        <w:sz w:val="22"/>
      </w:rPr>
      <w:tblPr/>
      <w:tcPr>
        <w:shd w:val="clear" w:color="9ABB59" w:themeColor="accent3" w:themeTint="FE" w:fill="auto"/>
      </w:tcPr>
    </w:tblStylePr>
    <w:tblStylePr w:type="firstCol">
      <w:rPr>
        <w:rFonts w:ascii="Arial" w:hAnsi="Arial"/>
        <w:color w:val="F2F2F2"/>
        <w:sz w:val="22"/>
      </w:rPr>
      <w:tblPr/>
      <w:tcPr>
        <w:shd w:val="clear" w:color="9ABB59" w:themeColor="accent3" w:themeTint="FE" w:fill="auto"/>
      </w:tcPr>
    </w:tblStylePr>
    <w:tblStylePr w:type="lastCol">
      <w:rPr>
        <w:rFonts w:ascii="Arial" w:hAnsi="Arial"/>
        <w:color w:val="F2F2F2"/>
        <w:sz w:val="22"/>
      </w:rPr>
      <w:tblPr/>
      <w:tcPr>
        <w:shd w:val="clear" w:color="9ABB59" w:themeColor="accent3" w:themeTint="FE" w:fill="auto"/>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auto"/>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auto"/>
      </w:tcPr>
    </w:tblStylePr>
  </w:style>
  <w:style w:type="table" w:customStyle="1" w:styleId="Lined-Accent4">
    <w:name w:val="Lined - Accent 4"/>
    <w:basedOn w:val="a2"/>
    <w:uiPriority w:val="99"/>
    <w:pPr>
      <w:spacing w:after="0"/>
    </w:pPr>
    <w:rPr>
      <w:color w:val="404040"/>
    </w:rPr>
    <w:tblPr>
      <w:tblStyleRowBandSize w:val="1"/>
      <w:tblStyleColBandSize w:val="1"/>
    </w:tblPr>
    <w:tblStylePr w:type="firstRow">
      <w:rPr>
        <w:rFonts w:ascii="Arial" w:hAnsi="Arial"/>
        <w:color w:val="F2F2F2"/>
        <w:sz w:val="22"/>
      </w:rPr>
      <w:tblPr/>
      <w:tcPr>
        <w:shd w:val="clear" w:color="B2A1C6" w:themeColor="accent4" w:themeTint="9A" w:fill="auto"/>
      </w:tcPr>
    </w:tblStylePr>
    <w:tblStylePr w:type="lastRow">
      <w:rPr>
        <w:rFonts w:ascii="Arial" w:hAnsi="Arial"/>
        <w:color w:val="F2F2F2"/>
        <w:sz w:val="22"/>
      </w:rPr>
      <w:tblPr/>
      <w:tcPr>
        <w:shd w:val="clear" w:color="B2A1C6" w:themeColor="accent4" w:themeTint="9A" w:fill="auto"/>
      </w:tcPr>
    </w:tblStylePr>
    <w:tblStylePr w:type="firstCol">
      <w:rPr>
        <w:rFonts w:ascii="Arial" w:hAnsi="Arial"/>
        <w:color w:val="F2F2F2"/>
        <w:sz w:val="22"/>
      </w:rPr>
      <w:tblPr/>
      <w:tcPr>
        <w:shd w:val="clear" w:color="B2A1C6" w:themeColor="accent4" w:themeTint="9A" w:fill="auto"/>
      </w:tcPr>
    </w:tblStylePr>
    <w:tblStylePr w:type="lastCol">
      <w:rPr>
        <w:rFonts w:ascii="Arial" w:hAnsi="Arial"/>
        <w:color w:val="F2F2F2"/>
        <w:sz w:val="22"/>
      </w:rPr>
      <w:tblPr/>
      <w:tcPr>
        <w:shd w:val="clear" w:color="B2A1C6" w:themeColor="accent4" w:themeTint="9A" w:fill="auto"/>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auto"/>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auto"/>
      </w:tcPr>
    </w:tblStylePr>
  </w:style>
  <w:style w:type="table" w:customStyle="1" w:styleId="Lined-Accent5">
    <w:name w:val="Lined - Accent 5"/>
    <w:basedOn w:val="a2"/>
    <w:uiPriority w:val="99"/>
    <w:pPr>
      <w:spacing w:after="0"/>
    </w:pPr>
    <w:rPr>
      <w:color w:val="404040"/>
    </w:rPr>
    <w:tblPr>
      <w:tblStyleRowBandSize w:val="1"/>
      <w:tblStyleColBandSize w:val="1"/>
    </w:tblPr>
    <w:tblStylePr w:type="firstRow">
      <w:rPr>
        <w:rFonts w:ascii="Arial" w:hAnsi="Arial"/>
        <w:color w:val="F2F2F2"/>
        <w:sz w:val="22"/>
      </w:rPr>
      <w:tblPr/>
      <w:tcPr>
        <w:shd w:val="clear" w:color="4BACC6" w:themeColor="accent5" w:fill="auto"/>
      </w:tcPr>
    </w:tblStylePr>
    <w:tblStylePr w:type="lastRow">
      <w:rPr>
        <w:rFonts w:ascii="Arial" w:hAnsi="Arial"/>
        <w:color w:val="F2F2F2"/>
        <w:sz w:val="22"/>
      </w:rPr>
      <w:tblPr/>
      <w:tcPr>
        <w:shd w:val="clear" w:color="4BACC6" w:themeColor="accent5" w:fill="auto"/>
      </w:tcPr>
    </w:tblStylePr>
    <w:tblStylePr w:type="firstCol">
      <w:rPr>
        <w:rFonts w:ascii="Arial" w:hAnsi="Arial"/>
        <w:color w:val="F2F2F2"/>
        <w:sz w:val="22"/>
      </w:rPr>
      <w:tblPr/>
      <w:tcPr>
        <w:shd w:val="clear" w:color="4BACC6" w:themeColor="accent5" w:fill="auto"/>
      </w:tcPr>
    </w:tblStylePr>
    <w:tblStylePr w:type="lastCol">
      <w:rPr>
        <w:rFonts w:ascii="Arial" w:hAnsi="Arial"/>
        <w:color w:val="F2F2F2"/>
        <w:sz w:val="22"/>
      </w:rPr>
      <w:tblPr/>
      <w:tcPr>
        <w:shd w:val="clear" w:color="4BACC6" w:themeColor="accent5" w:fill="auto"/>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auto"/>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auto"/>
      </w:tcPr>
    </w:tblStylePr>
  </w:style>
  <w:style w:type="table" w:customStyle="1" w:styleId="Lined-Accent6">
    <w:name w:val="Lined - Accent 6"/>
    <w:basedOn w:val="a2"/>
    <w:uiPriority w:val="99"/>
    <w:pPr>
      <w:spacing w:after="0"/>
    </w:pPr>
    <w:rPr>
      <w:color w:val="404040"/>
    </w:rPr>
    <w:tblPr>
      <w:tblStyleRowBandSize w:val="1"/>
      <w:tblStyleColBandSize w:val="1"/>
    </w:tblPr>
    <w:tblStylePr w:type="firstRow">
      <w:rPr>
        <w:rFonts w:ascii="Arial" w:hAnsi="Arial"/>
        <w:color w:val="F2F2F2"/>
        <w:sz w:val="22"/>
      </w:rPr>
      <w:tblPr/>
      <w:tcPr>
        <w:shd w:val="clear" w:color="F79646" w:themeColor="accent6" w:fill="auto"/>
      </w:tcPr>
    </w:tblStylePr>
    <w:tblStylePr w:type="lastRow">
      <w:rPr>
        <w:rFonts w:ascii="Arial" w:hAnsi="Arial"/>
        <w:color w:val="F2F2F2"/>
        <w:sz w:val="22"/>
      </w:rPr>
      <w:tblPr/>
      <w:tcPr>
        <w:shd w:val="clear" w:color="F79646" w:themeColor="accent6" w:fill="auto"/>
      </w:tcPr>
    </w:tblStylePr>
    <w:tblStylePr w:type="firstCol">
      <w:rPr>
        <w:rFonts w:ascii="Arial" w:hAnsi="Arial"/>
        <w:color w:val="F2F2F2"/>
        <w:sz w:val="22"/>
      </w:rPr>
      <w:tblPr/>
      <w:tcPr>
        <w:shd w:val="clear" w:color="F79646" w:themeColor="accent6" w:fill="auto"/>
      </w:tcPr>
    </w:tblStylePr>
    <w:tblStylePr w:type="lastCol">
      <w:rPr>
        <w:rFonts w:ascii="Arial" w:hAnsi="Arial"/>
        <w:color w:val="F2F2F2"/>
        <w:sz w:val="22"/>
      </w:rPr>
      <w:tblPr/>
      <w:tcPr>
        <w:shd w:val="clear" w:color="F79646" w:themeColor="accent6" w:fill="auto"/>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auto"/>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auto"/>
      </w:tcPr>
    </w:tblStylePr>
  </w:style>
  <w:style w:type="table" w:customStyle="1" w:styleId="BorderedLined-Accent">
    <w:name w:val="Bordered &amp; Lined - Accent"/>
    <w:basedOn w:val="a2"/>
    <w:uiPriority w:val="99"/>
    <w:pPr>
      <w:spacing w:after="0"/>
    </w:pPr>
    <w:rPr>
      <w:color w:val="404040"/>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auto"/>
      </w:tcPr>
    </w:tblStylePr>
    <w:tblStylePr w:type="lastRow">
      <w:rPr>
        <w:rFonts w:ascii="Arial" w:hAnsi="Arial"/>
        <w:color w:val="F2F2F2"/>
        <w:sz w:val="22"/>
      </w:rPr>
      <w:tblPr/>
      <w:tcPr>
        <w:shd w:val="clear" w:color="7F7F7F" w:themeColor="text1" w:themeTint="80" w:fill="auto"/>
      </w:tcPr>
    </w:tblStylePr>
    <w:tblStylePr w:type="firstCol">
      <w:rPr>
        <w:rFonts w:ascii="Arial" w:hAnsi="Arial"/>
        <w:color w:val="F2F2F2"/>
        <w:sz w:val="22"/>
      </w:rPr>
      <w:tblPr/>
      <w:tcPr>
        <w:shd w:val="clear" w:color="7F7F7F" w:themeColor="text1" w:themeTint="80" w:fill="auto"/>
      </w:tcPr>
    </w:tblStylePr>
    <w:tblStylePr w:type="lastCol">
      <w:rPr>
        <w:rFonts w:ascii="Arial" w:hAnsi="Arial"/>
        <w:color w:val="F2F2F2"/>
        <w:sz w:val="22"/>
      </w:rPr>
      <w:tblPr/>
      <w:tcPr>
        <w:shd w:val="clear" w:color="7F7F7F" w:themeColor="text1" w:themeTint="80" w:fill="auto"/>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auto"/>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auto"/>
      </w:tcPr>
    </w:tblStylePr>
  </w:style>
  <w:style w:type="table" w:customStyle="1" w:styleId="BorderedLined-Accent1">
    <w:name w:val="Bordered &amp; Lined - Accent 1"/>
    <w:basedOn w:val="a2"/>
    <w:uiPriority w:val="99"/>
    <w:pPr>
      <w:spacing w:after="0"/>
    </w:pPr>
    <w:rPr>
      <w:color w:val="404040"/>
    </w:rPr>
    <w:tblPr>
      <w:tblStyleRowBandSize w:val="1"/>
      <w:tblStyleColBandSize w:val="1"/>
      <w:tblBorders>
        <w:top w:val="single" w:sz="4" w:space="0" w:color="2A4A71" w:themeColor="accent1" w:themeShade="95"/>
        <w:left w:val="single" w:sz="4" w:space="0" w:color="2A4A71" w:themeColor="accent1" w:themeShade="95"/>
        <w:bottom w:val="single" w:sz="4" w:space="0" w:color="2A4A71" w:themeColor="accent1" w:themeShade="95"/>
        <w:right w:val="single" w:sz="4" w:space="0" w:color="2A4A71" w:themeColor="accent1" w:themeShade="95"/>
        <w:insideH w:val="single" w:sz="4" w:space="0" w:color="2A4A71" w:themeColor="accent1" w:themeShade="95"/>
        <w:insideV w:val="single" w:sz="4" w:space="0" w:color="2A4A71" w:themeColor="accent1" w:themeShade="95"/>
      </w:tblBorders>
    </w:tblPr>
    <w:tblStylePr w:type="firstRow">
      <w:rPr>
        <w:rFonts w:ascii="Arial" w:hAnsi="Arial"/>
        <w:color w:val="F2F2F2"/>
        <w:sz w:val="22"/>
      </w:rPr>
      <w:tblPr/>
      <w:tcPr>
        <w:shd w:val="clear" w:color="5D8AC2" w:themeColor="accent1" w:themeTint="EA" w:fill="auto"/>
      </w:tcPr>
    </w:tblStylePr>
    <w:tblStylePr w:type="lastRow">
      <w:rPr>
        <w:rFonts w:ascii="Arial" w:hAnsi="Arial"/>
        <w:color w:val="F2F2F2"/>
        <w:sz w:val="22"/>
      </w:rPr>
      <w:tblPr/>
      <w:tcPr>
        <w:shd w:val="clear" w:color="5D8AC2" w:themeColor="accent1" w:themeTint="EA" w:fill="auto"/>
      </w:tcPr>
    </w:tblStylePr>
    <w:tblStylePr w:type="firstCol">
      <w:rPr>
        <w:rFonts w:ascii="Arial" w:hAnsi="Arial"/>
        <w:color w:val="F2F2F2"/>
        <w:sz w:val="22"/>
      </w:rPr>
      <w:tblPr/>
      <w:tcPr>
        <w:shd w:val="clear" w:color="5D8AC2" w:themeColor="accent1" w:themeTint="EA" w:fill="auto"/>
      </w:tcPr>
    </w:tblStylePr>
    <w:tblStylePr w:type="lastCol">
      <w:rPr>
        <w:rFonts w:ascii="Arial" w:hAnsi="Arial"/>
        <w:color w:val="F2F2F2"/>
        <w:sz w:val="22"/>
      </w:rPr>
      <w:tblPr/>
      <w:tcPr>
        <w:shd w:val="clear" w:color="5D8AC2" w:themeColor="accent1" w:themeTint="EA" w:fill="auto"/>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auto"/>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auto"/>
      </w:tcPr>
    </w:tblStylePr>
  </w:style>
  <w:style w:type="table" w:customStyle="1" w:styleId="BorderedLined-Accent2">
    <w:name w:val="Bordered &amp; Lined - Accent 2"/>
    <w:basedOn w:val="a2"/>
    <w:uiPriority w:val="99"/>
    <w:pPr>
      <w:spacing w:after="0"/>
    </w:pPr>
    <w:rPr>
      <w:color w:val="404040"/>
    </w:rPr>
    <w:tblPr>
      <w:tblStyleRowBandSize w:val="1"/>
      <w:tblStyleColBandSize w:val="1"/>
      <w:tblBorders>
        <w:top w:val="single" w:sz="4" w:space="0" w:color="732A29" w:themeColor="accent2" w:themeShade="95"/>
        <w:left w:val="single" w:sz="4" w:space="0" w:color="732A29" w:themeColor="accent2" w:themeShade="95"/>
        <w:bottom w:val="single" w:sz="4" w:space="0" w:color="732A29" w:themeColor="accent2" w:themeShade="95"/>
        <w:right w:val="single" w:sz="4" w:space="0" w:color="732A29" w:themeColor="accent2" w:themeShade="95"/>
        <w:insideH w:val="single" w:sz="4" w:space="0" w:color="732A29" w:themeColor="accent2" w:themeShade="95"/>
        <w:insideV w:val="single" w:sz="4" w:space="0" w:color="732A29" w:themeColor="accent2" w:themeShade="95"/>
      </w:tblBorders>
    </w:tblPr>
    <w:tblStylePr w:type="firstRow">
      <w:rPr>
        <w:rFonts w:ascii="Arial" w:hAnsi="Arial"/>
        <w:color w:val="F2F2F2"/>
        <w:sz w:val="22"/>
      </w:rPr>
      <w:tblPr/>
      <w:tcPr>
        <w:shd w:val="clear" w:color="D99695" w:themeColor="accent2" w:themeTint="97" w:fill="auto"/>
      </w:tcPr>
    </w:tblStylePr>
    <w:tblStylePr w:type="lastRow">
      <w:rPr>
        <w:rFonts w:ascii="Arial" w:hAnsi="Arial"/>
        <w:color w:val="F2F2F2"/>
        <w:sz w:val="22"/>
      </w:rPr>
      <w:tblPr/>
      <w:tcPr>
        <w:shd w:val="clear" w:color="D99695" w:themeColor="accent2" w:themeTint="97" w:fill="auto"/>
      </w:tcPr>
    </w:tblStylePr>
    <w:tblStylePr w:type="firstCol">
      <w:rPr>
        <w:rFonts w:ascii="Arial" w:hAnsi="Arial"/>
        <w:color w:val="F2F2F2"/>
        <w:sz w:val="22"/>
      </w:rPr>
      <w:tblPr/>
      <w:tcPr>
        <w:shd w:val="clear" w:color="D99695" w:themeColor="accent2" w:themeTint="97" w:fill="auto"/>
      </w:tcPr>
    </w:tblStylePr>
    <w:tblStylePr w:type="lastCol">
      <w:rPr>
        <w:rFonts w:ascii="Arial" w:hAnsi="Arial"/>
        <w:color w:val="F2F2F2"/>
        <w:sz w:val="22"/>
      </w:rPr>
      <w:tblPr/>
      <w:tcPr>
        <w:shd w:val="clear" w:color="D99695" w:themeColor="accent2" w:themeTint="97" w:fill="auto"/>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auto"/>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auto"/>
      </w:tcPr>
    </w:tblStylePr>
  </w:style>
  <w:style w:type="table" w:customStyle="1" w:styleId="BorderedLined-Accent3">
    <w:name w:val="Bordered &amp; Lined - Accent 3"/>
    <w:basedOn w:val="a2"/>
    <w:uiPriority w:val="99"/>
    <w:pPr>
      <w:spacing w:after="0"/>
    </w:pPr>
    <w:rPr>
      <w:color w:val="404040"/>
    </w:rPr>
    <w:tblPr>
      <w:tblStyleRowBandSize w:val="1"/>
      <w:tblStyleColBandSize w:val="1"/>
      <w:tblBorders>
        <w:top w:val="single" w:sz="4" w:space="0" w:color="5B722E" w:themeColor="accent3" w:themeShade="95"/>
        <w:left w:val="single" w:sz="4" w:space="0" w:color="5B722E" w:themeColor="accent3" w:themeShade="95"/>
        <w:bottom w:val="single" w:sz="4" w:space="0" w:color="5B722E" w:themeColor="accent3" w:themeShade="95"/>
        <w:right w:val="single" w:sz="4" w:space="0" w:color="5B722E" w:themeColor="accent3" w:themeShade="95"/>
        <w:insideH w:val="single" w:sz="4" w:space="0" w:color="5B722E" w:themeColor="accent3" w:themeShade="95"/>
        <w:insideV w:val="single" w:sz="4" w:space="0" w:color="5B722E" w:themeColor="accent3" w:themeShade="95"/>
      </w:tblBorders>
    </w:tblPr>
    <w:tblStylePr w:type="firstRow">
      <w:rPr>
        <w:rFonts w:ascii="Arial" w:hAnsi="Arial"/>
        <w:color w:val="F2F2F2"/>
        <w:sz w:val="22"/>
      </w:rPr>
      <w:tblPr/>
      <w:tcPr>
        <w:shd w:val="clear" w:color="9ABB59" w:themeColor="accent3" w:themeTint="FE" w:fill="auto"/>
      </w:tcPr>
    </w:tblStylePr>
    <w:tblStylePr w:type="lastRow">
      <w:rPr>
        <w:rFonts w:ascii="Arial" w:hAnsi="Arial"/>
        <w:color w:val="F2F2F2"/>
        <w:sz w:val="22"/>
      </w:rPr>
      <w:tblPr/>
      <w:tcPr>
        <w:shd w:val="clear" w:color="9ABB59" w:themeColor="accent3" w:themeTint="FE" w:fill="auto"/>
      </w:tcPr>
    </w:tblStylePr>
    <w:tblStylePr w:type="firstCol">
      <w:rPr>
        <w:rFonts w:ascii="Arial" w:hAnsi="Arial"/>
        <w:color w:val="F2F2F2"/>
        <w:sz w:val="22"/>
      </w:rPr>
      <w:tblPr/>
      <w:tcPr>
        <w:shd w:val="clear" w:color="9ABB59" w:themeColor="accent3" w:themeTint="FE" w:fill="auto"/>
      </w:tcPr>
    </w:tblStylePr>
    <w:tblStylePr w:type="lastCol">
      <w:rPr>
        <w:rFonts w:ascii="Arial" w:hAnsi="Arial"/>
        <w:color w:val="F2F2F2"/>
        <w:sz w:val="22"/>
      </w:rPr>
      <w:tblPr/>
      <w:tcPr>
        <w:shd w:val="clear" w:color="9ABB59" w:themeColor="accent3" w:themeTint="FE" w:fill="auto"/>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auto"/>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auto"/>
      </w:tcPr>
    </w:tblStylePr>
  </w:style>
  <w:style w:type="table" w:customStyle="1" w:styleId="BorderedLined-Accent4">
    <w:name w:val="Bordered &amp; Lined - Accent 4"/>
    <w:basedOn w:val="a2"/>
    <w:uiPriority w:val="99"/>
    <w:pPr>
      <w:spacing w:after="0"/>
    </w:pPr>
    <w:rPr>
      <w:color w:val="404040"/>
    </w:rPr>
    <w:tblPr>
      <w:tblStyleRowBandSize w:val="1"/>
      <w:tblStyleColBandSize w:val="1"/>
      <w:tblBorders>
        <w:top w:val="single" w:sz="4" w:space="0" w:color="4A395F" w:themeColor="accent4" w:themeShade="95"/>
        <w:left w:val="single" w:sz="4" w:space="0" w:color="4A395F" w:themeColor="accent4" w:themeShade="95"/>
        <w:bottom w:val="single" w:sz="4" w:space="0" w:color="4A395F" w:themeColor="accent4" w:themeShade="95"/>
        <w:right w:val="single" w:sz="4" w:space="0" w:color="4A395F" w:themeColor="accent4" w:themeShade="95"/>
        <w:insideH w:val="single" w:sz="4" w:space="0" w:color="4A395F" w:themeColor="accent4" w:themeShade="95"/>
        <w:insideV w:val="single" w:sz="4" w:space="0" w:color="4A395F" w:themeColor="accent4" w:themeShade="95"/>
      </w:tblBorders>
    </w:tblPr>
    <w:tblStylePr w:type="firstRow">
      <w:rPr>
        <w:rFonts w:ascii="Arial" w:hAnsi="Arial"/>
        <w:color w:val="F2F2F2"/>
        <w:sz w:val="22"/>
      </w:rPr>
      <w:tblPr/>
      <w:tcPr>
        <w:shd w:val="clear" w:color="B2A1C6" w:themeColor="accent4" w:themeTint="9A" w:fill="auto"/>
      </w:tcPr>
    </w:tblStylePr>
    <w:tblStylePr w:type="lastRow">
      <w:rPr>
        <w:rFonts w:ascii="Arial" w:hAnsi="Arial"/>
        <w:color w:val="F2F2F2"/>
        <w:sz w:val="22"/>
      </w:rPr>
      <w:tblPr/>
      <w:tcPr>
        <w:shd w:val="clear" w:color="B2A1C6" w:themeColor="accent4" w:themeTint="9A" w:fill="auto"/>
      </w:tcPr>
    </w:tblStylePr>
    <w:tblStylePr w:type="firstCol">
      <w:rPr>
        <w:rFonts w:ascii="Arial" w:hAnsi="Arial"/>
        <w:color w:val="F2F2F2"/>
        <w:sz w:val="22"/>
      </w:rPr>
      <w:tblPr/>
      <w:tcPr>
        <w:shd w:val="clear" w:color="B2A1C6" w:themeColor="accent4" w:themeTint="9A" w:fill="auto"/>
      </w:tcPr>
    </w:tblStylePr>
    <w:tblStylePr w:type="lastCol">
      <w:rPr>
        <w:rFonts w:ascii="Arial" w:hAnsi="Arial"/>
        <w:color w:val="F2F2F2"/>
        <w:sz w:val="22"/>
      </w:rPr>
      <w:tblPr/>
      <w:tcPr>
        <w:shd w:val="clear" w:color="B2A1C6" w:themeColor="accent4" w:themeTint="9A" w:fill="auto"/>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auto"/>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auto"/>
      </w:tcPr>
    </w:tblStylePr>
  </w:style>
  <w:style w:type="table" w:customStyle="1" w:styleId="BorderedLined-Accent5">
    <w:name w:val="Bordered &amp; Lined - Accent 5"/>
    <w:basedOn w:val="a2"/>
    <w:uiPriority w:val="99"/>
    <w:pPr>
      <w:spacing w:after="0"/>
    </w:pPr>
    <w:rPr>
      <w:color w:val="404040"/>
    </w:rPr>
    <w:tblPr>
      <w:tblStyleRowBandSize w:val="1"/>
      <w:tblStyleColBandSize w:val="1"/>
      <w:tblBorders>
        <w:top w:val="single" w:sz="4" w:space="0" w:color="266779" w:themeColor="accent5" w:themeShade="95"/>
        <w:left w:val="single" w:sz="4" w:space="0" w:color="266779" w:themeColor="accent5" w:themeShade="95"/>
        <w:bottom w:val="single" w:sz="4" w:space="0" w:color="266779" w:themeColor="accent5" w:themeShade="95"/>
        <w:right w:val="single" w:sz="4" w:space="0" w:color="266779" w:themeColor="accent5" w:themeShade="95"/>
        <w:insideH w:val="single" w:sz="4" w:space="0" w:color="266779" w:themeColor="accent5" w:themeShade="95"/>
        <w:insideV w:val="single" w:sz="4" w:space="0" w:color="266779" w:themeColor="accent5" w:themeShade="95"/>
      </w:tblBorders>
    </w:tblPr>
    <w:tblStylePr w:type="firstRow">
      <w:rPr>
        <w:rFonts w:ascii="Arial" w:hAnsi="Arial"/>
        <w:color w:val="F2F2F2"/>
        <w:sz w:val="22"/>
      </w:rPr>
      <w:tblPr/>
      <w:tcPr>
        <w:shd w:val="clear" w:color="4BACC6" w:themeColor="accent5" w:fill="auto"/>
      </w:tcPr>
    </w:tblStylePr>
    <w:tblStylePr w:type="lastRow">
      <w:rPr>
        <w:rFonts w:ascii="Arial" w:hAnsi="Arial"/>
        <w:color w:val="F2F2F2"/>
        <w:sz w:val="22"/>
      </w:rPr>
      <w:tblPr/>
      <w:tcPr>
        <w:shd w:val="clear" w:color="4BACC6" w:themeColor="accent5" w:fill="auto"/>
      </w:tcPr>
    </w:tblStylePr>
    <w:tblStylePr w:type="firstCol">
      <w:rPr>
        <w:rFonts w:ascii="Arial" w:hAnsi="Arial"/>
        <w:color w:val="F2F2F2"/>
        <w:sz w:val="22"/>
      </w:rPr>
      <w:tblPr/>
      <w:tcPr>
        <w:shd w:val="clear" w:color="4BACC6" w:themeColor="accent5" w:fill="auto"/>
      </w:tcPr>
    </w:tblStylePr>
    <w:tblStylePr w:type="lastCol">
      <w:rPr>
        <w:rFonts w:ascii="Arial" w:hAnsi="Arial"/>
        <w:color w:val="F2F2F2"/>
        <w:sz w:val="22"/>
      </w:rPr>
      <w:tblPr/>
      <w:tcPr>
        <w:shd w:val="clear" w:color="4BACC6" w:themeColor="accent5" w:fill="auto"/>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auto"/>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auto"/>
      </w:tcPr>
    </w:tblStylePr>
  </w:style>
  <w:style w:type="table" w:customStyle="1" w:styleId="BorderedLined-Accent6">
    <w:name w:val="Bordered &amp; Lined - Accent 6"/>
    <w:basedOn w:val="a2"/>
    <w:uiPriority w:val="99"/>
    <w:pPr>
      <w:spacing w:after="0"/>
    </w:pPr>
    <w:rPr>
      <w:color w:val="404040"/>
    </w:rPr>
    <w:tblPr>
      <w:tblStyleRowBandSize w:val="1"/>
      <w:tblStyleColBandSize w:val="1"/>
      <w:tblBorders>
        <w:top w:val="single" w:sz="4" w:space="0" w:color="B15407" w:themeColor="accent6" w:themeShade="95"/>
        <w:left w:val="single" w:sz="4" w:space="0" w:color="B15407" w:themeColor="accent6" w:themeShade="95"/>
        <w:bottom w:val="single" w:sz="4" w:space="0" w:color="B15407" w:themeColor="accent6" w:themeShade="95"/>
        <w:right w:val="single" w:sz="4" w:space="0" w:color="B15407" w:themeColor="accent6" w:themeShade="95"/>
        <w:insideH w:val="single" w:sz="4" w:space="0" w:color="B15407" w:themeColor="accent6" w:themeShade="95"/>
        <w:insideV w:val="single" w:sz="4" w:space="0" w:color="B15407" w:themeColor="accent6" w:themeShade="95"/>
      </w:tblBorders>
    </w:tblPr>
    <w:tblStylePr w:type="firstRow">
      <w:rPr>
        <w:rFonts w:ascii="Arial" w:hAnsi="Arial"/>
        <w:color w:val="F2F2F2"/>
        <w:sz w:val="22"/>
      </w:rPr>
      <w:tblPr/>
      <w:tcPr>
        <w:shd w:val="clear" w:color="F79646" w:themeColor="accent6" w:fill="auto"/>
      </w:tcPr>
    </w:tblStylePr>
    <w:tblStylePr w:type="lastRow">
      <w:rPr>
        <w:rFonts w:ascii="Arial" w:hAnsi="Arial"/>
        <w:color w:val="F2F2F2"/>
        <w:sz w:val="22"/>
      </w:rPr>
      <w:tblPr/>
      <w:tcPr>
        <w:shd w:val="clear" w:color="F79646" w:themeColor="accent6" w:fill="auto"/>
      </w:tcPr>
    </w:tblStylePr>
    <w:tblStylePr w:type="firstCol">
      <w:rPr>
        <w:rFonts w:ascii="Arial" w:hAnsi="Arial"/>
        <w:color w:val="F2F2F2"/>
        <w:sz w:val="22"/>
      </w:rPr>
      <w:tblPr/>
      <w:tcPr>
        <w:shd w:val="clear" w:color="F79646" w:themeColor="accent6" w:fill="auto"/>
      </w:tcPr>
    </w:tblStylePr>
    <w:tblStylePr w:type="lastCol">
      <w:rPr>
        <w:rFonts w:ascii="Arial" w:hAnsi="Arial"/>
        <w:color w:val="F2F2F2"/>
        <w:sz w:val="22"/>
      </w:rPr>
      <w:tblPr/>
      <w:tcPr>
        <w:shd w:val="clear" w:color="F79646" w:themeColor="accent6" w:fill="auto"/>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auto"/>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auto"/>
      </w:tcPr>
    </w:tblStylePr>
  </w:style>
  <w:style w:type="table" w:customStyle="1" w:styleId="Bordered">
    <w:name w:val="Bordered"/>
    <w:basedOn w:val="a2"/>
    <w:uiPriority w:val="99"/>
    <w:pPr>
      <w:spacing w:after="0"/>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a2"/>
    <w:uiPriority w:val="99"/>
    <w:pPr>
      <w:spacing w:after="0"/>
    </w:pPr>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rFonts w:ascii="Arial" w:hAnsi="Arial"/>
        <w:color w:val="404040"/>
        <w:sz w:val="22"/>
      </w:rPr>
      <w:tblPr/>
      <w:tcPr>
        <w:tcBorders>
          <w:bottom w:val="single" w:sz="12" w:space="0" w:color="4F81BD" w:themeColor="accent1"/>
        </w:tcBorders>
      </w:tcPr>
    </w:tblStylePr>
    <w:tblStylePr w:type="lastRow">
      <w:rPr>
        <w:rFonts w:ascii="Arial" w:hAnsi="Arial"/>
        <w:color w:val="404040"/>
        <w:sz w:val="22"/>
      </w:rPr>
      <w:tblPr/>
      <w:tcPr>
        <w:tcBorders>
          <w:top w:val="single" w:sz="12" w:space="0" w:color="4F81BD"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F81BD" w:themeColor="accent1"/>
        </w:tcBorders>
      </w:tc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Bordered-Accent2">
    <w:name w:val="Bordered - Accent 2"/>
    <w:basedOn w:val="a2"/>
    <w:uiPriority w:val="99"/>
    <w:pPr>
      <w:spacing w:after="0"/>
    </w:pPr>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rFonts w:ascii="Arial" w:hAnsi="Arial"/>
        <w:color w:val="404040"/>
        <w:sz w:val="22"/>
      </w:rPr>
      <w:tblPr/>
      <w:tcPr>
        <w:tcBorders>
          <w:bottom w:val="single" w:sz="12" w:space="0" w:color="D99695" w:themeColor="accent2" w:themeTint="97"/>
        </w:tcBorders>
      </w:tcPr>
    </w:tblStylePr>
    <w:tblStylePr w:type="lastRow">
      <w:rPr>
        <w:rFonts w:ascii="Arial" w:hAnsi="Arial"/>
        <w:color w:val="404040"/>
        <w:sz w:val="22"/>
      </w:rPr>
      <w:tblPr/>
      <w:tcPr>
        <w:tcBorders>
          <w:top w:val="single" w:sz="12" w:space="0" w:color="D99695"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99695" w:themeColor="accent2" w:themeTint="97"/>
        </w:tcBorders>
      </w:tc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Bordered-Accent3">
    <w:name w:val="Bordered - Accent 3"/>
    <w:basedOn w:val="a2"/>
    <w:uiPriority w:val="99"/>
    <w:pPr>
      <w:spacing w:after="0"/>
    </w:pPr>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rFonts w:ascii="Arial" w:hAnsi="Arial"/>
        <w:color w:val="404040"/>
        <w:sz w:val="22"/>
      </w:rPr>
      <w:tblPr/>
      <w:tcPr>
        <w:tcBorders>
          <w:bottom w:val="single" w:sz="12" w:space="0" w:color="C3D69B" w:themeColor="accent3" w:themeTint="98"/>
        </w:tcBorders>
      </w:tcPr>
    </w:tblStylePr>
    <w:tblStylePr w:type="lastRow">
      <w:rPr>
        <w:rFonts w:ascii="Arial" w:hAnsi="Arial"/>
        <w:color w:val="404040"/>
        <w:sz w:val="22"/>
      </w:rPr>
      <w:tblPr/>
      <w:tcPr>
        <w:tcBorders>
          <w:top w:val="single" w:sz="12" w:space="0" w:color="C3D69B"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3D69B" w:themeColor="accent3" w:themeTint="98"/>
        </w:tcBorders>
      </w:tc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Bordered-Accent4">
    <w:name w:val="Bordered - Accent 4"/>
    <w:basedOn w:val="a2"/>
    <w:uiPriority w:val="99"/>
    <w:pPr>
      <w:spacing w:after="0"/>
    </w:pPr>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rFonts w:ascii="Arial" w:hAnsi="Arial"/>
        <w:color w:val="404040"/>
        <w:sz w:val="22"/>
      </w:rPr>
      <w:tblPr/>
      <w:tcPr>
        <w:tcBorders>
          <w:bottom w:val="single" w:sz="12" w:space="0" w:color="B2A1C6" w:themeColor="accent4" w:themeTint="9A"/>
        </w:tcBorders>
      </w:tcPr>
    </w:tblStylePr>
    <w:tblStylePr w:type="lastRow">
      <w:rPr>
        <w:rFonts w:ascii="Arial" w:hAnsi="Arial"/>
        <w:color w:val="404040"/>
        <w:sz w:val="22"/>
      </w:rPr>
      <w:tblPr/>
      <w:tcPr>
        <w:tcBorders>
          <w:top w:val="single" w:sz="12" w:space="0" w:color="B2A1C6"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B2A1C6" w:themeColor="accent4" w:themeTint="9A"/>
        </w:tcBorders>
      </w:tc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Bordered-Accent5">
    <w:name w:val="Bordered - Accent 5"/>
    <w:basedOn w:val="a2"/>
    <w:uiPriority w:val="99"/>
    <w:pPr>
      <w:spacing w:after="0"/>
    </w:pPr>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rFonts w:ascii="Arial" w:hAnsi="Arial"/>
        <w:color w:val="404040"/>
        <w:sz w:val="22"/>
      </w:rPr>
      <w:tblPr/>
      <w:tcPr>
        <w:tcBorders>
          <w:bottom w:val="single" w:sz="12" w:space="0" w:color="92CCDC" w:themeColor="accent5" w:themeTint="9A"/>
        </w:tcBorders>
      </w:tcPr>
    </w:tblStylePr>
    <w:tblStylePr w:type="lastRow">
      <w:rPr>
        <w:rFonts w:ascii="Arial" w:hAnsi="Arial"/>
        <w:color w:val="404040"/>
        <w:sz w:val="22"/>
      </w:rPr>
      <w:tblPr/>
      <w:tcPr>
        <w:tcBorders>
          <w:top w:val="single" w:sz="12" w:space="0" w:color="92CCDC"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2CCDC" w:themeColor="accent5" w:themeTint="9A"/>
        </w:tcBorders>
      </w:tc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Bordered-Accent6">
    <w:name w:val="Bordered - Accent 6"/>
    <w:basedOn w:val="a2"/>
    <w:uiPriority w:val="99"/>
    <w:pPr>
      <w:spacing w:after="0"/>
    </w:pPr>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rFonts w:ascii="Arial" w:hAnsi="Arial"/>
        <w:color w:val="404040"/>
        <w:sz w:val="22"/>
      </w:rPr>
      <w:tblPr/>
      <w:tcPr>
        <w:tcBorders>
          <w:bottom w:val="single" w:sz="12" w:space="0" w:color="FAC090" w:themeColor="accent6" w:themeTint="98"/>
        </w:tcBorders>
      </w:tcPr>
    </w:tblStylePr>
    <w:tblStylePr w:type="lastRow">
      <w:rPr>
        <w:rFonts w:ascii="Arial" w:hAnsi="Arial"/>
        <w:color w:val="404040"/>
        <w:sz w:val="22"/>
      </w:rPr>
      <w:tblPr/>
      <w:tcPr>
        <w:tcBorders>
          <w:top w:val="single" w:sz="12" w:space="0" w:color="FAC090"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AC090" w:themeColor="accent6" w:themeTint="98"/>
        </w:tcBorders>
      </w:tc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character" w:customStyle="1" w:styleId="af3">
    <w:name w:val="脚注文本 字符"/>
    <w:link w:val="af4"/>
    <w:uiPriority w:val="99"/>
    <w:rPr>
      <w:sz w:val="18"/>
    </w:rPr>
  </w:style>
  <w:style w:type="paragraph" w:styleId="af5">
    <w:name w:val="endnote text"/>
    <w:basedOn w:val="a"/>
    <w:link w:val="af6"/>
    <w:uiPriority w:val="99"/>
    <w:semiHidden/>
    <w:unhideWhenUsed/>
    <w:pPr>
      <w:spacing w:after="0"/>
    </w:pPr>
    <w:rPr>
      <w:sz w:val="20"/>
    </w:rPr>
  </w:style>
  <w:style w:type="character" w:customStyle="1" w:styleId="af6">
    <w:name w:val="尾注文本 字符"/>
    <w:link w:val="af5"/>
    <w:uiPriority w:val="99"/>
    <w:rPr>
      <w:sz w:val="20"/>
    </w:rPr>
  </w:style>
  <w:style w:type="character" w:styleId="af7">
    <w:name w:val="endnote reference"/>
    <w:basedOn w:val="a1"/>
    <w:uiPriority w:val="99"/>
    <w:semiHidden/>
    <w:unhideWhenUsed/>
    <w:rPr>
      <w:vertAlign w:val="superscript"/>
    </w:rPr>
  </w:style>
  <w:style w:type="paragraph" w:styleId="TOC1">
    <w:name w:val="toc 1"/>
    <w:basedOn w:val="a"/>
    <w:next w:val="a"/>
    <w:uiPriority w:val="39"/>
    <w:unhideWhenUsed/>
    <w:pPr>
      <w:spacing w:after="57"/>
    </w:pPr>
  </w:style>
  <w:style w:type="paragraph" w:styleId="TOC2">
    <w:name w:val="toc 2"/>
    <w:basedOn w:val="a"/>
    <w:next w:val="a"/>
    <w:uiPriority w:val="39"/>
    <w:unhideWhenUsed/>
    <w:pPr>
      <w:spacing w:after="57"/>
      <w:ind w:left="283"/>
    </w:pPr>
  </w:style>
  <w:style w:type="paragraph" w:styleId="TOC3">
    <w:name w:val="toc 3"/>
    <w:basedOn w:val="a"/>
    <w:next w:val="a"/>
    <w:uiPriority w:val="39"/>
    <w:unhideWhenUsed/>
    <w:pPr>
      <w:spacing w:after="57"/>
      <w:ind w:left="567"/>
    </w:pPr>
  </w:style>
  <w:style w:type="paragraph" w:styleId="TOC4">
    <w:name w:val="toc 4"/>
    <w:basedOn w:val="a"/>
    <w:next w:val="a"/>
    <w:uiPriority w:val="39"/>
    <w:unhideWhenUsed/>
    <w:pPr>
      <w:spacing w:after="57"/>
      <w:ind w:left="850"/>
    </w:pPr>
  </w:style>
  <w:style w:type="paragraph" w:styleId="TOC5">
    <w:name w:val="toc 5"/>
    <w:basedOn w:val="a"/>
    <w:next w:val="a"/>
    <w:uiPriority w:val="39"/>
    <w:unhideWhenUsed/>
    <w:pPr>
      <w:spacing w:after="57"/>
      <w:ind w:left="1134"/>
    </w:pPr>
  </w:style>
  <w:style w:type="paragraph" w:styleId="TOC6">
    <w:name w:val="toc 6"/>
    <w:basedOn w:val="a"/>
    <w:next w:val="a"/>
    <w:uiPriority w:val="39"/>
    <w:unhideWhenUsed/>
    <w:pPr>
      <w:spacing w:after="57"/>
      <w:ind w:left="1417"/>
    </w:pPr>
  </w:style>
  <w:style w:type="paragraph" w:styleId="TOC7">
    <w:name w:val="toc 7"/>
    <w:basedOn w:val="a"/>
    <w:next w:val="a"/>
    <w:uiPriority w:val="39"/>
    <w:unhideWhenUsed/>
    <w:pPr>
      <w:spacing w:after="57"/>
      <w:ind w:left="1701"/>
    </w:pPr>
  </w:style>
  <w:style w:type="paragraph" w:styleId="TOC8">
    <w:name w:val="toc 8"/>
    <w:basedOn w:val="a"/>
    <w:next w:val="a"/>
    <w:uiPriority w:val="39"/>
    <w:unhideWhenUsed/>
    <w:pPr>
      <w:spacing w:after="57"/>
      <w:ind w:left="1984"/>
    </w:pPr>
  </w:style>
  <w:style w:type="paragraph" w:styleId="TOC9">
    <w:name w:val="toc 9"/>
    <w:basedOn w:val="a"/>
    <w:next w:val="a"/>
    <w:uiPriority w:val="39"/>
    <w:unhideWhenUsed/>
    <w:pPr>
      <w:spacing w:after="57"/>
      <w:ind w:left="2268"/>
    </w:pPr>
  </w:style>
  <w:style w:type="paragraph" w:styleId="af8">
    <w:name w:val="table of figures"/>
    <w:basedOn w:val="a"/>
    <w:next w:val="a"/>
    <w:uiPriority w:val="99"/>
    <w:unhideWhenUsed/>
    <w:pPr>
      <w:spacing w:after="0"/>
    </w:pPr>
  </w:style>
  <w:style w:type="paragraph" w:styleId="a0">
    <w:name w:val="Body Text"/>
    <w:basedOn w:val="a"/>
    <w:qFormat/>
    <w:pPr>
      <w:spacing w:before="180" w:after="180"/>
    </w:pPr>
    <w:rPr>
      <w:rFonts w:ascii="Nimbus Roman" w:eastAsia="Nimbus Roman" w:hAnsi="Nimbus Roman" w:cs="Nimbus Roman"/>
    </w:r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7">
    <w:name w:val="Title"/>
    <w:basedOn w:val="a"/>
    <w:next w:val="a0"/>
    <w:link w:val="a6"/>
    <w:qFormat/>
    <w:pPr>
      <w:keepNext/>
      <w:keepLines/>
      <w:spacing w:before="480" w:after="240"/>
      <w:jc w:val="center"/>
    </w:pPr>
    <w:rPr>
      <w:rFonts w:asciiTheme="majorHAnsi" w:eastAsiaTheme="majorEastAsia" w:hAnsiTheme="majorHAnsi" w:cstheme="majorBidi"/>
      <w:b/>
      <w:bCs/>
      <w:color w:val="000000" w:themeColor="text1"/>
      <w:sz w:val="36"/>
      <w:szCs w:val="36"/>
    </w:rPr>
  </w:style>
  <w:style w:type="paragraph" w:styleId="a9">
    <w:name w:val="Subtitle"/>
    <w:basedOn w:val="a7"/>
    <w:next w:val="a0"/>
    <w:link w:val="a8"/>
    <w:qFormat/>
    <w:pPr>
      <w:spacing w:before="240"/>
    </w:pPr>
    <w:rPr>
      <w:sz w:val="30"/>
      <w:szCs w:val="30"/>
    </w:rPr>
  </w:style>
  <w:style w:type="paragraph" w:customStyle="1" w:styleId="Author">
    <w:name w:val="Author"/>
    <w:next w:val="a0"/>
    <w:qFormat/>
    <w:pPr>
      <w:keepNext/>
      <w:keepLines/>
      <w:jc w:val="center"/>
    </w:pPr>
  </w:style>
  <w:style w:type="paragraph" w:styleId="af9">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fa">
    <w:name w:val="Bibliography"/>
    <w:basedOn w:val="a"/>
    <w:qFormat/>
  </w:style>
  <w:style w:type="paragraph" w:styleId="afb">
    <w:name w:val="Block Text"/>
    <w:basedOn w:val="a0"/>
    <w:next w:val="a0"/>
    <w:uiPriority w:val="9"/>
    <w:unhideWhenUsed/>
    <w:qFormat/>
    <w:pPr>
      <w:spacing w:before="100" w:after="100"/>
      <w:ind w:left="480" w:right="480"/>
    </w:pPr>
  </w:style>
  <w:style w:type="paragraph" w:styleId="af4">
    <w:name w:val="footnote text"/>
    <w:basedOn w:val="a"/>
    <w:link w:val="af3"/>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4" w:space="0" w:color="000000"/>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fc">
    <w:name w:val="caption"/>
    <w:basedOn w:val="a"/>
    <w:link w:val="afd"/>
    <w:pPr>
      <w:spacing w:after="120"/>
    </w:pPr>
    <w:rPr>
      <w:i/>
    </w:rPr>
  </w:style>
  <w:style w:type="paragraph" w:customStyle="1" w:styleId="TableCaption">
    <w:name w:val="Table Caption"/>
    <w:basedOn w:val="afc"/>
    <w:pPr>
      <w:keepNext/>
    </w:pPr>
  </w:style>
  <w:style w:type="paragraph" w:customStyle="1" w:styleId="ImageCaption">
    <w:name w:val="Image Caption"/>
    <w:basedOn w:val="afc"/>
  </w:style>
  <w:style w:type="paragraph" w:customStyle="1" w:styleId="Figure">
    <w:name w:val="Figure"/>
    <w:basedOn w:val="a"/>
  </w:style>
  <w:style w:type="paragraph" w:customStyle="1" w:styleId="CaptionedFigure">
    <w:name w:val="Captioned Figure"/>
    <w:basedOn w:val="Figure"/>
    <w:pPr>
      <w:keepNext/>
    </w:pPr>
  </w:style>
  <w:style w:type="character" w:customStyle="1" w:styleId="afd">
    <w:name w:val="题注 字符"/>
    <w:link w:val="afc"/>
    <w:rPr>
      <w:rFonts w:ascii="Nimbus Roman" w:eastAsia="Nimbus Roman" w:hAnsi="Nimbus Roman" w:cs="Nimbus Roman"/>
    </w:rPr>
  </w:style>
  <w:style w:type="character" w:customStyle="1" w:styleId="VerbatimChar">
    <w:name w:val="Verbatim Char"/>
    <w:basedOn w:val="afd"/>
    <w:rPr>
      <w:rFonts w:ascii="Consolas" w:eastAsia="Nimbus Roman" w:hAnsi="Consolas" w:cs="Nimbus Roman"/>
      <w:sz w:val="22"/>
    </w:rPr>
  </w:style>
  <w:style w:type="character" w:customStyle="1" w:styleId="SectionNumber">
    <w:name w:val="Section Number"/>
    <w:basedOn w:val="afd"/>
    <w:rPr>
      <w:rFonts w:ascii="Nimbus Roman" w:eastAsia="Nimbus Roman" w:hAnsi="Nimbus Roman" w:cs="Nimbus Roman"/>
    </w:rPr>
  </w:style>
  <w:style w:type="character" w:styleId="afe">
    <w:name w:val="footnote reference"/>
    <w:basedOn w:val="afd"/>
    <w:rPr>
      <w:rFonts w:ascii="Nimbus Roman" w:eastAsia="Nimbus Roman" w:hAnsi="Nimbus Roman" w:cs="Nimbus Roman"/>
      <w:vertAlign w:val="superscript"/>
    </w:rPr>
  </w:style>
  <w:style w:type="character" w:styleId="aff">
    <w:name w:val="Hyperlink"/>
    <w:basedOn w:val="afd"/>
    <w:rPr>
      <w:rFonts w:ascii="Nimbus Roman" w:eastAsia="Nimbus Roman" w:hAnsi="Nimbus Roman" w:cs="Nimbus Roman"/>
      <w:color w:val="4F81BD" w:themeColor="accent1"/>
    </w:rPr>
  </w:style>
  <w:style w:type="paragraph" w:styleId="TOC">
    <w:name w:val="TOC Heading"/>
    <w:basedOn w:val="1"/>
    <w:next w:val="a0"/>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onstantTok">
    <w:name w:val="ConstantTok"/>
    <w:rPr>
      <w:color w:val="880000"/>
    </w:rPr>
  </w:style>
  <w:style w:type="character" w:customStyle="1" w:styleId="CharTok">
    <w:name w:val="CharTok"/>
    <w:rPr>
      <w:color w:val="4070A0"/>
    </w:rPr>
  </w:style>
  <w:style w:type="character" w:customStyle="1" w:styleId="SpecialCharTok">
    <w:name w:val="SpecialCharTok"/>
    <w:rPr>
      <w:color w:val="4070A0"/>
    </w:rPr>
  </w:style>
  <w:style w:type="character" w:customStyle="1" w:styleId="StringTok">
    <w:name w:val="StringTok"/>
    <w:rPr>
      <w:color w:val="4070A0"/>
    </w:rPr>
  </w:style>
  <w:style w:type="character" w:customStyle="1" w:styleId="VerbatimStringTok">
    <w:name w:val="VerbatimStringTok"/>
    <w:rPr>
      <w:color w:val="4070A0"/>
    </w:rPr>
  </w:style>
  <w:style w:type="character" w:customStyle="1" w:styleId="SpecialStringTok">
    <w:name w:val="SpecialStringTok"/>
    <w:rPr>
      <w:color w:val="BB6688"/>
    </w:rPr>
  </w:style>
  <w:style w:type="character" w:customStyle="1" w:styleId="ImportTok">
    <w:name w:val="ImportTok"/>
  </w:style>
  <w:style w:type="character" w:customStyle="1" w:styleId="CommentTok">
    <w:name w:val="CommentTok"/>
    <w:rPr>
      <w:i/>
      <w:color w:val="60A0B0"/>
    </w:rPr>
  </w:style>
  <w:style w:type="character" w:customStyle="1" w:styleId="DocumentationTok">
    <w:name w:val="DocumentationTok"/>
    <w:rPr>
      <w:i/>
      <w:color w:val="BA2121"/>
    </w:rPr>
  </w:style>
  <w:style w:type="character" w:customStyle="1" w:styleId="AnnotationTok">
    <w:name w:val="AnnotationTok"/>
    <w:rPr>
      <w:b/>
      <w:i/>
      <w:color w:val="60A0B0"/>
    </w:rPr>
  </w:style>
  <w:style w:type="character" w:customStyle="1" w:styleId="CommentVarTok">
    <w:name w:val="CommentVarTok"/>
    <w:rPr>
      <w:b/>
      <w:i/>
      <w:color w:val="60A0B0"/>
    </w:rPr>
  </w:style>
  <w:style w:type="character" w:customStyle="1" w:styleId="OtherTok">
    <w:name w:val="OtherTok"/>
    <w:rPr>
      <w:color w:val="007020"/>
    </w:rPr>
  </w:style>
  <w:style w:type="character" w:customStyle="1" w:styleId="FunctionTok">
    <w:name w:val="FunctionTok"/>
    <w:rPr>
      <w:color w:val="06287E"/>
    </w:rPr>
  </w:style>
  <w:style w:type="character" w:customStyle="1" w:styleId="VariableTok">
    <w:name w:val="VariableTok"/>
    <w:rPr>
      <w:color w:val="19177C"/>
    </w:rPr>
  </w:style>
  <w:style w:type="character" w:customStyle="1" w:styleId="ControlFlowTok">
    <w:name w:val="ControlFlowTok"/>
    <w:rPr>
      <w:b/>
      <w:color w:val="007020"/>
    </w:rPr>
  </w:style>
  <w:style w:type="character" w:customStyle="1" w:styleId="OperatorTok">
    <w:name w:val="OperatorTok"/>
    <w:rPr>
      <w:color w:val="666666"/>
    </w:rPr>
  </w:style>
  <w:style w:type="character" w:customStyle="1" w:styleId="BuiltInTok">
    <w:name w:val="BuiltInTok"/>
  </w:style>
  <w:style w:type="character" w:customStyle="1" w:styleId="ExtensionTok">
    <w:name w:val="ExtensionTok"/>
  </w:style>
  <w:style w:type="character" w:customStyle="1" w:styleId="PreprocessorTok">
    <w:name w:val="PreprocessorTok"/>
    <w:rPr>
      <w:color w:val="BC7A00"/>
    </w:rPr>
  </w:style>
  <w:style w:type="character" w:customStyle="1" w:styleId="AttributeTok">
    <w:name w:val="AttributeTok"/>
    <w:rPr>
      <w:color w:val="7D9029"/>
    </w:rPr>
  </w:style>
  <w:style w:type="character" w:customStyle="1" w:styleId="RegionMarkerTok">
    <w:name w:val="RegionMarkerTok"/>
  </w:style>
  <w:style w:type="character" w:customStyle="1" w:styleId="InformationTok">
    <w:name w:val="InformationTok"/>
    <w:rPr>
      <w:b/>
      <w:i/>
      <w:color w:val="60A0B0"/>
    </w:rPr>
  </w:style>
  <w:style w:type="character" w:customStyle="1" w:styleId="WarningTok">
    <w:name w:val="WarningTok"/>
    <w:rPr>
      <w:b/>
      <w:i/>
      <w:color w:val="60A0B0"/>
    </w:rPr>
  </w:style>
  <w:style w:type="character" w:customStyle="1" w:styleId="AlertTok">
    <w:name w:val="AlertTok"/>
    <w:rPr>
      <w:b/>
      <w:color w:val="FF0000"/>
    </w:rPr>
  </w:style>
  <w:style w:type="character" w:customStyle="1" w:styleId="ErrorTok">
    <w:name w:val="ErrorTok"/>
    <w:rPr>
      <w:b/>
      <w:color w:val="FF0000"/>
    </w:rPr>
  </w:style>
  <w:style w:type="character" w:customStyle="1" w:styleId="NormalTok">
    <w:name w:val="NormalTok"/>
  </w:style>
  <w:style w:type="paragraph" w:styleId="aff0">
    <w:name w:val="Revision"/>
    <w:hidden/>
    <w:uiPriority w:val="99"/>
    <w:semiHidden/>
    <w:rsid w:val="002032F5"/>
    <w:pPr>
      <w:spacing w:after="0"/>
    </w:pPr>
  </w:style>
  <w:style w:type="character" w:styleId="aff1">
    <w:name w:val="annotation reference"/>
    <w:basedOn w:val="a1"/>
    <w:uiPriority w:val="99"/>
    <w:semiHidden/>
    <w:unhideWhenUsed/>
    <w:rsid w:val="00206140"/>
    <w:rPr>
      <w:sz w:val="21"/>
      <w:szCs w:val="21"/>
    </w:rPr>
  </w:style>
  <w:style w:type="paragraph" w:styleId="aff2">
    <w:name w:val="annotation text"/>
    <w:basedOn w:val="a"/>
    <w:link w:val="aff3"/>
    <w:uiPriority w:val="99"/>
    <w:semiHidden/>
    <w:unhideWhenUsed/>
    <w:rsid w:val="00206140"/>
  </w:style>
  <w:style w:type="character" w:customStyle="1" w:styleId="aff3">
    <w:name w:val="批注文字 字符"/>
    <w:basedOn w:val="a1"/>
    <w:link w:val="aff2"/>
    <w:uiPriority w:val="99"/>
    <w:semiHidden/>
    <w:rsid w:val="00206140"/>
  </w:style>
  <w:style w:type="paragraph" w:styleId="aff4">
    <w:name w:val="annotation subject"/>
    <w:basedOn w:val="aff2"/>
    <w:next w:val="aff2"/>
    <w:link w:val="aff5"/>
    <w:uiPriority w:val="99"/>
    <w:semiHidden/>
    <w:unhideWhenUsed/>
    <w:rsid w:val="00206140"/>
    <w:rPr>
      <w:b/>
      <w:bCs/>
    </w:rPr>
  </w:style>
  <w:style w:type="character" w:customStyle="1" w:styleId="aff5">
    <w:name w:val="批注主题 字符"/>
    <w:basedOn w:val="aff3"/>
    <w:link w:val="aff4"/>
    <w:uiPriority w:val="99"/>
    <w:semiHidden/>
    <w:rsid w:val="0020614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s://doi.org/b58xrd" TargetMode="External"/><Relationship Id="rId21" Type="http://schemas.openxmlformats.org/officeDocument/2006/relationships/hyperlink" Target="https://doi.org/10.1093/nar/gky310" TargetMode="External"/><Relationship Id="rId42" Type="http://schemas.openxmlformats.org/officeDocument/2006/relationships/hyperlink" Target="https://doi.org/10.1007/s11306-017-1258-z" TargetMode="External"/><Relationship Id="rId47" Type="http://schemas.openxmlformats.org/officeDocument/2006/relationships/hyperlink" Target="https://doi.org/10.1038/nmeth.2551" TargetMode="External"/><Relationship Id="rId63" Type="http://schemas.openxmlformats.org/officeDocument/2006/relationships/hyperlink" Target="https://doi.org/10.1128/mSystems.00824-20" TargetMode="External"/><Relationship Id="rId68" Type="http://schemas.openxmlformats.org/officeDocument/2006/relationships/hyperlink" Target="https://doi.org/10.1038/s41586-020-2047-9" TargetMode="External"/><Relationship Id="rId84" Type="http://schemas.openxmlformats.org/officeDocument/2006/relationships/hyperlink" Target="https://doi.org/10.1007/s13318-015-0282-5" TargetMode="External"/><Relationship Id="rId89" Type="http://schemas.openxmlformats.org/officeDocument/2006/relationships/hyperlink" Target="https://doi.org/10.1021/acs.jafc.0c02983" TargetMode="External"/><Relationship Id="rId16" Type="http://schemas.openxmlformats.org/officeDocument/2006/relationships/hyperlink" Target="https://boecker-lab.github.io/docs.sirius.github.io/prerequisites/" TargetMode="External"/><Relationship Id="rId107" Type="http://schemas.openxmlformats.org/officeDocument/2006/relationships/fontTable" Target="fontTable.xml"/><Relationship Id="rId11" Type="http://schemas.openxmlformats.org/officeDocument/2006/relationships/hyperlink" Target="https://mona.fiehnlab.ucdavis.edu/" TargetMode="External"/><Relationship Id="rId32" Type="http://schemas.openxmlformats.org/officeDocument/2006/relationships/hyperlink" Target="https://doi.org/10.1186/s13040-017-0142-8" TargetMode="External"/><Relationship Id="rId37" Type="http://schemas.openxmlformats.org/officeDocument/2006/relationships/hyperlink" Target="https://doi.org/10.1038/s41587-019-0375-9" TargetMode="External"/><Relationship Id="rId53" Type="http://schemas.openxmlformats.org/officeDocument/2006/relationships/hyperlink" Target="https://doi.org/10.1093/bioinformatics/btz319" TargetMode="External"/><Relationship Id="rId58" Type="http://schemas.openxmlformats.org/officeDocument/2006/relationships/hyperlink" Target="https://doi.org/10.1186/s13321-016-0174-y" TargetMode="External"/><Relationship Id="rId74" Type="http://schemas.openxmlformats.org/officeDocument/2006/relationships/hyperlink" Target="https://doi.org/10.1038/s42256-020-00234-6" TargetMode="External"/><Relationship Id="rId79" Type="http://schemas.openxmlformats.org/officeDocument/2006/relationships/hyperlink" Target="https://doi.org/10.1080/14786419.2019.1700250" TargetMode="External"/><Relationship Id="rId102" Type="http://schemas.openxmlformats.org/officeDocument/2006/relationships/hyperlink" Target="https://doi.org/10.1038/s41574-018-0037-x" TargetMode="External"/><Relationship Id="rId5" Type="http://schemas.openxmlformats.org/officeDocument/2006/relationships/footnotes" Target="footnotes.xml"/><Relationship Id="rId90" Type="http://schemas.openxmlformats.org/officeDocument/2006/relationships/hyperlink" Target="https://doi.org/10.1038/s41467-021-23953-9" TargetMode="External"/><Relationship Id="rId95" Type="http://schemas.openxmlformats.org/officeDocument/2006/relationships/hyperlink" Target="https://doi.org/10.1093/bib/bbx124" TargetMode="External"/><Relationship Id="rId22" Type="http://schemas.openxmlformats.org/officeDocument/2006/relationships/hyperlink" Target="https://doi.org/10.1016/B978-0-12-409547-2.14645-1" TargetMode="External"/><Relationship Id="rId27" Type="http://schemas.openxmlformats.org/officeDocument/2006/relationships/hyperlink" Target="https://doi.org/bxbwnj" TargetMode="External"/><Relationship Id="rId43" Type="http://schemas.openxmlformats.org/officeDocument/2006/relationships/hyperlink" Target="https://doi.org/10.1371/journal.pcbi.1006089" TargetMode="External"/><Relationship Id="rId48" Type="http://schemas.openxmlformats.org/officeDocument/2006/relationships/hyperlink" Target="https://doi.org/10.1186/s13321-015-0087-1" TargetMode="External"/><Relationship Id="rId64" Type="http://schemas.openxmlformats.org/officeDocument/2006/relationships/hyperlink" Target="https://doi.org/10.1038/s41589-020-00677-3" TargetMode="External"/><Relationship Id="rId69" Type="http://schemas.openxmlformats.org/officeDocument/2006/relationships/hyperlink" Target="https://doi.org/10.1016/j.immuni.2022.01.006" TargetMode="External"/><Relationship Id="rId80" Type="http://schemas.openxmlformats.org/officeDocument/2006/relationships/hyperlink" Target="https://doi.org/10.1016/j.biopha.2021.111735" TargetMode="External"/><Relationship Id="rId85" Type="http://schemas.openxmlformats.org/officeDocument/2006/relationships/hyperlink" Target="https://doi.org/10.1155/2015/987973" TargetMode="External"/><Relationship Id="rId12" Type="http://schemas.openxmlformats.org/officeDocument/2006/relationships/hyperlink" Target="http://prime.psc.riken.jp/compms/msdial/main.html" TargetMode="External"/><Relationship Id="rId17" Type="http://schemas.openxmlformats.org/officeDocument/2006/relationships/hyperlink" Target="https://massive.ucsd.edu/ProteoSAFe/QueryMSV?id=MSV000079949" TargetMode="External"/><Relationship Id="rId33" Type="http://schemas.openxmlformats.org/officeDocument/2006/relationships/hyperlink" Target="https://doi.org/10.1002/jms.1777" TargetMode="External"/><Relationship Id="rId38" Type="http://schemas.openxmlformats.org/officeDocument/2006/relationships/hyperlink" Target="https://doi.org/10.1186/1471-2105-11-148" TargetMode="External"/><Relationship Id="rId59" Type="http://schemas.openxmlformats.org/officeDocument/2006/relationships/hyperlink" Target="https://doi.org/10.1021/acs.analchem.8b04698" TargetMode="External"/><Relationship Id="rId103" Type="http://schemas.openxmlformats.org/officeDocument/2006/relationships/hyperlink" Target="https://doi.org/10.1038/s41467-021-27244-1" TargetMode="External"/><Relationship Id="rId108" Type="http://schemas.microsoft.com/office/2011/relationships/people" Target="people.xml"/><Relationship Id="rId54" Type="http://schemas.openxmlformats.org/officeDocument/2006/relationships/hyperlink" Target="https://doi.org/10.1038/s41467-021-23986-0" TargetMode="External"/><Relationship Id="rId70" Type="http://schemas.openxmlformats.org/officeDocument/2006/relationships/hyperlink" Target="https://doi.org/10.1016/j.cell.2020.07.040" TargetMode="External"/><Relationship Id="rId75" Type="http://schemas.openxmlformats.org/officeDocument/2006/relationships/hyperlink" Target="https://doi.org/10.1016/j.chroma.2021.462307" TargetMode="External"/><Relationship Id="rId91" Type="http://schemas.openxmlformats.org/officeDocument/2006/relationships/hyperlink" Target="https://doi.org/10.1038/nrd.2016.32" TargetMode="External"/><Relationship Id="rId96" Type="http://schemas.openxmlformats.org/officeDocument/2006/relationships/hyperlink" Target="https://doi.org/10.1093/bib/bbab297"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ccms-ucsd.github.io/GNPSDocumentation/featurebasedmolecularnetworking-with-mzmine2/" TargetMode="External"/><Relationship Id="rId23" Type="http://schemas.openxmlformats.org/officeDocument/2006/relationships/hyperlink" Target="https://doi.org/10.1038/nbt.3597" TargetMode="External"/><Relationship Id="rId28" Type="http://schemas.openxmlformats.org/officeDocument/2006/relationships/hyperlink" Target="https://doi.org/gbrjtm" TargetMode="External"/><Relationship Id="rId36" Type="http://schemas.openxmlformats.org/officeDocument/2006/relationships/hyperlink" Target="https://doi.org/10.1016/j.phytochem.2020.112427" TargetMode="External"/><Relationship Id="rId49" Type="http://schemas.openxmlformats.org/officeDocument/2006/relationships/hyperlink" Target="https://doi.org/10.1093/bioinformatics/bts437" TargetMode="External"/><Relationship Id="rId57" Type="http://schemas.openxmlformats.org/officeDocument/2006/relationships/hyperlink" Target="https://doi.org/10.1038/75556" TargetMode="External"/><Relationship Id="rId106" Type="http://schemas.openxmlformats.org/officeDocument/2006/relationships/hyperlink" Target="https://doi.org/dxkg99" TargetMode="External"/><Relationship Id="rId10" Type="http://schemas.microsoft.com/office/2018/08/relationships/commentsExtensible" Target="commentsExtensible.xml"/><Relationship Id="rId31" Type="http://schemas.openxmlformats.org/officeDocument/2006/relationships/hyperlink" Target="https://doi.org/10.1021/acs.analchem.1c02220" TargetMode="External"/><Relationship Id="rId44" Type="http://schemas.openxmlformats.org/officeDocument/2006/relationships/hyperlink" Target="https://doi.org/10.3390/metabo9040072" TargetMode="External"/><Relationship Id="rId52" Type="http://schemas.openxmlformats.org/officeDocument/2006/relationships/hyperlink" Target="https://doi.org/10.1093/bioinformatics/bty577" TargetMode="External"/><Relationship Id="rId60" Type="http://schemas.openxmlformats.org/officeDocument/2006/relationships/hyperlink" Target="https://doi.org/10.3390/metabo9070144" TargetMode="External"/><Relationship Id="rId65" Type="http://schemas.openxmlformats.org/officeDocument/2006/relationships/hyperlink" Target="https://doi.org/10.1007/s00216-021-03201-1" TargetMode="External"/><Relationship Id="rId73" Type="http://schemas.openxmlformats.org/officeDocument/2006/relationships/hyperlink" Target="https://doi.org/10.1007/978-3-319-16706-0_10" TargetMode="External"/><Relationship Id="rId78" Type="http://schemas.openxmlformats.org/officeDocument/2006/relationships/hyperlink" Target="https://doi.org/gnmwxx" TargetMode="External"/><Relationship Id="rId81" Type="http://schemas.openxmlformats.org/officeDocument/2006/relationships/hyperlink" Target="https://doi.org/10.1016/j.jep.2021.113920" TargetMode="External"/><Relationship Id="rId86" Type="http://schemas.openxmlformats.org/officeDocument/2006/relationships/hyperlink" Target="https://doi.org/10.1073/pnas.1203689109" TargetMode="External"/><Relationship Id="rId94" Type="http://schemas.openxmlformats.org/officeDocument/2006/relationships/hyperlink" Target="https://doi.org/10.1038/nrm.2016.25" TargetMode="External"/><Relationship Id="rId99" Type="http://schemas.openxmlformats.org/officeDocument/2006/relationships/hyperlink" Target="https://doi.org/10.1016/j.jcrc.2014.05.003" TargetMode="External"/><Relationship Id="rId101" Type="http://schemas.openxmlformats.org/officeDocument/2006/relationships/hyperlink" Target="https://doi.org/10.1152/physrev.00049.2019" TargetMode="External"/><Relationship Id="rId4" Type="http://schemas.openxmlformats.org/officeDocument/2006/relationships/webSettings" Target="webSettings.xml"/><Relationship Id="rId9" Type="http://schemas.microsoft.com/office/2016/09/relationships/commentsIds" Target="commentsIds.xml"/><Relationship Id="rId13" Type="http://schemas.openxmlformats.org/officeDocument/2006/relationships/hyperlink" Target="https://github.com/boecker-lab/sirius" TargetMode="External"/><Relationship Id="rId18" Type="http://schemas.openxmlformats.org/officeDocument/2006/relationships/hyperlink" Target="https://github.com/Cao-lab-zcmu/MCnebula2" TargetMode="External"/><Relationship Id="rId39" Type="http://schemas.openxmlformats.org/officeDocument/2006/relationships/hyperlink" Target="https://doi.org/10.1007/s11306-014-0676-4" TargetMode="External"/><Relationship Id="rId109" Type="http://schemas.openxmlformats.org/officeDocument/2006/relationships/theme" Target="theme/theme1.xml"/><Relationship Id="rId34" Type="http://schemas.openxmlformats.org/officeDocument/2006/relationships/hyperlink" Target="https://doi.org/10.1016/j.phytochem.2012.07.007" TargetMode="External"/><Relationship Id="rId50" Type="http://schemas.openxmlformats.org/officeDocument/2006/relationships/hyperlink" Target="https://doi.org/10.1073/pnas.1509788112" TargetMode="External"/><Relationship Id="rId55" Type="http://schemas.openxmlformats.org/officeDocument/2006/relationships/hyperlink" Target="https://doi.org/10.1038/s41592-019-0344-8" TargetMode="External"/><Relationship Id="rId76" Type="http://schemas.openxmlformats.org/officeDocument/2006/relationships/hyperlink" Target="https://doi.org/10.1016/j.prostaglandins.2016.06.001" TargetMode="External"/><Relationship Id="rId97" Type="http://schemas.openxmlformats.org/officeDocument/2006/relationships/hyperlink" Target="https://doi.org/gfvk74" TargetMode="External"/><Relationship Id="rId104" Type="http://schemas.openxmlformats.org/officeDocument/2006/relationships/hyperlink" Target="https://doi.org/10.3390/metabo10050186" TargetMode="External"/><Relationship Id="rId7" Type="http://schemas.openxmlformats.org/officeDocument/2006/relationships/comments" Target="comments.xml"/><Relationship Id="rId71" Type="http://schemas.openxmlformats.org/officeDocument/2006/relationships/hyperlink" Target="https://doi.org/10.1038/s41587-020-0740-8" TargetMode="External"/><Relationship Id="rId92" Type="http://schemas.openxmlformats.org/officeDocument/2006/relationships/hyperlink" Target="https://doi.org/10.1016/j.tibs.2017.01.004" TargetMode="External"/><Relationship Id="rId2" Type="http://schemas.openxmlformats.org/officeDocument/2006/relationships/styles" Target="styles.xml"/><Relationship Id="rId29" Type="http://schemas.openxmlformats.org/officeDocument/2006/relationships/hyperlink" Target="https://doi.org/10.1038/s41596-021-00636-9" TargetMode="External"/><Relationship Id="rId24" Type="http://schemas.openxmlformats.org/officeDocument/2006/relationships/hyperlink" Target="https://doi.org/ghh626" TargetMode="External"/><Relationship Id="rId40" Type="http://schemas.openxmlformats.org/officeDocument/2006/relationships/hyperlink" Target="https://doi.org/10.1186/s13321-016-0115-9" TargetMode="External"/><Relationship Id="rId45" Type="http://schemas.openxmlformats.org/officeDocument/2006/relationships/hyperlink" Target="https://doi.org/10.1007/978-1-0716-0239-3_11" TargetMode="External"/><Relationship Id="rId66" Type="http://schemas.openxmlformats.org/officeDocument/2006/relationships/hyperlink" Target="https://doi.org/10.1021/acs.analchem.1c02041" TargetMode="External"/><Relationship Id="rId87" Type="http://schemas.openxmlformats.org/officeDocument/2006/relationships/hyperlink" Target="https://doi.org/f9qzvt" TargetMode="External"/><Relationship Id="rId61" Type="http://schemas.openxmlformats.org/officeDocument/2006/relationships/hyperlink" Target="https://doi.org/10.1016/j.foodchem.2019.05.099" TargetMode="External"/><Relationship Id="rId82" Type="http://schemas.openxmlformats.org/officeDocument/2006/relationships/hyperlink" Target="https://doi.org/10.1016/j.bioorg.2021.105345" TargetMode="External"/><Relationship Id="rId19" Type="http://schemas.openxmlformats.org/officeDocument/2006/relationships/hyperlink" Target="https://github.com/Cao-lab-zcmu/exMCnebula2" TargetMode="External"/><Relationship Id="rId14" Type="http://schemas.openxmlformats.org/officeDocument/2006/relationships/hyperlink" Target="https://massive.ucsd.edu/ProteoSAFe/QueryMSV?id=MSV000079949" TargetMode="External"/><Relationship Id="rId30" Type="http://schemas.openxmlformats.org/officeDocument/2006/relationships/hyperlink" Target="https://doi.org/10.1021/acs.analchem.7b02380" TargetMode="External"/><Relationship Id="rId35" Type="http://schemas.openxmlformats.org/officeDocument/2006/relationships/hyperlink" Target="https://doi.org/10.1021/acs.analchem.5b01559" TargetMode="External"/><Relationship Id="rId56" Type="http://schemas.openxmlformats.org/officeDocument/2006/relationships/hyperlink" Target="https://doi.org/10.1038/s41596-020-0317-5" TargetMode="External"/><Relationship Id="rId77" Type="http://schemas.openxmlformats.org/officeDocument/2006/relationships/hyperlink" Target="https://doi.org/10.1038/s41419-018-0313-7" TargetMode="External"/><Relationship Id="rId100" Type="http://schemas.openxmlformats.org/officeDocument/2006/relationships/hyperlink" Target="https://doi.org/10.1194/jlr.M200401-JLR200" TargetMode="External"/><Relationship Id="rId105" Type="http://schemas.openxmlformats.org/officeDocument/2006/relationships/hyperlink" Target="https://doi.org/10.1186/s12859-018-2487-5" TargetMode="External"/><Relationship Id="rId8" Type="http://schemas.microsoft.com/office/2011/relationships/commentsExtended" Target="commentsExtended.xml"/><Relationship Id="rId51" Type="http://schemas.openxmlformats.org/officeDocument/2006/relationships/hyperlink" Target="https://doi.org/10.1093/bioinformatics/bty245" TargetMode="External"/><Relationship Id="rId72" Type="http://schemas.openxmlformats.org/officeDocument/2006/relationships/hyperlink" Target="https://doi.org/10.1093/bioinformatics/btn603" TargetMode="External"/><Relationship Id="rId93" Type="http://schemas.openxmlformats.org/officeDocument/2006/relationships/hyperlink" Target="https://doi.org/10.1038/nrrheum.2016.1" TargetMode="External"/><Relationship Id="rId98" Type="http://schemas.openxmlformats.org/officeDocument/2006/relationships/hyperlink" Target="https://doi.org/10.3390/ijms21124501" TargetMode="External"/><Relationship Id="rId3" Type="http://schemas.openxmlformats.org/officeDocument/2006/relationships/settings" Target="settings.xml"/><Relationship Id="rId25" Type="http://schemas.openxmlformats.org/officeDocument/2006/relationships/hyperlink" Target="https://doi.org/f82r32" TargetMode="External"/><Relationship Id="rId46" Type="http://schemas.openxmlformats.org/officeDocument/2006/relationships/hyperlink" Target="https://doi.org/10.1007/s00216-019-02351-7" TargetMode="External"/><Relationship Id="rId67" Type="http://schemas.openxmlformats.org/officeDocument/2006/relationships/hyperlink" Target="https://doi.org/10.1093/nar/gkab941" TargetMode="External"/><Relationship Id="rId20" Type="http://schemas.openxmlformats.org/officeDocument/2006/relationships/hyperlink" Target="https://doi.org/10.1038/s41587-020-0531-2" TargetMode="External"/><Relationship Id="rId41" Type="http://schemas.openxmlformats.org/officeDocument/2006/relationships/hyperlink" Target="https://doi.org/10.1186/s13321-017-0219-x" TargetMode="External"/><Relationship Id="rId62" Type="http://schemas.openxmlformats.org/officeDocument/2006/relationships/hyperlink" Target="https://doi.org/10.1039/c9em00321e" TargetMode="External"/><Relationship Id="rId83" Type="http://schemas.openxmlformats.org/officeDocument/2006/relationships/hyperlink" Target="https://doi.org/10.1097/WNR.0000000000001075" TargetMode="External"/><Relationship Id="rId88" Type="http://schemas.openxmlformats.org/officeDocument/2006/relationships/hyperlink" Target="https://doi.org/gdc9cj"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黑体"/>
        <a:cs typeface="Arial"/>
      </a:majorFont>
      <a:minorFont>
        <a:latin typeface="Cambria"/>
        <a:ea typeface="宋体"/>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107</TotalTime>
  <Pages>19</Pages>
  <Words>10637</Words>
  <Characters>60631</Characters>
  <Application>Microsoft Office Word</Application>
  <DocSecurity>0</DocSecurity>
  <Lines>505</Lines>
  <Paragraphs>142</Paragraphs>
  <ScaleCrop>false</ScaleCrop>
  <Company/>
  <LinksUpToDate>false</LinksUpToDate>
  <CharactersWithSpaces>71126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Wang Lu</dc:creator>
  <cp:keywords/>
  <cp:lastModifiedBy>Wang Lu</cp:lastModifiedBy>
  <cp:revision>4</cp:revision>
  <dcterms:created xsi:type="dcterms:W3CDTF">2023-01-13T14:50:00Z</dcterms:created>
  <dcterms:modified xsi:type="dcterms:W3CDTF">2023-01-14T02:54:00Z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library.bib</vt:lpwstr>
  </property>
  <property fmtid="{D5CDD505-2E9C-101B-9397-08002B2CF9AE}" pid="3" name="csl">
    <vt:lpwstr>styles.csl</vt:lpwstr>
  </property>
  <property fmtid="{D5CDD505-2E9C-101B-9397-08002B2CF9AE}" pid="4" name="link-citations">
    <vt:lpwstr>True</vt:lpwstr>
  </property>
  <property fmtid="{D5CDD505-2E9C-101B-9397-08002B2CF9AE}" pid="5" name="reference-section-title">
    <vt:lpwstr>Reference</vt:lpwstr>
  </property>
</Properties>
</file>