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figure-legend"/>
    <w:p>
      <w:pPr>
        <w:pStyle w:val="2"/>
      </w:pPr>
      <w:r>
        <w:t xml:space="preserve">Figure legend</w:t>
      </w:r>
    </w:p>
    <w:bookmarkStart w:id="20" w:name="figure-1-6"/>
    <w:p>
      <w:pPr>
        <w:pStyle w:val="4"/>
      </w:pPr>
      <w:r>
        <w:t xml:space="preserve">Figure 1-6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Fig. 1 | Data stream of MCnebula</w:t>
      </w:r>
      <w:r>
        <w:rPr>
          <w:bCs/>
          <w:b/>
        </w:rPr>
        <w:t xml:space="preserve"> </w:t>
      </w:r>
      <w:r>
        <w:rPr>
          <w:bCs/>
          <w:b/>
        </w:rPr>
        <w:t xml:space="preserve">workflow.</w:t>
      </w:r>
      <w:r>
        <w:t xml:space="preserve"> </w:t>
      </w:r>
      <w:r>
        <w:t xml:space="preserve">The MCnebula workflow can be divided into two parts, depending on</w:t>
      </w:r>
      <w:r>
        <w:t xml:space="preserve"> </w:t>
      </w:r>
      <w:r>
        <w:t xml:space="preserve">the platform on which the data presents. The first is the part beyond R (before</w:t>
      </w:r>
      <w:r>
        <w:t xml:space="preserve"> </w:t>
      </w:r>
      <w:r>
        <w:t xml:space="preserve">MCnebula2): from the</w:t>
      </w:r>
      <w:r>
        <w:t xml:space="preserve"> </w:t>
      </w:r>
      <w:r>
        <w:rPr>
          <w:bCs/>
          <w:b/>
        </w:rPr>
        <w:t xml:space="preserve">Samples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LC-MS/MS</w:t>
      </w:r>
      <w:r>
        <w:t xml:space="preserve"> </w:t>
      </w:r>
      <w:r>
        <w:t xml:space="preserve">to obtain the raw data; the</w:t>
      </w:r>
      <w:r>
        <w:t xml:space="preserve"> </w:t>
      </w:r>
      <w:r>
        <w:t xml:space="preserve">stage of</w:t>
      </w:r>
      <w:r>
        <w:t xml:space="preserve"> </w:t>
      </w:r>
      <w:r>
        <w:rPr>
          <w:bCs/>
          <w:b/>
        </w:rPr>
        <w:t xml:space="preserve">Convert raw data</w:t>
      </w:r>
      <w:r>
        <w:t xml:space="preserve"> </w:t>
      </w:r>
      <w:r>
        <w:t xml:space="preserve">is implemented using the popular MSconvert tool</w:t>
      </w:r>
      <w:r>
        <w:t xml:space="preserve"> </w:t>
      </w:r>
      <w:r>
        <w:t xml:space="preserve">derived from Proteowizard; for</w:t>
      </w:r>
      <w:r>
        <w:t xml:space="preserve"> </w:t>
      </w:r>
      <w:r>
        <w:rPr>
          <w:bCs/>
          <w:b/>
        </w:rPr>
        <w:t xml:space="preserve">Feature detection</w:t>
      </w:r>
      <w:r>
        <w:t xml:space="preserve">, users can implement it</w:t>
      </w:r>
      <w:r>
        <w:t xml:space="preserve"> </w:t>
      </w:r>
      <w:r>
        <w:t xml:space="preserve">with any LC-MS processing tool, such as MZmine, XCMS, OpenMS, etc.; then .mgf</w:t>
      </w:r>
      <w:r>
        <w:t xml:space="preserve"> </w:t>
      </w:r>
      <w:r>
        <w:t xml:space="preserve">or other file format of MS/MS spectra is imported into SIRIUS for computations.</w:t>
      </w:r>
      <w:r>
        <w:t xml:space="preserve"> </w:t>
      </w:r>
      <w:r>
        <w:t xml:space="preserve">The part inside R, MCnebula2 implements integrating data and creating Nebulae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 </w:t>
      </w:r>
      <w:r>
        <w:t xml:space="preserve">object (see section of MCnebula2 algorithm in article for</w:t>
      </w:r>
      <w:r>
        <w:t xml:space="preserve"> </w:t>
      </w:r>
      <w:r>
        <w:t xml:space="preserve">details).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2 | Comparison of</w:t>
      </w:r>
      <w:r>
        <w:rPr>
          <w:bCs/>
          <w:b/>
        </w:rPr>
        <w:t xml:space="preserve"> </w:t>
      </w:r>
      <w:r>
        <w:rPr>
          <w:bCs/>
          <w:b/>
        </w:rPr>
        <w:t xml:space="preserve">classifying of MCnebula with benchmark method and Evaluation of identification</w:t>
      </w:r>
      <w:r>
        <w:rPr>
          <w:bCs/>
          <w:b/>
        </w:rPr>
        <w:t xml:space="preserve"> </w:t>
      </w:r>
      <w:r>
        <w:rPr>
          <w:bCs/>
          <w:b/>
        </w:rPr>
        <w:t xml:space="preserve">accuracy of MCnebula</w:t>
      </w:r>
      <w:r>
        <w:t xml:space="preserve">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Fig. 2a</w:t>
      </w:r>
      <w:r>
        <w:t xml:space="preserve"> </w:t>
      </w:r>
      <w:r>
        <w:t xml:space="preserve">illustrates the comparison of MCnebula and benchmark method (GNPS) with three</w:t>
      </w:r>
      <w:r>
        <w:t xml:space="preserve"> </w:t>
      </w:r>
      <w:r>
        <w:t xml:space="preserve">indicators: classified number, stability, relative false rate. The classified</w:t>
      </w:r>
      <w:r>
        <w:t xml:space="preserve"> </w:t>
      </w:r>
      <w:r>
        <w:t xml:space="preserve">number is calculated as average sum number of classified compounds of the</w:t>
      </w:r>
      <w:r>
        <w:t xml:space="preserve"> </w:t>
      </w:r>
      <w:r>
        <w:t xml:space="preserve">selected 19 chemical classes. The stability is calculated as: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o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e>
        </m:d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N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is the average sum number</w:t>
      </w:r>
      <w:r>
        <w:t xml:space="preserve"> </w:t>
      </w:r>
      <w:r>
        <w:t xml:space="preserve">of origin dataset;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average sum number of medium noise dataset or</w:t>
      </w:r>
      <w:r>
        <w:t xml:space="preserve"> </w:t>
      </w:r>
      <w:r>
        <w:t xml:space="preserve">high noise dataset). The relative false rate is calculated as: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F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</w:t>
      </w:r>
      <m:oMath>
        <m:r>
          <m:t>F</m:t>
        </m:r>
      </m:oMath>
      <w:r>
        <w:t xml:space="preserve"> </w:t>
      </w:r>
      <w:r>
        <w:t xml:space="preserve">is the absolute false rate;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stability, i.e., the average -</w:t>
      </w:r>
      <w:r>
        <w:t xml:space="preserve"> </w:t>
      </w:r>
      <w:r>
        <w:t xml:space="preserve">lost rate in stability assessment).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Fig.</w:t>
      </w:r>
      <w:r>
        <w:t xml:space="preserve"> </w:t>
      </w:r>
      <w:r>
        <w:t xml:space="preserve">2b illustrates a comparison of classified</w:t>
      </w:r>
      <w:r>
        <w:t xml:space="preserve"> </w:t>
      </w:r>
      <w:r>
        <w:t xml:space="preserve">number of MCnebula and benchmark method. When noise is added into original</w:t>
      </w:r>
      <w:r>
        <w:t xml:space="preserve"> </w:t>
      </w:r>
      <w:r>
        <w:t xml:space="preserve">dataset, some number of classified features are occurred &lt; 50, a cut-off</w:t>
      </w:r>
      <w:r>
        <w:t xml:space="preserve"> </w:t>
      </w:r>
      <w:r>
        <w:t xml:space="preserve">(number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50) is set to exclude these classes from assessment.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Fig. 2b illustrates the identified accuracy</w:t>
      </w:r>
      <w:r>
        <w:t xml:space="preserve"> </w:t>
      </w:r>
      <w:r>
        <w:t xml:space="preserve">of MCnebula. A cut-off (Tanimoto similarity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0.5) is set to get chemical</w:t>
      </w:r>
      <w:r>
        <w:t xml:space="preserve"> </w:t>
      </w:r>
      <w:r>
        <w:t xml:space="preserve">structures of high matching score for evaluation.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3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serum metabolomics dataset.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4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b)</w:t>
      </w:r>
      <w:r>
        <w:t xml:space="preserve">, refer to Fig.</w:t>
      </w:r>
      <w:r>
        <w:t xml:space="preserve"> </w:t>
      </w:r>
      <w:r>
        <w:t xml:space="preserve">3 and Fig. S3.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The nodes of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 color. The nodes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annotated with structures, ring diagram and bar plot of</w:t>
      </w:r>
      <w:r>
        <w:t xml:space="preserve"> </w:t>
      </w:r>
      <w:r>
        <w:t xml:space="preserve">posterior probability of classes prediction (PPCP). The top candidate of</w:t>
      </w:r>
      <w:r>
        <w:t xml:space="preserve"> </w:t>
      </w:r>
      <w:r>
        <w:t xml:space="preserve">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nodes. The Ring diagram map</w:t>
      </w:r>
      <w:r>
        <w:t xml:space="preserve"> </w:t>
      </w:r>
      <w:r>
        <w:t xml:space="preserve">relative summed peak area of per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detected within each metadata group</w:t>
      </w:r>
      <w:r>
        <w:t xml:space="preserve"> </w:t>
      </w:r>
      <w:r>
        <w:t xml:space="preserve">(NN: non-hospital, non-infected; HN: hospital, non-infected; HS: hospital,</w:t>
      </w:r>
      <w:r>
        <w:t xml:space="preserve"> </w:t>
      </w:r>
      <w:r>
        <w:t xml:space="preserve">survival; HM: hospital, mortality). The nodes without ring diagram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</w:t>
      </w:r>
      <w:r>
        <w:t xml:space="preserve"> </w:t>
      </w:r>
      <w:r>
        <w:t xml:space="preserve">our re-analysis, but not in Wozniak et al.) The Bar plot map PPCP of structural</w:t>
      </w:r>
      <w:r>
        <w:t xml:space="preserve"> </w:t>
      </w:r>
      <w:r>
        <w:t xml:space="preserve">(sub-structural or dominant structural) classes for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rPr>
          <w:bCs/>
          <w:b/>
        </w:rPr>
        <w:t xml:space="preserve">d)</w:t>
      </w:r>
      <w:r>
        <w:t xml:space="preserve"> </w:t>
      </w:r>
      <w:r>
        <w:t xml:space="preserve">The</w:t>
      </w:r>
      <w:r>
        <w:t xml:space="preserve"> </w:t>
      </w:r>
      <w:r>
        <w:t xml:space="preserve">zoom in node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2068 (ID) and its legend.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5 | Heat maps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t xml:space="preserve">Figure</w:t>
      </w:r>
      <w:r>
        <w:t xml:space="preserve"> </w:t>
      </w:r>
      <w:r>
        <w:t xml:space="preserve">5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heat maps of level of ACs,</w:t>
      </w:r>
      <w:r>
        <w:t xml:space="preserve"> </w:t>
      </w:r>
      <w:r>
        <w:t xml:space="preserve">LPCs and BAs.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6 | Mechanism for filtering chemical</w:t>
      </w:r>
      <w:r>
        <w:rPr>
          <w:bCs/>
          <w:b/>
        </w:rPr>
        <w:t xml:space="preserve"> </w:t>
      </w:r>
      <w:r>
        <w:rPr>
          <w:bCs/>
          <w:b/>
        </w:rPr>
        <w:t xml:space="preserve">classes of MCnebula2.</w:t>
      </w:r>
      <w:r>
        <w:t xml:space="preserve"> </w:t>
      </w:r>
      <w:r>
        <w:t xml:space="preserve">This figure illustrates how MCnebula2 filters chemical</w:t>
      </w:r>
      <w:r>
        <w:t xml:space="preserve"> </w:t>
      </w:r>
      <w:r>
        <w:t xml:space="preserve">classes of prediction from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form a Nebula-Index to create</w:t>
      </w:r>
      <w:r>
        <w:t xml:space="preserve"> </w:t>
      </w:r>
      <w:r>
        <w:t xml:space="preserve">Child-Nebulae. The</w:t>
      </w:r>
      <w:r>
        <w:t xml:space="preserve"> </w:t>
      </w:r>
      <w:r>
        <w:rPr>
          <w:bCs/>
          <w:b/>
        </w:rPr>
        <w:t xml:space="preserve">Inner filter</w:t>
      </w:r>
      <w:r>
        <w:t xml:space="preserve"> </w:t>
      </w:r>
      <w:r>
        <w:t xml:space="preserve">filter out the chemical classes by Regex</w:t>
      </w:r>
      <w:r>
        <w:t xml:space="preserve"> </w:t>
      </w:r>
      <w:r>
        <w:t xml:space="preserve">match of names (names without without Arabic numerals) and set threshold for</w:t>
      </w:r>
      <w:r>
        <w:t xml:space="preserve"> </w:t>
      </w:r>
      <w:r>
        <w:t xml:space="preserve">value of posterior probability. To create</w:t>
      </w:r>
      <w:r>
        <w:t xml:space="preserve"> </w:t>
      </w:r>
      <w:r>
        <w:rPr>
          <w:bCs/>
          <w:b/>
        </w:rPr>
        <w:t xml:space="preserve">Stardust Classes</w:t>
      </w:r>
      <w:r>
        <w:t xml:space="preserve">, the previous</w:t>
      </w:r>
      <w:r>
        <w:t xml:space="preserve"> </w:t>
      </w:r>
      <w:r>
        <w:t xml:space="preserve">filtered data is re-grouped according to chemical classes instead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ID. The</w:t>
      </w:r>
      <w:r>
        <w:t xml:space="preserve"> </w:t>
      </w:r>
      <w:r>
        <w:rPr>
          <w:bCs/>
          <w:b/>
        </w:rPr>
        <w:t xml:space="preserve">Cross filter</w:t>
      </w:r>
      <w:r>
        <w:t xml:space="preserve"> </w:t>
      </w:r>
      <w:r>
        <w:t xml:space="preserve">conduct further filtering of chemical classes via</w:t>
      </w:r>
      <w:r>
        <w:t xml:space="preserve"> </w:t>
      </w:r>
      <w:r>
        <w:t xml:space="preserve">combining Stardust Classes and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The details of</w:t>
      </w:r>
      <w:r>
        <w:t xml:space="preserve"> </w:t>
      </w:r>
      <w:r>
        <w:t xml:space="preserve">Cross filter was described in MCnebula2 Algorithm section in article.</w:t>
      </w:r>
    </w:p>
    <w:bookmarkEnd w:id="20"/>
    <w:bookmarkStart w:id="21" w:name="supplementation"/>
    <w:p>
      <w:pPr>
        <w:pStyle w:val="4"/>
      </w:pPr>
      <w:r>
        <w:t xml:space="preserve">Supplementation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Fig. S1 | Parent-Nebula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serum metabolomics dataset.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Parent-nebula</w:t>
      </w:r>
      <w:r>
        <w:t xml:space="preserve">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as</w:t>
      </w:r>
      <w:r>
        <w:t xml:space="preserve"> </w:t>
      </w:r>
      <w:r>
        <w:t xml:space="preserve">nodes in network graph. The edges illustrated the spectral similarity of</w:t>
      </w:r>
      <w:r>
        <w:t xml:space="preserve"> </w:t>
      </w:r>
      <w:r>
        <w:t xml:space="preserve">adjacent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Not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shown in the Parent-Nebula, as</w:t>
      </w:r>
      <w:r>
        <w:t xml:space="preserve"> </w:t>
      </w:r>
      <w:r>
        <w:t xml:space="preserve">the isolated nodes are removed.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S2 | Child-Nebulae of serum</w:t>
      </w:r>
      <w:r>
        <w:rPr>
          <w:bCs/>
          <w:b/>
        </w:rPr>
        <w:t xml:space="preserve"> </w:t>
      </w:r>
      <w:r>
        <w:rPr>
          <w:bCs/>
          <w:b/>
        </w:rPr>
        <w:t xml:space="preserve">metabolomics dataset.</w:t>
      </w:r>
      <w:r>
        <w:t xml:space="preserve"> </w:t>
      </w:r>
      <w:r>
        <w:t xml:space="preserve">The Child-Nebulae are created according to chemical</w:t>
      </w:r>
      <w:r>
        <w:t xml:space="preserve"> </w:t>
      </w:r>
      <w:r>
        <w:t xml:space="preserve">classes in Nebula-Index.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chemical classes are</w:t>
      </w:r>
      <w:r>
        <w:t xml:space="preserve"> </w:t>
      </w:r>
      <w:r>
        <w:t xml:space="preserve">mapped into corresponding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S3 | Showing log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(Fold</w:t>
      </w:r>
      <w:r>
        <w:rPr>
          <w:bCs/>
          <w:b/>
        </w:rPr>
        <w:t xml:space="preserve"> </w:t>
      </w:r>
      <w:r>
        <w:rPr>
          <w:bCs/>
          <w:b/>
        </w:rPr>
        <w:t xml:space="preserve">change) of groups in Child-Nebulae of serum metabolomics dataset.</w:t>
      </w:r>
      <w:r>
        <w:t xml:space="preserve"> </w:t>
      </w:r>
      <w:r>
        <w:t xml:space="preserve">The</w:t>
      </w:r>
      <w:r>
        <w:t xml:space="preserve"> </w:t>
      </w:r>
      <w:r>
        <w:t xml:space="preserve">log</w:t>
      </w:r>
      <w:r>
        <w:rPr>
          <w:vertAlign w:val="subscript"/>
        </w:rPr>
        <w:t xml:space="preserve">2</w:t>
      </w:r>
      <w:r>
        <w:t xml:space="preserve">(Fold change) value of HM versus HS group is shown in Child-Nebulae as</w:t>
      </w:r>
      <w:r>
        <w:t xml:space="preserve"> </w:t>
      </w:r>
      <w:r>
        <w:t xml:space="preserve">gradient color. The nodes with white color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 our</w:t>
      </w:r>
      <w:r>
        <w:t xml:space="preserve"> </w:t>
      </w:r>
      <w:r>
        <w:t xml:space="preserve">re-analysis, but not in Wozniak et al.)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S4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  <w:r>
        <w:t xml:space="preserve"> </w:t>
      </w:r>
      <w:r>
        <w:t xml:space="preserve">See Fig. 4 for description.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S5 | Pathway analysis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</w:t>
      </w:r>
      <w:r>
        <w:rPr>
          <w:bCs/>
          <w:b/>
        </w:rPr>
        <w:t xml:space="preserve"> </w:t>
      </w:r>
      <w:r>
        <w:rPr>
          <w:bCs/>
          <w:b/>
        </w:rPr>
        <w:t xml:space="preserve">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The carnitine system</w:t>
      </w:r>
      <w:r>
        <w:t xml:space="preserve"> </w:t>
      </w:r>
      <w:r>
        <w:t xml:space="preserve">in mitochondria. Abbreviation: CPT1, carnitine-palmitoyltransferase-1; CACT,</w:t>
      </w:r>
      <w:r>
        <w:t xml:space="preserve"> </w:t>
      </w:r>
      <w:r>
        <w:t xml:space="preserve">carnitine-acylcarnitine translocase; CrAT, carnitine acetyltransferase; CPT2,</w:t>
      </w:r>
      <w:r>
        <w:t xml:space="preserve"> </w:t>
      </w:r>
      <w:r>
        <w:t xml:space="preserve">carnitine-palmitoyltransferase-2.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Enrichment analysis of LPCs in</w:t>
      </w:r>
      <w:r>
        <w:t xml:space="preserve"> </w:t>
      </w:r>
      <w:r>
        <w:t xml:space="preserve">pagerank algorithm with Kyoto Encyclopedia of Genes and Genomes (KEGG)</w:t>
      </w:r>
      <w:r>
        <w:t xml:space="preserve"> </w:t>
      </w:r>
      <w:r>
        <w:t xml:space="preserve">metabolomic pathway. Abbreviation: P A2, phospholipase A2; PC-Sterol O-AT,</w:t>
      </w:r>
      <w:r>
        <w:t xml:space="preserve"> </w:t>
      </w:r>
      <w:r>
        <w:t xml:space="preserve">phosphatidylcholine-sterol O-acyltransferase; LP, lysophospholipase; 1-AGPC</w:t>
      </w:r>
      <w:r>
        <w:t xml:space="preserve"> </w:t>
      </w:r>
      <w:r>
        <w:t xml:space="preserve">O-AT, 1-acylglycerophosphocholine O-acyltransferase;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Enrichment analysis</w:t>
      </w:r>
      <w:r>
        <w:t xml:space="preserve"> </w:t>
      </w:r>
      <w:r>
        <w:t xml:space="preserve">of BAs in pagerank algorithm with KEGG metabolomic pathway. Abbreviation: βGC,</w:t>
      </w:r>
      <w:r>
        <w:t xml:space="preserve"> </w:t>
      </w:r>
      <w:r>
        <w:t xml:space="preserve">beta-glucuronidase; βGCS, beta-D-Glucuronoside; GT, glucuronosyltransferase;</w:t>
      </w:r>
      <w:r>
        <w:t xml:space="preserve"> </w:t>
      </w:r>
      <w:r>
        <w:t xml:space="preserve">TCDC 6α-H, taurochenodeoxycholate 6alpha-hydroxylase; TCDC,</w:t>
      </w:r>
      <w:r>
        <w:t xml:space="preserve"> </w:t>
      </w:r>
      <w:r>
        <w:t xml:space="preserve">taurochenodeoxycholate; GCC, Glycocholate; GCCDC, Glycochenodeoxycholate;</w:t>
      </w:r>
      <w:r>
        <w:t xml:space="preserve"> </w:t>
      </w:r>
      <w:r>
        <w:t xml:space="preserve">Conju. BAs syn.,</w:t>
      </w:r>
      <w:r>
        <w:t xml:space="preserve"> </w:t>
      </w:r>
      <w:r>
        <w:t xml:space="preserve">‘</w:t>
      </w:r>
      <w:r>
        <w:t xml:space="preserve">Conjugated bile acid biosynthesis, cholate</w:t>
      </w:r>
      <w:r>
        <w:t xml:space="preserve">’</w:t>
      </w:r>
      <w:r>
        <w:t xml:space="preserve">; BA-CoA, bile</w:t>
      </w:r>
      <w:r>
        <w:t xml:space="preserve"> </w:t>
      </w:r>
      <w:r>
        <w:t xml:space="preserve">acid-CoA:amino acid N-acyltransferase.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S6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herbal medicine dataset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S7 | MS/MS spectra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herbal medicine dataset.</w:t>
      </w:r>
      <w:r>
        <w:t xml:space="preserve"> </w:t>
      </w:r>
      <w:r>
        <w:t xml:space="preserve">For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the mirrored MS/MS</w:t>
      </w:r>
      <w:r>
        <w:t xml:space="preserve"> </w:t>
      </w:r>
      <w:r>
        <w:t xml:space="preserve">spectra plots illustrated the raw MS/MS spectra (back bar) and the noise</w:t>
      </w:r>
      <w:r>
        <w:t xml:space="preserve"> </w:t>
      </w:r>
      <w:r>
        <w:t xml:space="preserve">filtered MS/MS spectra (red bar) predicted by SIRIUS. The dot above the bar</w:t>
      </w:r>
      <w:r>
        <w:t xml:space="preserve"> </w:t>
      </w:r>
      <w:r>
        <w:t xml:space="preserve">implied a corresponding relation. The top candidate of 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the plot.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S8 | Extracted ions chromatography</w:t>
      </w:r>
      <w:r>
        <w:rPr>
          <w:bCs/>
          <w:b/>
        </w:rPr>
        <w:t xml:space="preserve"> </w:t>
      </w:r>
      <w:r>
        <w:rPr>
          <w:bCs/>
          <w:b/>
        </w:rPr>
        <w:t xml:space="preserve">(EIC)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herbal medicine dataset.</w:t>
      </w:r>
      <w:r>
        <w:t xml:space="preserve"> </w:t>
      </w:r>
      <w:r>
        <w:t xml:space="preserve">The EIC plot illustrates</w:t>
      </w:r>
      <w:r>
        <w:t xml:space="preserve"> </w:t>
      </w:r>
      <w:r>
        <w:t xml:space="preserve">the peak shape of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(drew via MCnebula; detected via Automated</w:t>
      </w:r>
      <w:r>
        <w:t xml:space="preserve"> </w:t>
      </w:r>
      <w:r>
        <w:t xml:space="preserve">Data Analysis Pipeline (ADAP) algorithm in MZmine2).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S9 | Focus on location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annotated Child-Nebulae.</w:t>
      </w:r>
      <w:r>
        <w:t xml:space="preserve"> </w:t>
      </w:r>
      <w:r>
        <w:t xml:space="preserve">Fig. S9</w:t>
      </w:r>
      <w:r>
        <w:t xml:space="preserve"> 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illustrate local view of the annotated Child-Nebula of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Phenylpropanoids and</w:t>
      </w:r>
      <w:r>
        <w:t xml:space="preserve"> </w:t>
      </w:r>
      <w:r>
        <w:t xml:space="preserve">polyketides</w:t>
      </w:r>
      <w:r>
        <w:t xml:space="preserve">’</w:t>
      </w:r>
      <w:r>
        <w:t xml:space="preserve">, respectively. Fig. S9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the chemical structure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(compound) of ID 2110 and ID</w:t>
      </w:r>
      <w:r>
        <w:t xml:space="preserve"> </w:t>
      </w:r>
      <w:r>
        <w:t xml:space="preserve">854, respectively. Fig. S9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</w:t>
      </w:r>
      <w:r>
        <w:t xml:space="preserve"> </w:t>
      </w:r>
      <w:r>
        <w:t xml:space="preserve">show the</w:t>
      </w:r>
      <w:r>
        <w:t xml:space="preserve"> </w:t>
      </w:r>
      <w:r>
        <w:t xml:space="preserve">mirrored MS/MS spectra (refer to Fig. S7 for</w:t>
      </w:r>
      <w:r>
        <w:t xml:space="preserve"> </w:t>
      </w:r>
      <w:r>
        <w:t xml:space="preserve">description) and extracted ions chromatography (EIC) of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bookmarkEnd w:id="21"/>
    <w:bookmarkEnd w:id="22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2023-02-24T13:47:22Z</dcterms:created>
  <dcterms:modified xsi:type="dcterms:W3CDTF">2023-02-24T13:47:22Z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