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89754b805e66ffdc9d84b5b61283769fcad8b57"/>
    <w:p>
      <w:pPr>
        <w:pStyle w:val="2"/>
      </w:pPr>
      <w:r>
        <w:t xml:space="preserve">MCnebula: Critical chemical classes to classify and boost identification by visualization for untargeted LC-MS/MS data analysis</w:t>
      </w:r>
    </w:p>
    <w:p>
      <w:pPr>
        <w:pStyle w:val="38"/>
      </w:pPr>
      <w:r>
        <w:rPr>
          <w:bCs/>
          <w:b/>
        </w:rPr>
        <w:t xml:space="preserve">Lichuang Huang</w:t>
      </w:r>
      <w:r>
        <w:rPr>
          <w:vertAlign w:val="superscript"/>
          <w:bCs/>
          <w:b/>
        </w:rPr>
        <w:t xml:space="preserve">1, 2 #</w:t>
      </w:r>
      <w:r>
        <w:rPr>
          <w:bCs/>
          <w:b/>
        </w:rPr>
        <w:t xml:space="preserve">, Qiyuan Shan</w:t>
      </w:r>
      <w:r>
        <w:rPr>
          <w:vertAlign w:val="superscript"/>
          <w:bCs/>
          <w:b/>
        </w:rPr>
        <w:t xml:space="preserve">1, 2 #</w:t>
      </w:r>
      <w:r>
        <w:rPr>
          <w:bCs/>
          <w:b/>
        </w:rPr>
        <w:t xml:space="preserve">,</w:t>
      </w:r>
      <w:r>
        <w:t xml:space="preserve"> </w:t>
      </w:r>
      <w:r>
        <w:rPr>
          <w:bCs/>
          <w:b/>
        </w:rPr>
        <w:t xml:space="preserve">Qiang Lyu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</w:rPr>
        <w:t xml:space="preserve">Shuosheng Zhang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, Lu Wang</w:t>
      </w:r>
      <w:r>
        <w:rPr>
          <w:vertAlign w:val="superscript"/>
          <w:bCs/>
          <w:b/>
        </w:rPr>
        <w:t xml:space="preserve">1, 2*</w:t>
      </w:r>
      <w:r>
        <w:rPr>
          <w:bCs/>
          <w:b/>
        </w:rPr>
        <w:t xml:space="preserve">, Gang Cao</w:t>
      </w:r>
      <w:r>
        <w:rPr>
          <w:vertAlign w:val="superscript"/>
          <w:bCs/>
          <w:b/>
        </w:rPr>
        <w:t xml:space="preserve">1, 2*</w:t>
      </w:r>
    </w:p>
    <w:p>
      <w:pPr>
        <w:pStyle w:val="3"/>
      </w:pPr>
      <w:r>
        <w:rPr>
          <w:vertAlign w:val="superscript"/>
        </w:rPr>
        <w:t xml:space="preserve">1</w:t>
      </w:r>
      <w:r>
        <w:t xml:space="preserve"> </w:t>
      </w:r>
      <w:r>
        <w:t xml:space="preserve">School of Pharmacy, Zhejiang Chinese Medical University, Hangzhou,</w:t>
      </w:r>
      <w:r>
        <w:t xml:space="preserve"> </w:t>
      </w:r>
      <w:r>
        <w:t xml:space="preserve">China</w:t>
      </w:r>
    </w:p>
    <w:p>
      <w:pPr>
        <w:pStyle w:val="3"/>
      </w:pPr>
      <w:r>
        <w:rPr>
          <w:vertAlign w:val="superscript"/>
        </w:rPr>
        <w:t xml:space="preserve">2</w:t>
      </w:r>
      <w:r>
        <w:t xml:space="preserve"> </w:t>
      </w:r>
      <w:r>
        <w:t xml:space="preserve">Jinhua Institute, Zhejiang Chinese Medical University, Hangzhou,</w:t>
      </w:r>
      <w:r>
        <w:t xml:space="preserve"> </w:t>
      </w:r>
      <w:r>
        <w:t xml:space="preserve">China</w:t>
      </w:r>
    </w:p>
    <w:p>
      <w:pPr>
        <w:pStyle w:val="3"/>
      </w:pPr>
      <w:r>
        <w:rPr>
          <w:vertAlign w:val="superscript"/>
        </w:rPr>
        <w:t xml:space="preserve">3</w:t>
      </w:r>
      <w:r>
        <w:t xml:space="preserve"> </w:t>
      </w:r>
      <w:r>
        <w:t xml:space="preserve">College of Chinese Materia Medica and Food Engineering, Shanxi</w:t>
      </w:r>
      <w:r>
        <w:t xml:space="preserve"> </w:t>
      </w:r>
      <w:r>
        <w:t xml:space="preserve">University of Chinese Medicine, Jinzhong, China.</w:t>
      </w:r>
    </w:p>
    <w:p>
      <w:pPr>
        <w:pStyle w:val="3"/>
      </w:pPr>
      <w:r>
        <w:rPr>
          <w:vertAlign w:val="superscript"/>
        </w:rPr>
        <w:t xml:space="preserve">#</w:t>
      </w:r>
      <w:r>
        <w:t xml:space="preserve">These authors contributed equally to this work</w:t>
      </w:r>
    </w:p>
    <w:p>
      <w:pPr>
        <w:pStyle w:val="3"/>
      </w:pPr>
      <w:r>
        <w:t xml:space="preserve">*Address correspondence to:</w:t>
      </w:r>
    </w:p>
    <w:p>
      <w:pPr>
        <w:pStyle w:val="3"/>
      </w:pPr>
      <w:r>
        <w:rPr>
          <w:bCs/>
          <w:b/>
        </w:rPr>
        <w:t xml:space="preserve">Lu Wang, Ph.D.</w:t>
      </w:r>
    </w:p>
    <w:p>
      <w:pPr>
        <w:pStyle w:val="3"/>
      </w:pPr>
      <w:r>
        <w:t xml:space="preserve">School of Pharmacy, Zhejiang Chinese Medical University, No. 548 Binwen</w:t>
      </w:r>
      <w:r>
        <w:t xml:space="preserve"> </w:t>
      </w:r>
      <w:r>
        <w:t xml:space="preserve">Road, Hangzhou, Zhejiang 310053, China; E-mail: luwang0520@163.com</w:t>
      </w:r>
    </w:p>
    <w:p>
      <w:pPr>
        <w:pStyle w:val="3"/>
      </w:pPr>
      <w:r>
        <w:rPr>
          <w:bCs/>
          <w:b/>
        </w:rPr>
        <w:t xml:space="preserve">Professor Gang Cao, Ph.D.</w:t>
      </w:r>
    </w:p>
    <w:p>
      <w:pPr>
        <w:pStyle w:val="3"/>
      </w:pPr>
      <w:r>
        <w:t xml:space="preserve">School of Pharmacy, Zhejiang Chinese Medical University, No. 548 Binwen</w:t>
      </w:r>
      <w:r>
        <w:t xml:space="preserve"> </w:t>
      </w:r>
      <w:r>
        <w:t xml:space="preserve">Road, Hangzhou, Zhejiang 310053, China; Tel/Fax: +86 571 87195895;</w:t>
      </w:r>
      <w:r>
        <w:t xml:space="preserve"> </w:t>
      </w:r>
      <w:r>
        <w:t xml:space="preserve">E-mail: caogang33@163.com</w:t>
      </w:r>
    </w:p>
    <w:bookmarkStart w:id="20" w:name="abstract"/>
    <w:p>
      <w:pPr>
        <w:pStyle w:val="4"/>
      </w:pPr>
      <w:r>
        <w:t xml:space="preserve">Abstract</w:t>
      </w:r>
    </w:p>
    <w:p>
      <w:pPr>
        <w:pStyle w:val="38"/>
      </w:pPr>
      <w:r>
        <w:t xml:space="preserve">Untargeted mass spectrometry is a robust tool for biology, but it</w:t>
      </w:r>
      <w:r>
        <w:t xml:space="preserve"> </w:t>
      </w:r>
      <w:r>
        <w:t xml:space="preserve">usually requires much time on data analysis especially for system</w:t>
      </w:r>
      <w:r>
        <w:t xml:space="preserve"> </w:t>
      </w:r>
      <w:r>
        <w:t xml:space="preserve">biology. We established a framework called MCnebula (Multiple-Chemical</w:t>
      </w:r>
      <w:r>
        <w:t xml:space="preserve"> </w:t>
      </w:r>
      <w:r>
        <w:t xml:space="preserve">nebula) to facilitate mass spectrometry data analysis process by</w:t>
      </w:r>
      <w:r>
        <w:t xml:space="preserve"> </w:t>
      </w:r>
      <w:r>
        <w:t xml:space="preserve">focusing on critical chemical classes and visualization in multiple</w:t>
      </w:r>
      <w:r>
        <w:t xml:space="preserve"> </w:t>
      </w:r>
      <w:r>
        <w:t xml:space="preserve">dimensions. It consisted of three vital steps: (1) abundance-based</w:t>
      </w:r>
      <w:r>
        <w:t xml:space="preserve"> </w:t>
      </w:r>
      <w:r>
        <w:t xml:space="preserve">classes (ABC) selection algorithm, (2) critical chemical classes to</w:t>
      </w:r>
      <w:r>
        <w:t xml:space="preserve"> </w:t>
      </w:r>
      <w:r>
        <w:t xml:space="preserve">classify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(compounds), (3) visualization as multiple</w:t>
      </w:r>
      <w:r>
        <w:t xml:space="preserve"> </w:t>
      </w:r>
      <w:r>
        <w:t xml:space="preserve">Child-Nebulae (network graph) with annotation, chemical classification</w:t>
      </w:r>
      <w:r>
        <w:t xml:space="preserve"> </w:t>
      </w:r>
      <w:r>
        <w:t xml:space="preserve">and structure. Notably, MCnebula can be applied to explore</w:t>
      </w:r>
      <w:r>
        <w:t xml:space="preserve"> </w:t>
      </w:r>
      <w:r>
        <w:t xml:space="preserve">classification and structural characteristic of unknown compounds that</w:t>
      </w:r>
      <w:r>
        <w:t xml:space="preserve"> </w:t>
      </w:r>
      <w:r>
        <w:t xml:space="preserve">beyond the limit of spectral library. What’s more, it is intuitive and</w:t>
      </w:r>
      <w:r>
        <w:t xml:space="preserve"> </w:t>
      </w:r>
      <w:r>
        <w:t xml:space="preserve">convenient for pathway analysis and biomarker discovery due to its</w:t>
      </w:r>
      <w:r>
        <w:t xml:space="preserve"> </w:t>
      </w:r>
      <w:r>
        <w:t xml:space="preserve">function of ABC selection and visualization. MCnebula was implemented in</w:t>
      </w:r>
      <w:r>
        <w:t xml:space="preserve"> </w:t>
      </w:r>
      <w:r>
        <w:t xml:space="preserve">the R language. We provided a series of tools in the R packages to</w:t>
      </w:r>
      <w:r>
        <w:t xml:space="preserve"> </w:t>
      </w:r>
      <w:r>
        <w:t xml:space="preserve">facilitate downstream analysis in a MCnebula-featured way, including</w:t>
      </w:r>
      <w:r>
        <w:t xml:space="preserve"> </w:t>
      </w:r>
      <w:r>
        <w:t xml:space="preserve">feature selection (statistical analysis of binary comparisons), homology</w:t>
      </w:r>
      <w:r>
        <w:t xml:space="preserve"> </w:t>
      </w:r>
      <w:r>
        <w:t xml:space="preserve">tracing of top features, pathway enrichment analysis, heat map</w:t>
      </w:r>
      <w:r>
        <w:t xml:space="preserve"> </w:t>
      </w:r>
      <w:r>
        <w:t xml:space="preserve">clustering analysis, spectral visualization analysis, chemical</w:t>
      </w:r>
      <w:r>
        <w:t xml:space="preserve"> </w:t>
      </w:r>
      <w:r>
        <w:t xml:space="preserve">information query and output analysis reports, etc. In order to</w:t>
      </w:r>
      <w:r>
        <w:t xml:space="preserve"> </w:t>
      </w:r>
      <w:r>
        <w:t xml:space="preserve">illustrate the broad utility of MCnebula, we investigated a</w:t>
      </w:r>
      <w:r>
        <w:t xml:space="preserve"> </w:t>
      </w:r>
      <w:r>
        <w:t xml:space="preserve">human-derived serum dataset for metabolomics analysis. The results</w:t>
      </w:r>
      <w:r>
        <w:t xml:space="preserve"> </w:t>
      </w:r>
      <w:r>
        <w:t xml:space="preserve">indicated that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were screened out by tracing structural</w:t>
      </w:r>
      <w:r>
        <w:t xml:space="preserve"> </w:t>
      </w:r>
      <w:r>
        <w:t xml:space="preserve">classes of biomarkers which was consistent with the reference. We also</w:t>
      </w:r>
      <w:r>
        <w:t xml:space="preserve"> </w:t>
      </w:r>
      <w:r>
        <w:t xml:space="preserve">investigated a plant-derived dataset of herbal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to achieve</w:t>
      </w:r>
      <w:r>
        <w:t xml:space="preserve"> </w:t>
      </w:r>
      <w:r>
        <w:t xml:space="preserve">a rapid unknown compound annotation and discovery.</w:t>
      </w:r>
    </w:p>
    <w:p>
      <w:pPr>
        <w:pStyle w:val="3"/>
      </w:pPr>
      <w:r>
        <w:rPr>
          <w:bCs/>
          <w:b/>
        </w:rPr>
        <w:t xml:space="preserve">Keywords:</w:t>
      </w:r>
      <w:r>
        <w:t xml:space="preserve"> </w:t>
      </w:r>
      <w:r>
        <w:t xml:space="preserve">Mass spectrometry, visualization, chemical classes,</w:t>
      </w:r>
      <w:r>
        <w:t xml:space="preserve"> </w:t>
      </w:r>
      <w:r>
        <w:t xml:space="preserve">identification, MCnebula</w:t>
      </w:r>
    </w:p>
    <w:bookmarkEnd w:id="20"/>
    <w:bookmarkStart w:id="23" w:name="introduction"/>
    <w:p>
      <w:pPr>
        <w:pStyle w:val="4"/>
      </w:pPr>
      <w:r>
        <w:t xml:space="preserve">Introduction</w:t>
      </w:r>
    </w:p>
    <w:p>
      <w:pPr>
        <w:pStyle w:val="38"/>
      </w:pPr>
      <w:r>
        <w:t xml:space="preserve">Analyzing untargeted liquid chromatography/tandem mass spectrometry (LC-MS/MS)</w:t>
      </w:r>
      <w:r>
        <w:t xml:space="preserve"> </w:t>
      </w:r>
      <w:r>
        <w:t xml:space="preserve">dataset is complicated, due to the massive of data volume, complexity of</w:t>
      </w:r>
      <w:r>
        <w:t xml:space="preserve"> </w:t>
      </w:r>
      <w:r>
        <w:t xml:space="preserve">spectra and structural diversity of compounds. Many software or web-based</w:t>
      </w:r>
      <w:r>
        <w:t xml:space="preserve"> </w:t>
      </w:r>
      <w:r>
        <w:t xml:space="preserve">interfaces were developed to provide a one-stop bulk solution for LC-MS data</w:t>
      </w:r>
      <w:r>
        <w:t xml:space="preserve"> </w:t>
      </w:r>
      <w:r>
        <w:t xml:space="preserve">analysis</w:t>
      </w:r>
      <w:hyperlink w:anchor="ref-2020p">
        <w:r>
          <w:rPr>
            <w:rStyle w:val="24"/>
            <w:vertAlign w:val="superscript"/>
          </w:rPr>
          <w:t xml:space="preserve">1</w:t>
        </w:r>
      </w:hyperlink>
      <w:r>
        <w:rPr>
          <w:vertAlign w:val="superscript"/>
        </w:rPr>
        <w:t xml:space="preserve">–</w:t>
      </w:r>
      <w:hyperlink w:anchor="ref-2020co">
        <w:r>
          <w:rPr>
            <w:rStyle w:val="24"/>
            <w:vertAlign w:val="superscript"/>
          </w:rPr>
          <w:t xml:space="preserve">3</w:t>
        </w:r>
      </w:hyperlink>
      <w:r>
        <w:t xml:space="preserve">, which applied flexible mass spectra</w:t>
      </w:r>
      <w:r>
        <w:t xml:space="preserve"> </w:t>
      </w:r>
      <w:r>
        <w:t xml:space="preserve">processing tools or analogous algorithms</w:t>
      </w:r>
      <w:hyperlink w:anchor="ref-2012d">
        <w:r>
          <w:rPr>
            <w:rStyle w:val="24"/>
            <w:vertAlign w:val="superscript"/>
          </w:rPr>
          <w:t xml:space="preserve">4</w:t>
        </w:r>
      </w:hyperlink>
      <w:r>
        <w:rPr>
          <w:vertAlign w:val="superscript"/>
        </w:rPr>
        <w:t xml:space="preserve">–</w:t>
      </w:r>
      <w:hyperlink w:anchor="ref-2010">
        <w:r>
          <w:rPr>
            <w:rStyle w:val="24"/>
            <w:vertAlign w:val="superscript"/>
          </w:rPr>
          <w:t xml:space="preserve">7</w:t>
        </w:r>
      </w:hyperlink>
      <w:r>
        <w:t xml:space="preserve">. To</w:t>
      </w:r>
      <w:r>
        <w:t xml:space="preserve"> </w:t>
      </w:r>
      <w:r>
        <w:t xml:space="preserve">reduce false results, more and more algorithms achieved the function of peak</w:t>
      </w:r>
      <w:r>
        <w:t xml:space="preserve"> </w:t>
      </w:r>
      <w:r>
        <w:t xml:space="preserve">deconvolution, feature selection or statistical</w:t>
      </w:r>
      <w:r>
        <w:t xml:space="preserve"> </w:t>
      </w:r>
      <w:r>
        <w:t xml:space="preserve">filtering</w:t>
      </w:r>
      <w:hyperlink w:anchor="ref-2017f">
        <w:r>
          <w:rPr>
            <w:rStyle w:val="24"/>
            <w:vertAlign w:val="superscript"/>
          </w:rPr>
          <w:t xml:space="preserve">8</w:t>
        </w:r>
      </w:hyperlink>
      <w:r>
        <w:rPr>
          <w:vertAlign w:val="superscript"/>
        </w:rPr>
        <w:t xml:space="preserve">–</w:t>
      </w:r>
      <w:hyperlink w:anchor="ref-2022b">
        <w:r>
          <w:rPr>
            <w:rStyle w:val="24"/>
            <w:vertAlign w:val="superscript"/>
          </w:rPr>
          <w:t xml:space="preserve">11</w:t>
        </w:r>
      </w:hyperlink>
      <w:r>
        <w:t xml:space="preserve">. Generally,fragmentation spectra</w:t>
      </w:r>
      <w:r>
        <w:t xml:space="preserve"> </w:t>
      </w:r>
      <w:r>
        <w:t xml:space="preserve">were used for identifying compounds in LC-MS data analysis.</w:t>
      </w:r>
    </w:p>
    <w:p>
      <w:pPr>
        <w:pStyle w:val="3"/>
      </w:pPr>
      <w:r>
        <w:t xml:space="preserve">Several strategies were developed for identifying compounds with fragmentation</w:t>
      </w:r>
      <w:r>
        <w:t xml:space="preserve"> </w:t>
      </w:r>
      <w:r>
        <w:t xml:space="preserve">spectra.</w:t>
      </w:r>
      <w:r>
        <w:t xml:space="preserve"> </w:t>
      </w:r>
      <w:r>
        <w:rPr>
          <w:bCs/>
          <w:b/>
        </w:rPr>
        <w:t xml:space="preserve">1)</w:t>
      </w:r>
      <w:r>
        <w:t xml:space="preserve"> </w:t>
      </w:r>
      <w:r>
        <w:t xml:space="preserve">Spectral library matching. A number of public available</w:t>
      </w:r>
      <w:r>
        <w:t xml:space="preserve"> </w:t>
      </w:r>
      <w:r>
        <w:t xml:space="preserve">databases were built to settle that via achieving re-usability of reference</w:t>
      </w:r>
      <w:r>
        <w:t xml:space="preserve"> </w:t>
      </w:r>
      <w:r>
        <w:t xml:space="preserve">fragmentation spectra, such as MassBank, MassBank of North America (MoNA),</w:t>
      </w:r>
      <w:r>
        <w:t xml:space="preserve"> </w:t>
      </w:r>
      <w:r>
        <w:t xml:space="preserve">Global Natural Products Society molecular networking</w:t>
      </w:r>
      <w:r>
        <w:t xml:space="preserve"> </w:t>
      </w:r>
      <w:r>
        <w:t xml:space="preserve">(</w:t>
      </w:r>
      <w:hyperlink r:id="rId21">
        <w:r>
          <w:rPr>
            <w:rStyle w:val="24"/>
          </w:rPr>
          <w:t xml:space="preserve">GNPS</w:t>
        </w:r>
      </w:hyperlink>
      <w:r>
        <w:t xml:space="preserve">). In the</w:t>
      </w:r>
      <w:r>
        <w:t xml:space="preserve"> </w:t>
      </w:r>
      <w:r>
        <w:t xml:space="preserve">meanwhile, these fragmentation spectra are available via their web servers,</w:t>
      </w:r>
      <w:r>
        <w:t xml:space="preserve"> </w:t>
      </w:r>
      <w:r>
        <w:t xml:space="preserve">third-party platform (e.g.,</w:t>
      </w:r>
      <w:r>
        <w:t xml:space="preserve"> </w:t>
      </w:r>
      <w:hyperlink r:id="rId22">
        <w:r>
          <w:rPr>
            <w:rStyle w:val="24"/>
          </w:rPr>
          <w:t xml:space="preserve">CompMass</w:t>
        </w:r>
      </w:hyperlink>
      <w:r>
        <w:t xml:space="preserve">) or</w:t>
      </w:r>
      <w:r>
        <w:t xml:space="preserve"> </w:t>
      </w:r>
      <w:r>
        <w:t xml:space="preserve">specific tools (MASST). However, compared with structure database</w:t>
      </w:r>
      <w:r>
        <w:t xml:space="preserve"> </w:t>
      </w:r>
      <w:r>
        <w:t xml:space="preserve">(PubChem harbours over 100 million records), spectral library is too small in</w:t>
      </w:r>
      <w:r>
        <w:t xml:space="preserve"> </w:t>
      </w:r>
      <w:r>
        <w:t xml:space="preserve">size that limit the application of mass spectrometry.</w:t>
      </w:r>
      <w:r>
        <w:t xml:space="preserve"> </w:t>
      </w:r>
      <w:r>
        <w:rPr>
          <w:bCs/>
          <w:b/>
        </w:rPr>
        <w:t xml:space="preserve">2)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simulation by fragmentation spectra.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have been increasingly</w:t>
      </w:r>
      <w:r>
        <w:t xml:space="preserve"> </w:t>
      </w:r>
      <w:r>
        <w:t xml:space="preserve">developed for simulating fragmentation spectra</w:t>
      </w:r>
      <w:hyperlink w:anchor="ref-2015c">
        <w:r>
          <w:rPr>
            <w:rStyle w:val="24"/>
            <w:vertAlign w:val="superscript"/>
          </w:rPr>
          <w:t xml:space="preserve">12</w:t>
        </w:r>
      </w:hyperlink>
      <w:r>
        <w:rPr>
          <w:vertAlign w:val="superscript"/>
        </w:rPr>
        <w:t xml:space="preserve">–</w:t>
      </w:r>
      <w:hyperlink w:anchor="ref-2017aq">
        <w:r>
          <w:rPr>
            <w:rStyle w:val="24"/>
            <w:vertAlign w:val="superscript"/>
          </w:rPr>
          <w:t xml:space="preserve">14</w:t>
        </w:r>
      </w:hyperlink>
      <w:r>
        <w:t xml:space="preserve">. Some</w:t>
      </w:r>
      <w:r>
        <w:t xml:space="preserve"> </w:t>
      </w:r>
      <w:r>
        <w:t xml:space="preserve">databases such as MoNA collated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fragmentation spectra and were</w:t>
      </w:r>
      <w:r>
        <w:t xml:space="preserve"> </w:t>
      </w:r>
      <w:r>
        <w:t xml:space="preserve">available for public</w:t>
      </w:r>
      <w:hyperlink w:anchor="ref-2013w">
        <w:r>
          <w:rPr>
            <w:rStyle w:val="24"/>
            <w:vertAlign w:val="superscript"/>
          </w:rPr>
          <w:t xml:space="preserve">15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3)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prediction with matching</w:t>
      </w:r>
      <w:r>
        <w:t xml:space="preserve"> </w:t>
      </w:r>
      <w:r>
        <w:t xml:space="preserve">learning. At present, the algorithms made machine training from reference mass</w:t>
      </w:r>
      <w:r>
        <w:t xml:space="preserve"> </w:t>
      </w:r>
      <w:r>
        <w:t xml:space="preserve">dataset or libraries, then</w:t>
      </w:r>
      <w:r>
        <w:t xml:space="preserve"> </w:t>
      </w:r>
      <w:r>
        <w:t xml:space="preserve">‘</w:t>
      </w:r>
      <w:r>
        <w:t xml:space="preserve">learned</w:t>
      </w:r>
      <w:r>
        <w:t xml:space="preserve">’</w:t>
      </w:r>
      <w:r>
        <w:t xml:space="preserve"> </w:t>
      </w:r>
      <w:r>
        <w:t xml:space="preserve">how to predict chemical fingerprints or</w:t>
      </w:r>
      <w:r>
        <w:t xml:space="preserve"> </w:t>
      </w:r>
      <w:r>
        <w:t xml:space="preserve">principles so as to retrieve the correct structure from molecular structure</w:t>
      </w:r>
      <w:r>
        <w:t xml:space="preserve"> </w:t>
      </w:r>
      <w:r>
        <w:t xml:space="preserve">database</w:t>
      </w:r>
      <w:hyperlink w:anchor="ref-duhrkop_searching_2015">
        <w:r>
          <w:rPr>
            <w:rStyle w:val="24"/>
            <w:vertAlign w:val="superscript"/>
          </w:rPr>
          <w:t xml:space="preserve">16</w:t>
        </w:r>
      </w:hyperlink>
      <w:r>
        <w:rPr>
          <w:vertAlign w:val="superscript"/>
        </w:rPr>
        <w:t xml:space="preserve">,</w:t>
      </w:r>
      <w:hyperlink w:anchor="ref-2018ay">
        <w:r>
          <w:rPr>
            <w:rStyle w:val="24"/>
            <w:vertAlign w:val="superscript"/>
          </w:rPr>
          <w:t xml:space="preserve">17</w:t>
        </w:r>
      </w:hyperlink>
      <w:r>
        <w:t xml:space="preserve">.</w:t>
      </w:r>
    </w:p>
    <w:p>
      <w:pPr>
        <w:pStyle w:val="3"/>
      </w:pPr>
      <w:r>
        <w:rPr>
          <w:iCs/>
          <w:i/>
        </w:rPr>
        <w:t xml:space="preserve">In silico</w:t>
      </w:r>
      <w:r>
        <w:t xml:space="preserve"> </w:t>
      </w:r>
      <w:r>
        <w:t xml:space="preserve">methods are developing quickly. According to the report, the</w:t>
      </w:r>
      <w:r>
        <w:t xml:space="preserve"> </w:t>
      </w:r>
      <w:r>
        <w:t xml:space="preserve">cutting-edge technology, called SIRIUS 4</w:t>
      </w:r>
      <w:hyperlink w:anchor="ref-duhrkop_sirius_2019">
        <w:r>
          <w:rPr>
            <w:rStyle w:val="24"/>
            <w:vertAlign w:val="superscript"/>
          </w:rPr>
          <w:t xml:space="preserve">18</w:t>
        </w:r>
      </w:hyperlink>
      <w:r>
        <w:t xml:space="preserve">,</w:t>
      </w:r>
      <w:r>
        <w:t xml:space="preserve"> </w:t>
      </w:r>
      <w:r>
        <w:t xml:space="preserve">achieved an accuracy rate of 70% when retrieving from molecular structure</w:t>
      </w:r>
      <w:r>
        <w:t xml:space="preserve"> </w:t>
      </w:r>
      <w:r>
        <w:t xml:space="preserve">database. This method helped to identify metabolites beyond the scope of</w:t>
      </w:r>
      <w:r>
        <w:t xml:space="preserve"> </w:t>
      </w:r>
      <w:r>
        <w:t xml:space="preserve">spectral libraries. While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boost chemical identification, it</w:t>
      </w:r>
      <w:r>
        <w:t xml:space="preserve"> </w:t>
      </w:r>
      <w:r>
        <w:t xml:space="preserve">is still lack of a proper framework that could incorporate SIRIUS 4 into a</w:t>
      </w:r>
      <w:r>
        <w:t xml:space="preserve"> </w:t>
      </w:r>
      <w:r>
        <w:t xml:space="preserve">user-friendly way for biological research intuitively, such as integrating</w:t>
      </w:r>
      <w:r>
        <w:t xml:space="preserve"> </w:t>
      </w:r>
      <w:r>
        <w:t xml:space="preserve">compound annotation, biomarker discovery and pathway analysis in a workflow.</w:t>
      </w:r>
      <w:r>
        <w:t xml:space="preserve"> </w:t>
      </w:r>
      <w:r>
        <w:t xml:space="preserve">ClassyFire is popular for compound annotation in LC-MS data analysis due to its</w:t>
      </w:r>
      <w:r>
        <w:t xml:space="preserve"> </w:t>
      </w:r>
      <w:r>
        <w:t xml:space="preserve">computation available and systematicness</w:t>
      </w:r>
      <w:hyperlink w:anchor="ref-2019bt">
        <w:r>
          <w:rPr>
            <w:rStyle w:val="24"/>
            <w:vertAlign w:val="superscript"/>
          </w:rPr>
          <w:t xml:space="preserve">19</w:t>
        </w:r>
      </w:hyperlink>
      <w:r>
        <w:rPr>
          <w:vertAlign w:val="superscript"/>
        </w:rPr>
        <w:t xml:space="preserve">–</w:t>
      </w:r>
      <w:hyperlink w:anchor="ref-2019bq">
        <w:r>
          <w:rPr>
            <w:rStyle w:val="24"/>
            <w:vertAlign w:val="superscript"/>
          </w:rPr>
          <w:t xml:space="preserve">21</w:t>
        </w:r>
      </w:hyperlink>
      <w:r>
        <w:t xml:space="preserve">.</w:t>
      </w:r>
      <w:r>
        <w:t xml:space="preserve"> </w:t>
      </w:r>
      <w:r>
        <w:t xml:space="preserve">The taxonomy and ontology is</w:t>
      </w:r>
      <w:r>
        <w:t xml:space="preserve"> </w:t>
      </w:r>
      <w:r>
        <w:t xml:space="preserve">robust and useful for chemical classification. As a hierarchical</w:t>
      </w:r>
      <w:r>
        <w:t xml:space="preserve"> </w:t>
      </w:r>
      <w:r>
        <w:t xml:space="preserve">classification-based method, Qemistree was proposed to analyze mass</w:t>
      </w:r>
      <w:r>
        <w:t xml:space="preserve"> </w:t>
      </w:r>
      <w:r>
        <w:t xml:space="preserve">spectrometry data by expressing molecular relationships as a tree, which could</w:t>
      </w:r>
      <w:r>
        <w:t xml:space="preserve"> </w:t>
      </w:r>
      <w:r>
        <w:t xml:space="preserve">be represented in the form of sample metadata and chemical</w:t>
      </w:r>
      <w:r>
        <w:t xml:space="preserve"> </w:t>
      </w:r>
      <w:r>
        <w:t xml:space="preserve">ontologies</w:t>
      </w:r>
      <w:hyperlink w:anchor="ref-2021b">
        <w:r>
          <w:rPr>
            <w:rStyle w:val="24"/>
            <w:vertAlign w:val="superscript"/>
          </w:rPr>
          <w:t xml:space="preserve">22</w:t>
        </w:r>
      </w:hyperlink>
      <w:r>
        <w:t xml:space="preserve">. Molecular networking is more and more popular due to its</w:t>
      </w:r>
      <w:r>
        <w:t xml:space="preserve"> </w:t>
      </w:r>
      <w:r>
        <w:t xml:space="preserve">visualization and data transparency. Molecular networking was a spectral</w:t>
      </w:r>
      <w:r>
        <w:t xml:space="preserve"> </w:t>
      </w:r>
      <w:r>
        <w:t xml:space="preserve">correlation and visualization method that can detect spectra from related</w:t>
      </w:r>
      <w:r>
        <w:t xml:space="preserve"> </w:t>
      </w:r>
      <w:r>
        <w:t xml:space="preserve">molecules (so-called spectral networks), even when the spectra were not matched</w:t>
      </w:r>
      <w:r>
        <w:t xml:space="preserve"> </w:t>
      </w:r>
      <w:r>
        <w:t xml:space="preserve">to any known compounds</w:t>
      </w:r>
      <w:hyperlink w:anchor="ref-2012a">
        <w:r>
          <w:rPr>
            <w:rStyle w:val="24"/>
            <w:vertAlign w:val="superscript"/>
          </w:rPr>
          <w:t xml:space="preserve">23</w:t>
        </w:r>
      </w:hyperlink>
      <w:r>
        <w:t xml:space="preserve">. Based on the concept of molecular</w:t>
      </w:r>
      <w:r>
        <w:t xml:space="preserve"> </w:t>
      </w:r>
      <w:r>
        <w:t xml:space="preserve">networking, clustering features for visualization of chemical classification</w:t>
      </w:r>
      <w:r>
        <w:t xml:space="preserve"> </w:t>
      </w:r>
      <w:r>
        <w:t xml:space="preserve">probably contribute to the discovery of biomarkers and pathway analysis.</w:t>
      </w:r>
    </w:p>
    <w:p>
      <w:pPr>
        <w:pStyle w:val="3"/>
      </w:pPr>
      <w:r>
        <w:t xml:space="preserve">LC-MS based untargeted metabolomics is popular due to its high sensitivity,</w:t>
      </w:r>
      <w:r>
        <w:t xml:space="preserve"> </w:t>
      </w:r>
      <w:r>
        <w:t xml:space="preserve">small sample volume and direct injection without separation</w:t>
      </w:r>
      <w:r>
        <w:t xml:space="preserve"> </w:t>
      </w:r>
      <w:r>
        <w:t xml:space="preserve">etc.</w:t>
      </w:r>
      <w:hyperlink w:anchor="ref-2016aq">
        <w:r>
          <w:rPr>
            <w:rStyle w:val="24"/>
            <w:vertAlign w:val="superscript"/>
          </w:rPr>
          <w:t xml:space="preserve">24</w:t>
        </w:r>
      </w:hyperlink>
      <w:r>
        <w:t xml:space="preserve">. With the help of statistical methodologies,</w:t>
      </w:r>
      <w:r>
        <w:t xml:space="preserve"> </w:t>
      </w:r>
      <w:r>
        <w:t xml:space="preserve">researchers could screen and identify more-informative disease biomarkers from</w:t>
      </w:r>
      <w:r>
        <w:t xml:space="preserve"> </w:t>
      </w:r>
      <w:r>
        <w:t xml:space="preserve">thousands of LC-MS features</w:t>
      </w:r>
      <w:hyperlink w:anchor="ref-2016ar">
        <w:r>
          <w:rPr>
            <w:rStyle w:val="24"/>
            <w:vertAlign w:val="superscript"/>
          </w:rPr>
          <w:t xml:space="preserve">25</w:t>
        </w:r>
      </w:hyperlink>
      <w:r>
        <w:t xml:space="preserve">. Those statistical approaches</w:t>
      </w:r>
      <w:r>
        <w:t xml:space="preserve"> </w:t>
      </w:r>
      <w:r>
        <w:t xml:space="preserve">mainly involved classical statistic and artificial intelligence models(e.g.,</w:t>
      </w:r>
      <w:r>
        <w:t xml:space="preserve"> </w:t>
      </w:r>
      <w:r>
        <w:t xml:space="preserve">random forests)</w:t>
      </w:r>
      <w:hyperlink w:anchor="ref-2019bv">
        <w:r>
          <w:rPr>
            <w:rStyle w:val="24"/>
            <w:vertAlign w:val="superscript"/>
          </w:rPr>
          <w:t xml:space="preserve">26</w:t>
        </w:r>
      </w:hyperlink>
      <w:r>
        <w:t xml:space="preserve">. All approaches were inevitable to produce</w:t>
      </w:r>
      <w:r>
        <w:t xml:space="preserve"> </w:t>
      </w:r>
      <w:r>
        <w:t xml:space="preserve">biases, owing to the complexity of feature set or algorithmic</w:t>
      </w:r>
      <w:r>
        <w:t xml:space="preserve"> </w:t>
      </w:r>
      <w:r>
        <w:t xml:space="preserve">stability</w:t>
      </w:r>
      <w:hyperlink w:anchor="ref-2017i">
        <w:r>
          <w:rPr>
            <w:rStyle w:val="24"/>
            <w:vertAlign w:val="superscript"/>
          </w:rPr>
          <w:t xml:space="preserve">27</w:t>
        </w:r>
      </w:hyperlink>
      <w:r>
        <w:t xml:space="preserve">. Furthermore, analyzing at feature level</w:t>
      </w:r>
      <w:r>
        <w:t xml:space="preserve"> </w:t>
      </w:r>
      <w:r>
        <w:t xml:space="preserve">(quantification of the peak area relating to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) was unable to</w:t>
      </w:r>
      <w:r>
        <w:t xml:space="preserve"> </w:t>
      </w:r>
      <w:r>
        <w:t xml:space="preserve">profile systematic effects on metabolites</w:t>
      </w:r>
      <w:r>
        <w:t xml:space="preserve"> </w:t>
      </w:r>
      <w:r>
        <w:t xml:space="preserve">unbiased</w:t>
      </w:r>
      <w:hyperlink w:anchor="ref-duhrkop_systematic_2021">
        <w:r>
          <w:rPr>
            <w:rStyle w:val="24"/>
            <w:vertAlign w:val="superscript"/>
          </w:rPr>
          <w:t xml:space="preserve">28</w:t>
        </w:r>
      </w:hyperlink>
      <w:r>
        <w:t xml:space="preserve">. In this view, analyzing at</w:t>
      </w:r>
      <w:r>
        <w:t xml:space="preserve"> </w:t>
      </w:r>
      <w:r>
        <w:t xml:space="preserve">chemical classified level (classifying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the knowledge of</w:t>
      </w:r>
      <w:r>
        <w:t xml:space="preserve"> </w:t>
      </w:r>
      <w:r>
        <w:t xml:space="preserve">systematic chemical classification) may be a good solution. However, it is</w:t>
      </w:r>
      <w:r>
        <w:t xml:space="preserve"> </w:t>
      </w:r>
      <w:r>
        <w:t xml:space="preserve">worth noting that the differences of metabolites at the same classified level</w:t>
      </w:r>
      <w:r>
        <w:t xml:space="preserve"> </w:t>
      </w:r>
      <w:r>
        <w:t xml:space="preserve">could lead to various activities. Integrating both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level statistic</w:t>
      </w:r>
      <w:r>
        <w:t xml:space="preserve"> </w:t>
      </w:r>
      <w:r>
        <w:t xml:space="preserve">and classified level assessment probably will be one of the solutions for the</w:t>
      </w:r>
      <w:r>
        <w:t xml:space="preserve"> </w:t>
      </w:r>
      <w:r>
        <w:t xml:space="preserve">problem.</w:t>
      </w:r>
    </w:p>
    <w:p>
      <w:pPr>
        <w:pStyle w:val="3"/>
      </w:pPr>
      <w:r>
        <w:t xml:space="preserve">In addition to chemical classifying and statistical analysis, clustering</w:t>
      </w:r>
      <w:r>
        <w:t xml:space="preserve"> </w:t>
      </w:r>
      <w:r>
        <w:t xml:space="preserve">visualization was useful for untargeted LC-MS data analysis. Over the last decade, Global</w:t>
      </w:r>
      <w:r>
        <w:t xml:space="preserve"> </w:t>
      </w:r>
      <w:r>
        <w:t xml:space="preserve">Natural Products Social Molecular Networking (GNPS) is more and more</w:t>
      </w:r>
      <w:r>
        <w:t xml:space="preserve"> </w:t>
      </w:r>
      <w:r>
        <w:t xml:space="preserve">popular as a clustering visualization tool for LC-MS dataset. GNPS applied molecular</w:t>
      </w:r>
      <w:r>
        <w:t xml:space="preserve"> </w:t>
      </w:r>
      <w:r>
        <w:t xml:space="preserve">networking combined with mass spectra of molecules based on the</w:t>
      </w:r>
      <w:r>
        <w:t xml:space="preserve"> </w:t>
      </w:r>
      <w:r>
        <w:t xml:space="preserve">similarity of their fragmentation patterns</w:t>
      </w:r>
      <w:hyperlink w:anchor="ref-2012a">
        <w:r>
          <w:rPr>
            <w:rStyle w:val="24"/>
            <w:vertAlign w:val="superscript"/>
          </w:rPr>
          <w:t xml:space="preserve">23</w:t>
        </w:r>
      </w:hyperlink>
      <w:r>
        <w:t xml:space="preserve">.</w:t>
      </w:r>
      <w:r>
        <w:t xml:space="preserve"> </w:t>
      </w:r>
      <w:r>
        <w:t xml:space="preserve">Unfortunately, molecular networking of GNPS mainly depend on on spectral</w:t>
      </w:r>
      <w:r>
        <w:t xml:space="preserve"> </w:t>
      </w:r>
      <w:r>
        <w:t xml:space="preserve">similarity instead of compounds structural or classified similarity.</w:t>
      </w:r>
      <w:r>
        <w:t xml:space="preserve"> </w:t>
      </w:r>
      <w:r>
        <w:t xml:space="preserve">It was reported that some compounds belonging</w:t>
      </w:r>
      <w:r>
        <w:t xml:space="preserve"> </w:t>
      </w:r>
      <w:r>
        <w:t xml:space="preserve">to flavonoids happened to be absent from the cluster of other flavonoids</w:t>
      </w:r>
      <w:r>
        <w:t xml:space="preserve"> </w:t>
      </w:r>
      <w:r>
        <w:t xml:space="preserve">compounds in previous research</w:t>
      </w:r>
      <w:hyperlink w:anchor="ref-duhrkop_systematic_2021">
        <w:r>
          <w:rPr>
            <w:rStyle w:val="24"/>
            <w:vertAlign w:val="superscript"/>
          </w:rPr>
          <w:t xml:space="preserve">28</w:t>
        </w:r>
      </w:hyperlink>
      <w:r>
        <w:t xml:space="preserve">.</w:t>
      </w:r>
      <w:r>
        <w:t xml:space="preserve"> </w:t>
      </w:r>
      <w:r>
        <w:t xml:space="preserve">Thus, clustering visualization in a classified level seems to be a better choice for</w:t>
      </w:r>
      <w:r>
        <w:t xml:space="preserve"> </w:t>
      </w:r>
      <w:r>
        <w:t xml:space="preserve">untargeted LC-MS data analysis. Earlier in 2012, the concept of molecular</w:t>
      </w:r>
      <w:r>
        <w:t xml:space="preserve"> </w:t>
      </w:r>
      <w:r>
        <w:t xml:space="preserve">networking with visualization for mass data analysis was proposed for</w:t>
      </w:r>
      <w:r>
        <w:t xml:space="preserve"> </w:t>
      </w:r>
      <w:r>
        <w:t xml:space="preserve">the first time</w:t>
      </w:r>
      <w:hyperlink w:anchor="ref-2012a">
        <w:r>
          <w:rPr>
            <w:rStyle w:val="24"/>
            <w:vertAlign w:val="superscript"/>
          </w:rPr>
          <w:t xml:space="preserve">23</w:t>
        </w:r>
      </w:hyperlink>
      <w:r>
        <w:t xml:space="preserve">, but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for predicting</w:t>
      </w:r>
      <w:r>
        <w:t xml:space="preserve"> </w:t>
      </w:r>
      <w:r>
        <w:t xml:space="preserve">compound classification by fragmentation spectra were not available at</w:t>
      </w:r>
      <w:r>
        <w:t xml:space="preserve"> </w:t>
      </w:r>
      <w:r>
        <w:t xml:space="preserve">that time. Nowadays, with the development of automatic classified</w:t>
      </w:r>
      <w: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silico</w:t>
      </w:r>
      <w:r>
        <w:t xml:space="preserve"> </w:t>
      </w:r>
      <w:r>
        <w:t xml:space="preserve">tools</w:t>
      </w:r>
      <w:hyperlink w:anchor="ref-2016">
        <w:r>
          <w:rPr>
            <w:rStyle w:val="24"/>
            <w:vertAlign w:val="superscript"/>
          </w:rPr>
          <w:t xml:space="preserve">29</w:t>
        </w:r>
      </w:hyperlink>
      <w:r>
        <w:t xml:space="preserve">, it is time for a revolution of the</w:t>
      </w:r>
      <w:r>
        <w:t xml:space="preserve"> </w:t>
      </w:r>
      <w:r>
        <w:t xml:space="preserve">visualization strategy with higher confidence in classified level.</w:t>
      </w:r>
    </w:p>
    <w:p>
      <w:pPr>
        <w:pStyle w:val="3"/>
      </w:pPr>
      <w:r>
        <w:t xml:space="preserve">For above consideration, we proposed a comprehensive framework, named MCnebula</w:t>
      </w:r>
      <w:r>
        <w:t xml:space="preserve"> </w:t>
      </w:r>
      <w:r>
        <w:t xml:space="preserve">(https://mcnebula.org/), for untargeted LC-MS/MS dataset analysis. MCnebula</w:t>
      </w:r>
      <w:r>
        <w:t xml:space="preserve"> </w:t>
      </w:r>
      <w:r>
        <w:t xml:space="preserve">integrated a new abundance-based classes (ABC) selection algorithm for chemical</w:t>
      </w:r>
      <w:r>
        <w:t xml:space="preserve"> </w:t>
      </w:r>
      <w:r>
        <w:t xml:space="preserve">classes selection. MCnebula can be used to explore unknown compounds because of the</w:t>
      </w:r>
      <w:r>
        <w:t xml:space="preserve"> </w:t>
      </w:r>
      <w:r>
        <w:t xml:space="preserve">annotation module and the cutting-edge technology of SIRIUS</w:t>
      </w:r>
      <w:r>
        <w:t xml:space="preserve"> </w:t>
      </w:r>
      <w:r>
        <w:t xml:space="preserve">software</w:t>
      </w:r>
      <w:hyperlink w:anchor="ref-duhrkop_searching_2015">
        <w:r>
          <w:rPr>
            <w:rStyle w:val="24"/>
            <w:vertAlign w:val="superscript"/>
          </w:rPr>
          <w:t xml:space="preserve">16</w:t>
        </w:r>
      </w:hyperlink>
      <w:r>
        <w:rPr>
          <w:vertAlign w:val="superscript"/>
        </w:rPr>
        <w:t xml:space="preserve">,</w:t>
      </w:r>
      <w:hyperlink w:anchor="ref-duhrkop_sirius_2019">
        <w:r>
          <w:rPr>
            <w:rStyle w:val="24"/>
            <w:vertAlign w:val="superscript"/>
          </w:rPr>
          <w:t xml:space="preserve">18</w:t>
        </w:r>
      </w:hyperlink>
      <w:r>
        <w:rPr>
          <w:vertAlign w:val="superscript"/>
        </w:rPr>
        <w:t xml:space="preserve">,</w:t>
      </w:r>
      <w:hyperlink w:anchor="ref-duhrkop_systematic_2021">
        <w:r>
          <w:rPr>
            <w:rStyle w:val="24"/>
            <w:vertAlign w:val="superscript"/>
          </w:rPr>
          <w:t xml:space="preserve">28</w:t>
        </w:r>
      </w:hyperlink>
      <w:r>
        <w:rPr>
          <w:vertAlign w:val="superscript"/>
        </w:rPr>
        <w:t xml:space="preserve">,</w:t>
      </w:r>
      <w:hyperlink w:anchor="ref-bocker_sirius_2009">
        <w:r>
          <w:rPr>
            <w:rStyle w:val="24"/>
            <w:vertAlign w:val="superscript"/>
          </w:rPr>
          <w:t xml:space="preserve">30</w:t>
        </w:r>
      </w:hyperlink>
      <w:r>
        <w:rPr>
          <w:vertAlign w:val="superscript"/>
        </w:rPr>
        <w:t xml:space="preserve">–</w:t>
      </w:r>
      <w:hyperlink w:anchor="ref-ludwig_database-independent_2020">
        <w:r>
          <w:rPr>
            <w:rStyle w:val="24"/>
            <w:vertAlign w:val="superscript"/>
          </w:rPr>
          <w:t xml:space="preserve">32</w:t>
        </w:r>
      </w:hyperlink>
      <w:r>
        <w:t xml:space="preserve">, which exceeded the</w:t>
      </w:r>
      <w:r>
        <w:t xml:space="preserve"> </w:t>
      </w:r>
      <w:r>
        <w:t xml:space="preserve">limitations of spectral library matching. It allowed all data for one-button</w:t>
      </w:r>
      <w:r>
        <w:t xml:space="preserve"> </w:t>
      </w:r>
      <w:r>
        <w:t xml:space="preserve">analysis from the beginning to the end, which facilitated data processing. In</w:t>
      </w:r>
      <w:r>
        <w:t xml:space="preserve"> </w:t>
      </w:r>
      <w:r>
        <w:t xml:space="preserve">addition to the basic function of MCnebula), we provided an additional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 for downstream analysis, which provided a prototype for</w:t>
      </w:r>
      <w:r>
        <w:t xml:space="preserve"> </w:t>
      </w:r>
      <w:r>
        <w:t xml:space="preserve">the expanded application of MCnebula.</w:t>
      </w:r>
    </w:p>
    <w:bookmarkEnd w:id="23"/>
    <w:bookmarkStart w:id="26" w:name="experimental-section"/>
    <w:p>
      <w:pPr>
        <w:pStyle w:val="4"/>
      </w:pPr>
      <w:r>
        <w:t xml:space="preserve">Experimental section</w:t>
      </w:r>
    </w:p>
    <w:bookmarkStart w:id="24" w:name="mcnebula-algorithm"/>
    <w:p>
      <w:pPr>
        <w:pStyle w:val="5"/>
      </w:pPr>
      <w:r>
        <w:t xml:space="preserve">MCnebula algorithm</w:t>
      </w:r>
    </w:p>
    <w:p>
      <w:pPr>
        <w:pStyle w:val="38"/>
      </w:pPr>
      <w:r>
        <w:rPr>
          <w:bCs/>
          <w:b/>
        </w:rPr>
        <w:t xml:space="preserve">Molecular formula and chemical structure prediction</w:t>
      </w:r>
      <w:r>
        <w:t xml:space="preserve">. The analysis of</w:t>
      </w:r>
      <w:r>
        <w:t xml:space="preserve"> </w:t>
      </w:r>
      <w:r>
        <w:t xml:space="preserve">MS/MS spectra involve a process of inference and prediction. We deduce</w:t>
      </w:r>
      <w:r>
        <w:t xml:space="preserve"> </w:t>
      </w:r>
      <w:r>
        <w:t xml:space="preserve">the molecular formula based on the molecular weight of elements</w:t>
      </w:r>
      <w:r>
        <w:t xml:space="preserve"> </w:t>
      </w:r>
      <w:r>
        <w:t xml:space="preserve">composition and possible fragmentation pattern of the MS/MS spectrum by</w:t>
      </w:r>
      <w:r>
        <w:t xml:space="preserve"> </w:t>
      </w:r>
      <w:r>
        <w:t xml:space="preserve">SIRIUS; We then search for the exact chemical structure from compound</w:t>
      </w:r>
      <w:r>
        <w:t xml:space="preserve"> </w:t>
      </w:r>
      <w:r>
        <w:t xml:space="preserve">structure databases. However, this process is often uncertain as several</w:t>
      </w:r>
      <w:r>
        <w:t xml:space="preserve"> </w:t>
      </w:r>
      <w:r>
        <w:t xml:space="preserve">factors can affect the reliability of MS/MS data and the correctness of</w:t>
      </w:r>
      <w:r>
        <w:t xml:space="preserve"> </w:t>
      </w:r>
      <w:r>
        <w:t xml:space="preserve">inference. SIRIUS generates a list of candidates for the potential</w:t>
      </w:r>
      <w:r>
        <w:t xml:space="preserve"> </w:t>
      </w:r>
      <w:r>
        <w:t xml:space="preserve">molecular formula, chemical structure, and chemical classification</w:t>
      </w:r>
      <w:r>
        <w:t xml:space="preserve"> </w:t>
      </w:r>
      <w:r>
        <w:t xml:space="preserve">behind each MS/MS spectral feature. In such cases, MCnebula extract</w:t>
      </w:r>
      <w:r>
        <w:t xml:space="preserve"> </w:t>
      </w:r>
      <w:r>
        <w:t xml:space="preserve">these candidates and determine the unique molecular formula and chemical</w:t>
      </w:r>
      <w:r>
        <w:t xml:space="preserve"> </w:t>
      </w:r>
      <w:r>
        <w:t xml:space="preserve">structure for each MS/MS spectrum based on the highest score of</w:t>
      </w:r>
      <w:r>
        <w:t xml:space="preserve"> </w:t>
      </w:r>
      <w:r>
        <w:t xml:space="preserve">prediction.</w:t>
      </w:r>
    </w:p>
    <w:p>
      <w:pPr>
        <w:pStyle w:val="3"/>
      </w:pPr>
      <w:r>
        <w:rPr>
          <w:bCs/>
          <w:b/>
        </w:rPr>
        <w:t xml:space="preserve">Top candidate selection by multiple score systems</w:t>
      </w:r>
      <w:r>
        <w:t xml:space="preserve">. After the process</w:t>
      </w:r>
      <w:r>
        <w:t xml:space="preserve"> </w:t>
      </w:r>
      <w:r>
        <w:t xml:space="preserve">of compound prediction, we get candidates for molecular formula,</w:t>
      </w:r>
      <w:r>
        <w:t xml:space="preserve"> </w:t>
      </w:r>
      <w:r>
        <w:t xml:space="preserve">structure, and chemical classes. Some candidates are correct while</w:t>
      </w:r>
      <w:r>
        <w:t xml:space="preserve"> </w:t>
      </w:r>
      <w:r>
        <w:t xml:space="preserve">others are not. While the correct predictions for molecular formula and</w:t>
      </w:r>
      <w:r>
        <w:t xml:space="preserve"> </w:t>
      </w:r>
      <w:r>
        <w:t xml:space="preserve">chemical structure are unique, the chemical classification may have</w:t>
      </w:r>
      <w:r>
        <w:t xml:space="preserve"> </w:t>
      </w:r>
      <w:r>
        <w:t xml:space="preserve">multiple correct predictions belonging to different classes of</w:t>
      </w:r>
      <w:r>
        <w:t xml:space="preserve"> </w:t>
      </w:r>
      <w:r>
        <w:t xml:space="preserve">hierarchy. The scoring method depends on personalized research purpose.</w:t>
      </w:r>
      <w:r>
        <w:t xml:space="preserve"> </w:t>
      </w:r>
      <w:r>
        <w:t xml:space="preserve">We can use scores based on various criteria such as isotopes, mass</w:t>
      </w:r>
      <w:r>
        <w:t xml:space="preserve"> </w:t>
      </w:r>
      <w:r>
        <w:t xml:space="preserve">error, structural similarity, or chemical classes to rank and filter the</w:t>
      </w:r>
      <w:r>
        <w:t xml:space="preserve"> </w:t>
      </w:r>
      <w:r>
        <w:t xml:space="preserve">candidates. With numerous score systems available, we filter out</w:t>
      </w:r>
      <w:r>
        <w:t xml:space="preserve"> </w:t>
      </w:r>
      <w:r>
        <w:t xml:space="preserve">low-scoring candidates and focus on those with higher scores, which are</w:t>
      </w:r>
      <w:r>
        <w:t xml:space="preserve"> </w:t>
      </w:r>
      <w:r>
        <w:t xml:space="preserve">more likely to be the correct compound. However, in most cases, the top</w:t>
      </w:r>
      <w:r>
        <w:t xml:space="preserve"> </w:t>
      </w:r>
      <w:r>
        <w:t xml:space="preserve">candidates from the three scoring systems are not always consistent. So,</w:t>
      </w:r>
      <w:r>
        <w:t xml:space="preserve"> </w:t>
      </w:r>
      <w:r>
        <w:t xml:space="preserve">we choose a</w:t>
      </w:r>
      <w:r>
        <w:t xml:space="preserve"> </w:t>
      </w:r>
      <w:r>
        <w:t xml:space="preserve">‘</w:t>
      </w:r>
      <w:r>
        <w:t xml:space="preserve">specific candidate</w:t>
      </w:r>
      <w:r>
        <w:t xml:space="preserve">’</w:t>
      </w:r>
      <w:r>
        <w:t xml:space="preserve"> </w:t>
      </w:r>
      <w:r>
        <w:t xml:space="preserve">as a reference in the user-selected</w:t>
      </w:r>
      <w:r>
        <w:t xml:space="preserve"> </w:t>
      </w:r>
      <w:r>
        <w:t xml:space="preserve">scoring system and retrieve its chemical information from the other</w:t>
      </w:r>
      <w:r>
        <w:t xml:space="preserve"> </w:t>
      </w:r>
      <w:r>
        <w:t xml:space="preserve">systems for data integration. We obtain unique molecular formulae and</w:t>
      </w:r>
      <w:r>
        <w:t xml:space="preserve"> </w:t>
      </w:r>
      <w:r>
        <w:t xml:space="preserve">chemical structure for the reference by scoring and ranking, but for</w:t>
      </w:r>
      <w:r>
        <w:t xml:space="preserve"> </w:t>
      </w:r>
      <w:r>
        <w:t xml:space="preserve">chemical classes, more work is needed.</w:t>
      </w:r>
    </w:p>
    <w:p>
      <w:pPr>
        <w:pStyle w:val="3"/>
      </w:pPr>
      <w:r>
        <w:rPr>
          <w:bCs/>
          <w:b/>
        </w:rPr>
        <w:t xml:space="preserve">Chemical classification</w:t>
      </w:r>
      <w:r>
        <w:t xml:space="preserve">. Compounds with MS/MS spectrum can be</w:t>
      </w:r>
      <w:r>
        <w:t xml:space="preserve"> </w:t>
      </w:r>
      <w:r>
        <w:t xml:space="preserve">classified based on their overall structure or local structure, which we</w:t>
      </w:r>
      <w:r>
        <w:t xml:space="preserve"> </w:t>
      </w:r>
      <w:r>
        <w:t xml:space="preserve">refer to as the dominant structure and substructure, respectively.</w:t>
      </w:r>
      <w:r>
        <w:t xml:space="preserve"> </w:t>
      </w:r>
      <w:r>
        <w:t xml:space="preserve">Therefore, in the chemical classification system, we can classify</w:t>
      </w:r>
      <w:r>
        <w:t xml:space="preserve"> </w:t>
      </w:r>
      <w:r>
        <w:t xml:space="preserve">compounds not only based on their dominant structure, but also based on</w:t>
      </w:r>
      <w:r>
        <w:t xml:space="preserve"> </w:t>
      </w:r>
      <w:r>
        <w:t xml:space="preserve">their substructure. When the dominant structure is unavailable, or the</w:t>
      </w:r>
      <w:r>
        <w:t xml:space="preserve"> </w:t>
      </w:r>
      <w:r>
        <w:t xml:space="preserve">MS/MS spectral fragment is insufficient, we classify the compounds using</w:t>
      </w:r>
      <w:r>
        <w:t xml:space="preserve"> </w:t>
      </w:r>
      <w:r>
        <w:t xml:space="preserve">substructure information to gain knowledge of the compound. Note:</w:t>
      </w:r>
      <w:r>
        <w:t xml:space="preserve"> </w:t>
      </w:r>
      <w:r>
        <w:t xml:space="preserve">Classifying compounds based on their dominant structure is</w:t>
      </w:r>
      <w:r>
        <w:t xml:space="preserve"> </w:t>
      </w:r>
      <w:r>
        <w:t xml:space="preserve">straightforward. For example, we classify Taxifolin as a Flavone, not a</w:t>
      </w:r>
      <w:r>
        <w:t xml:space="preserve"> </w:t>
      </w:r>
      <w:r>
        <w:t xml:space="preserve">phenol, even though its local structure contains a phenol substructure.</w:t>
      </w:r>
      <w:r>
        <w:t xml:space="preserve"> </w:t>
      </w:r>
      <w:r>
        <w:t xml:space="preserve">We prefer to classify compounds based on their dominant structure</w:t>
      </w:r>
      <w:r>
        <w:t xml:space="preserve"> </w:t>
      </w:r>
      <w:r>
        <w:t xml:space="preserve">because it is more concise and provides more information. However,</w:t>
      </w:r>
      <w:r>
        <w:t xml:space="preserve"> </w:t>
      </w:r>
      <w:r>
        <w:t xml:space="preserve">during the MS/MS spectral analysis, we sometimes can only classify</w:t>
      </w:r>
      <w:r>
        <w:t xml:space="preserve"> </w:t>
      </w:r>
      <w:r>
        <w:t xml:space="preserve">compounds based on their substructure.</w:t>
      </w:r>
    </w:p>
    <w:p>
      <w:pPr>
        <w:pStyle w:val="3"/>
      </w:pPr>
      <w:r>
        <w:rPr>
          <w:bCs/>
          <w:b/>
        </w:rPr>
        <w:t xml:space="preserve">ABC selection</w:t>
      </w:r>
      <w:r>
        <w:t xml:space="preserve">. The ABC selection algorithm evaluates all features</w:t>
      </w:r>
      <w:r>
        <w:t xml:space="preserve"> </w:t>
      </w:r>
      <w:r>
        <w:t xml:space="preserve">collectively in an untargeted LC-MS/MS dataset, by examining the number</w:t>
      </w:r>
      <w:r>
        <w:t xml:space="preserve"> </w:t>
      </w:r>
      <w:r>
        <w:t xml:space="preserve">and abundance of features for each chemical classification at different</w:t>
      </w:r>
      <w:r>
        <w:t xml:space="preserve"> </w:t>
      </w:r>
      <w:r>
        <w:t xml:space="preserve">levels with both substructure and dominant structure. Based on this</w:t>
      </w:r>
      <w:r>
        <w:t xml:space="preserve"> </w:t>
      </w:r>
      <w:r>
        <w:t xml:space="preserve">analysis, representative classes are selected for subsequent analysis</w:t>
      </w:r>
      <w:r>
        <w:t xml:space="preserve"> </w:t>
      </w:r>
      <w:r>
        <w:t xml:space="preserve">(as shown in Fig. 6).</w:t>
      </w:r>
    </w:p>
    <w:p>
      <w:pPr>
        <w:numPr>
          <w:ilvl w:val="0"/>
          <w:numId w:val="1001"/>
        </w:numPr>
      </w:pPr>
      <w:r>
        <w:t xml:space="preserve">Create Stardust Classes (Inner filter). By using the posterior</w:t>
      </w:r>
      <w:r>
        <w:t xml:space="preserve"> </w:t>
      </w:r>
      <w:r>
        <w:t xml:space="preserve">probability of classification prediction (PPCP) data for each</w:t>
      </w:r>
      <w:r>
        <w:t xml:space="preserve"> </w:t>
      </w:r>
      <w:r>
        <w:t xml:space="preserve">feature, simple threshold or absolute conditions are set to filter</w:t>
      </w:r>
      <w:r>
        <w:t xml:space="preserve"> </w:t>
      </w:r>
      <w:r>
        <w:t xml:space="preserve">the chemical classes, and refer to as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filtering.</w:t>
      </w:r>
    </w:p>
    <w:p>
      <w:pPr>
        <w:numPr>
          <w:ilvl w:val="0"/>
          <w:numId w:val="1001"/>
        </w:numPr>
      </w:pPr>
      <w:r>
        <w:t xml:space="preserve">Cross filter Stardust Classes. This involves combining the data of</w:t>
      </w:r>
      <w:r>
        <w:t xml:space="preserve"> </w:t>
      </w:r>
      <w:r>
        <w:t xml:space="preserve">the chemical classes and their classified features (i.e. Stardust</w:t>
      </w:r>
      <w:r>
        <w:t xml:space="preserve"> </w:t>
      </w:r>
      <w:r>
        <w:t xml:space="preserve">Classes data), grouping them based on the chemical classes, and then</w:t>
      </w:r>
      <w:r>
        <w:t xml:space="preserve"> </w:t>
      </w:r>
      <w:r>
        <w:t xml:space="preserve">performing statistics on the features within each group. Statistics</w:t>
      </w:r>
      <w:r>
        <w:t xml:space="preserve"> </w:t>
      </w:r>
      <w:r>
        <w:t xml:space="preserve">may also be performed on these data in conjunction with features</w:t>
      </w:r>
      <w:r>
        <w:t xml:space="preserve"> </w:t>
      </w:r>
      <w:r>
        <w:t xml:space="preserve">annotation data, or to compare groups with each other. This method</w:t>
      </w:r>
      <w:r>
        <w:t xml:space="preserve"> </w:t>
      </w:r>
      <w:r>
        <w:t xml:space="preserve">involves crossover of attributes for filtering, hence it is referred</w:t>
      </w:r>
      <w:r>
        <w:t xml:space="preserve"> </w:t>
      </w:r>
      <w:r>
        <w:t xml:space="preserve">to as</w:t>
      </w:r>
      <w:r>
        <w:t xml:space="preserve"> </w:t>
      </w:r>
      <w:r>
        <w:t xml:space="preserve">‘</w:t>
      </w:r>
      <w:r>
        <w:t xml:space="preserve">cross</w:t>
      </w:r>
      <w:r>
        <w:t xml:space="preserve">’</w:t>
      </w:r>
      <w:r>
        <w:t xml:space="preserve"> </w:t>
      </w:r>
      <w:r>
        <w:t xml:space="preserve">filtering. (See details in the next subsection about</w:t>
      </w:r>
      <w:r>
        <w:t xml:space="preserve"> </w:t>
      </w:r>
      <w:r>
        <w:t xml:space="preserve">Cross filter Stardust Classes.)</w:t>
      </w:r>
    </w:p>
    <w:p>
      <w:pPr>
        <w:pStyle w:val="38"/>
      </w:pPr>
      <w:r>
        <w:t xml:space="preserve">The resulting dataset is called Nebula-Index, which records multiple</w:t>
      </w:r>
      <w:r>
        <w:t xml:space="preserve"> </w:t>
      </w:r>
      <w:r>
        <w:t xml:space="preserve">chemical classes and their associated features. Each chemical class is</w:t>
      </w:r>
      <w:r>
        <w:t xml:space="preserve"> </w:t>
      </w:r>
      <w:r>
        <w:t xml:space="preserve">considered as a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 </w:t>
      </w:r>
      <w:r>
        <w:t xml:space="preserve">and its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the</w:t>
      </w:r>
      <w:r>
        <w:t xml:space="preserve"> </w:t>
      </w:r>
      <w:r>
        <w:t xml:space="preserve">components of the Nebula. These Nebulae are visualized as networks, with</w:t>
      </w:r>
      <w:r>
        <w:t xml:space="preserve"> </w:t>
      </w:r>
      <w:r>
        <w:t xml:space="preserve">Parent-Nebula representing all features combined and Child-Nebulae</w:t>
      </w:r>
      <w:r>
        <w:t xml:space="preserve"> </w:t>
      </w:r>
      <w:r>
        <w:t xml:space="preserve">representing individual classes with their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p>
      <w:pPr>
        <w:pStyle w:val="3"/>
      </w:pPr>
      <w:r>
        <w:rPr>
          <w:bCs/>
          <w:b/>
        </w:rPr>
        <w:t xml:space="preserve">Details of Cross filter Stardust Classes.</w:t>
      </w:r>
      <w:r>
        <w:t xml:space="preserve"> </w:t>
      </w:r>
      <w:r>
        <w:t xml:space="preserve">This method involves</w:t>
      </w:r>
      <w:r>
        <w:t xml:space="preserve"> </w:t>
      </w:r>
      <w:r>
        <w:t xml:space="preserve">integrating three modules, as shown in Fig. 6:</w:t>
      </w:r>
    </w:p>
    <w:p>
      <w:pPr>
        <w:pStyle w:val="3"/>
      </w:pPr>
      <w:r>
        <w:rPr>
          <w:iCs/>
          <w:i/>
        </w:rPr>
        <w:t xml:space="preserve">Cross-filtering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quantity</w:t>
      </w:r>
      <w:r>
        <w:rPr>
          <w:iCs/>
          <w:i/>
        </w:rPr>
        <w:t xml:space="preserve">’</w:t>
      </w:r>
      <w:r>
        <w:t xml:space="preserve"> </w:t>
      </w:r>
      <w:r>
        <w:t xml:space="preserve">(abundance selection):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limitation is set for each group (a chemical class with its</w:t>
      </w:r>
      <w:r>
        <w:t xml:space="preserve"> </w:t>
      </w:r>
      <w:r>
        <w:t xml:space="preserve">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). The minimum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within the</w:t>
      </w:r>
      <w:r>
        <w:t xml:space="preserve"> </w:t>
      </w:r>
      <w:r>
        <w:t xml:space="preserve">group and the maximum proportion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within the group</w:t>
      </w:r>
      <w:r>
        <w:t xml:space="preserve"> </w:t>
      </w:r>
      <w:r>
        <w:t xml:space="preserve">versus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(unique) quantity of all groups are used as</w:t>
      </w:r>
      <w:r>
        <w:t xml:space="preserve"> </w:t>
      </w:r>
      <w:r>
        <w:t xml:space="preserve">thresholds. Chemical classes with too many or too few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filtered out.</w:t>
      </w:r>
    </w:p>
    <w:p>
      <w:pPr>
        <w:pStyle w:val="3"/>
      </w:pPr>
      <w:r>
        <w:rPr>
          <w:iCs/>
          <w:i/>
        </w:rPr>
        <w:t xml:space="preserve">Cross-filtering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score</w:t>
      </w:r>
      <w:r>
        <w:rPr>
          <w:iCs/>
          <w:i/>
        </w:rPr>
        <w:t xml:space="preserve">’</w:t>
      </w:r>
      <w:r>
        <w:t xml:space="preserve"> </w:t>
      </w:r>
      <w:r>
        <w:t xml:space="preserve">(Goodness assessment): This step associates</w:t>
      </w:r>
      <w:r>
        <w:t xml:space="preserve"> </w:t>
      </w:r>
      <w:r>
        <w:t xml:space="preserve">the Stardust Classes data with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data. For each</w:t>
      </w:r>
      <w:r>
        <w:t xml:space="preserve"> </w:t>
      </w:r>
      <w:r>
        <w:t xml:space="preserve">group, the Goodness assessment is performed for each target attribute</w:t>
      </w:r>
      <w:r>
        <w:t xml:space="preserve"> </w:t>
      </w:r>
      <w:r>
        <w:t xml:space="preserve">(continuous attribute, generally a scoring attribute of compound</w:t>
      </w:r>
      <w:r>
        <w:t xml:space="preserve"> </w:t>
      </w:r>
      <w:r>
        <w:t xml:space="preserve">identification, such as</w:t>
      </w:r>
      <w:r>
        <w:t xml:space="preserve"> </w:t>
      </w:r>
      <w:r>
        <w:t xml:space="preserve">‘</w:t>
      </w:r>
      <w:r>
        <w:t xml:space="preserve">Tanimoto similarity</w:t>
      </w:r>
      <w:r>
        <w:t xml:space="preserve">’</w:t>
      </w:r>
      <w:r>
        <w:t xml:space="preserve">). If the group satisfies</w:t>
      </w:r>
      <w:r>
        <w:t xml:space="preserve"> </w:t>
      </w:r>
      <w:r>
        <w:t xml:space="preserve">all the expected Goodness, the chemical class is retained. The Goodness</w:t>
      </w:r>
      <w:r>
        <w:t xml:space="preserve"> </w:t>
      </w:r>
      <w:r>
        <w:t xml:space="preserve">(</w:t>
      </w:r>
      <m:oMath>
        <m:r>
          <m:t>G</m:t>
        </m:r>
      </m:oMath>
      <w:r>
        <w:t xml:space="preserve">) is calculated as follows: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N</m:t>
        </m:r>
      </m:oMath>
      <w:r>
        <w:t xml:space="preserve">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which the target attributes satisfy the cut-off,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quantity of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p>
      <w:pPr>
        <w:pStyle w:val="3"/>
      </w:pPr>
      <w:r>
        <w:t xml:space="preserve">The assessment of Goodness is related to the parameters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: the expected Goodness value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 </w:t>
      </w:r>
      <w:r>
        <w:t xml:space="preserve">and the actual</w:t>
      </w:r>
      <w:r>
        <w:t xml:space="preserve"> </w:t>
      </w:r>
      <w:r>
        <w:t xml:space="preserve">Goodness, which is related to the parameter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.</w:t>
      </w:r>
    </w:p>
    <w:p>
      <w:pPr>
        <w:pStyle w:val="3"/>
      </w:pPr>
      <w:r>
        <w:t xml:space="preserve">Goodness assessment can be given to multiple target attributes. Note</w:t>
      </w:r>
      <w:r>
        <w:t xml:space="preserve"> </w:t>
      </w:r>
      <w:r>
        <w:t xml:space="preserve">that the chemical class is retained only if it passes the Goodness</w:t>
      </w:r>
      <w:r>
        <w:t xml:space="preserve"> </w:t>
      </w:r>
      <w:r>
        <w:t xml:space="preserve">assessment of all target attributes. The main purpose of this step is to</w:t>
      </w:r>
      <w:r>
        <w:t xml:space="preserve"> </w:t>
      </w:r>
      <w:r>
        <w:t xml:space="preserve">filter out chemical classes with too many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low structural</w:t>
      </w:r>
      <w:r>
        <w:t xml:space="preserve"> </w:t>
      </w:r>
      <w:r>
        <w:t xml:space="preserve">identification.</w:t>
      </w:r>
    </w:p>
    <w:p>
      <w:pPr>
        <w:pStyle w:val="3"/>
      </w:pPr>
      <w:r>
        <w:rPr>
          <w:iCs/>
          <w:i/>
        </w:rPr>
        <w:t xml:space="preserve">Cross-filtering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identical</w:t>
      </w:r>
      <w:r>
        <w:rPr>
          <w:iCs/>
          <w:i/>
        </w:rPr>
        <w:t xml:space="preserve">’</w:t>
      </w:r>
      <w:r>
        <w:t xml:space="preserve"> </w:t>
      </w:r>
      <w:r>
        <w:t xml:space="preserve">(identicality assessment): This step</w:t>
      </w:r>
      <w:r>
        <w:t xml:space="preserve"> </w:t>
      </w:r>
      <w:r>
        <w:t xml:space="preserve">involves a similarity assessment of chemical classes. A hierarchical</w:t>
      </w:r>
      <w:r>
        <w:t xml:space="preserve"> </w:t>
      </w:r>
      <w:r>
        <w:t xml:space="preserve">range is set for chemical classification, and groups within this range</w:t>
      </w:r>
      <w:r>
        <w:t xml:space="preserve"> </w:t>
      </w:r>
      <w:r>
        <w:t xml:space="preserve">are compared for similarity. If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two groups</w:t>
      </w:r>
      <w:r>
        <w:t xml:space="preserve"> </w:t>
      </w:r>
      <w:r>
        <w:t xml:space="preserve">are almost identical to each other, the chemical class represented by</w:t>
      </w:r>
      <w:r>
        <w:t xml:space="preserve"> </w:t>
      </w:r>
      <w:r>
        <w:t xml:space="preserve">one of the groups is excluded. The degree of identicality between two</w:t>
      </w:r>
      <w:r>
        <w:t xml:space="preserve"> </w:t>
      </w:r>
      <w:r>
        <w:t xml:space="preserve">groups (A and B) is assessed, as well as the value of the parameter</w:t>
      </w:r>
      <w:r>
        <w:t xml:space="preserve"> </w:t>
      </w:r>
      <w:r>
        <w:t xml:space="preserve">‘</w:t>
      </w:r>
      <w:r>
        <w:t xml:space="preserve">identical_factor</w:t>
      </w:r>
      <w:r>
        <w:t xml:space="preserve">’</w:t>
      </w:r>
      <w:r>
        <w:t xml:space="preserve"> </w:t>
      </w:r>
      <w:r>
        <w:t xml:space="preserve">(</w:t>
      </w:r>
      <m:oMath>
        <m:r>
          <m:t>i</m:t>
        </m:r>
      </m:oMath>
      <w:r>
        <w:t xml:space="preserve">) :</w:t>
      </w:r>
    </w:p>
    <w:p>
      <w:pPr>
        <w:pStyle w:val="3"/>
      </w:pPr>
      <m:oMath>
        <m:r>
          <m:t>x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A belonging to B</w:t>
      </w:r>
    </w:p>
    <w:p>
      <w:pPr>
        <w:pStyle w:val="3"/>
      </w:pPr>
      <m:oMath>
        <m:r>
          <m:t>y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B belonging to A</w:t>
      </w:r>
    </w:p>
    <w:p>
      <w:pPr>
        <w:pStyle w:val="3"/>
      </w:pPr>
      <m:oMath>
        <m:r>
          <m:t>i</m:t>
        </m:r>
      </m:oMath>
      <w:r>
        <w:t xml:space="preserve">: value of parameter</w:t>
      </w:r>
      <w:r>
        <w:t xml:space="preserve"> </w:t>
      </w:r>
      <w:r>
        <w:t xml:space="preserve">‘</w:t>
      </w:r>
      <w:r>
        <w:t xml:space="preserve">identical_factor</w:t>
      </w:r>
      <w:r>
        <w:t xml:space="preserve">’</w:t>
      </w:r>
    </w:p>
    <w:p>
      <w:pPr>
        <w:pStyle w:val="3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&gt;</m:t>
        </m:r>
        <m:r>
          <m:t>i</m:t>
        </m:r>
      </m:oMath>
      <w:r>
        <w:t xml:space="preserve">, the two groups are considered identical, and the</w:t>
      </w:r>
      <w:r>
        <w:t xml:space="preserve"> </w:t>
      </w:r>
      <w:r>
        <w:t xml:space="preserve">group with fewer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is discarded. The purpose of this step is to</w:t>
      </w:r>
      <w:r>
        <w:t xml:space="preserve"> </w:t>
      </w:r>
      <w:r>
        <w:t xml:space="preserve">filter out classes that may incorporate each other and are similar in</w:t>
      </w:r>
      <w:r>
        <w:t xml:space="preserve"> </w:t>
      </w:r>
      <w:r>
        <w:t xml:space="preserve">scope. The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prediction approach may not be able to</w:t>
      </w:r>
      <w:r>
        <w:t xml:space="preserve"> </w:t>
      </w:r>
      <w:r>
        <w:t xml:space="preserve">distinguish which class the potential compound belongs to from the</w:t>
      </w:r>
      <w:r>
        <w:t xml:space="preserve"> </w:t>
      </w:r>
      <w:r>
        <w:t xml:space="preserve">LC-MS/MS spectra.</w:t>
      </w:r>
    </w:p>
    <w:bookmarkEnd w:id="24"/>
    <w:bookmarkStart w:id="25" w:name="mcnebula-evaluation"/>
    <w:p>
      <w:pPr>
        <w:pStyle w:val="5"/>
      </w:pPr>
      <w:r>
        <w:t xml:space="preserve">MCnebula evaluation</w:t>
      </w:r>
    </w:p>
    <w:p>
      <w:pPr>
        <w:pStyle w:val="38"/>
      </w:pPr>
      <w:r>
        <w:rPr>
          <w:bCs/>
          <w:b/>
        </w:rPr>
        <w:t xml:space="preserve">Spectra dataset for evaluation</w:t>
      </w:r>
      <w:r>
        <w:t xml:space="preserve">. To evaluate the performance of</w:t>
      </w:r>
      <w:r>
        <w:t xml:space="preserve"> </w:t>
      </w:r>
      <w:r>
        <w:t xml:space="preserve">MCnebula, the spectra from the GNPS MS/MS library was used</w:t>
      </w:r>
      <w:r>
        <w:t xml:space="preserve"> </w:t>
      </w:r>
      <w:r>
        <w:t xml:space="preserve">(http://prime.psc.riken.jp/compms/msdial/main.html#MSP). To prevent</w:t>
      </w:r>
      <w:r>
        <w:t xml:space="preserve"> </w:t>
      </w:r>
      <w:r>
        <w:t xml:space="preserve">overfitting during library match evaluation,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was added to the</w:t>
      </w:r>
      <w:r>
        <w:t xml:space="preserve"> </w:t>
      </w:r>
      <w:r>
        <w:t xml:space="preserve">MS/MS spectra</w:t>
      </w:r>
      <w:hyperlink w:anchor="ref-2021">
        <w:r>
          <w:rPr>
            <w:rStyle w:val="24"/>
            <w:vertAlign w:val="superscript"/>
          </w:rPr>
          <w:t xml:space="preserve">33</w:t>
        </w:r>
      </w:hyperlink>
      <w:r>
        <w:t xml:space="preserve">. Two models of noise were simulated:</w:t>
      </w:r>
      <w:r>
        <w:t xml:space="preserve"> </w:t>
      </w:r>
      <w:r>
        <w:t xml:space="preserve">medium noise and high noise. The simulation involved a global mass</w:t>
      </w:r>
      <w:r>
        <w:t xml:space="preserve"> </w:t>
      </w:r>
      <w:r>
        <w:t xml:space="preserve">shift, individual mass deviations, intensity variations, and additional</w:t>
      </w:r>
      <w:r>
        <w:t xml:space="preserve"> </w:t>
      </w:r>
      <w:r>
        <w:t xml:space="preserve">‘</w:t>
      </w:r>
      <w:r>
        <w:t xml:space="preserve">noise peaks.</w:t>
      </w:r>
      <w:r>
        <w:t xml:space="preserve">’</w:t>
      </w:r>
      <w:r>
        <w:t xml:space="preserve"> </w:t>
      </w:r>
      <w:r>
        <w:t xml:space="preserve">Isotope patterns were also simulated using the</w:t>
      </w:r>
      <w:r>
        <w:t xml:space="preserve"> </w:t>
      </w:r>
      <w:r>
        <w:t xml:space="preserve">‘</w:t>
      </w:r>
      <w:r>
        <w:t xml:space="preserve">get.isotopes.pattern</w:t>
      </w:r>
      <w:r>
        <w:t xml:space="preserve">’</w:t>
      </w:r>
      <w:r>
        <w:t xml:space="preserve"> </w:t>
      </w:r>
      <w:r>
        <w:t xml:space="preserve">function within the</w:t>
      </w:r>
      <w:r>
        <w:t xml:space="preserve"> </w:t>
      </w:r>
      <w:r>
        <w:t xml:space="preserve">‘</w:t>
      </w:r>
      <w:r>
        <w:t xml:space="preserve">rcdk</w:t>
      </w:r>
      <w:r>
        <w:t xml:space="preserve">’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hyperlink w:anchor="ref-2007j">
        <w:r>
          <w:rPr>
            <w:rStyle w:val="24"/>
            <w:vertAlign w:val="superscript"/>
          </w:rPr>
          <w:t xml:space="preserve">34</w:t>
        </w:r>
      </w:hyperlink>
      <w:r>
        <w:t xml:space="preserve">. The mass and abundance of isotopes were</w:t>
      </w:r>
      <w:r>
        <w:t xml:space="preserve"> </w:t>
      </w:r>
      <w:r>
        <w:t xml:space="preserve">considered for the adduct type to increase or decrease exact mass. The</w:t>
      </w:r>
      <w:r>
        <w:t xml:space="preserve"> </w:t>
      </w:r>
      <w:r>
        <w:t xml:space="preserve">‘</w:t>
      </w:r>
      <w:r>
        <w:t xml:space="preserve">isotope peaks</w:t>
      </w:r>
      <w:r>
        <w:t xml:space="preserve">’</w:t>
      </w:r>
      <w:r>
        <w:t xml:space="preserve"> </w:t>
      </w:r>
      <w:r>
        <w:t xml:space="preserve">were merged into the MS</w:t>
      </w:r>
      <w:r>
        <w:rPr>
          <w:vertAlign w:val="superscript"/>
        </w:rPr>
        <w:t xml:space="preserve">1</w:t>
      </w:r>
      <w:r>
        <w:t xml:space="preserve"> </w:t>
      </w:r>
      <w:r>
        <w:t xml:space="preserve">list of compounds, and all</w:t>
      </w:r>
      <w:r>
        <w:t xml:space="preserve"> </w:t>
      </w:r>
      <w:r>
        <w:t xml:space="preserve">spectra collections were formatted into mgf or csv file for the</w:t>
      </w:r>
      <w:r>
        <w:t xml:space="preserve"> </w:t>
      </w:r>
      <w:r>
        <w:t xml:space="preserve">continuing MCnebula and benchmark analysis.</w:t>
      </w:r>
    </w:p>
    <w:p>
      <w:pPr>
        <w:pStyle w:val="3"/>
      </w:pPr>
      <w:r>
        <w:rPr>
          <w:bCs/>
          <w:b/>
        </w:rPr>
        <w:t xml:space="preserve">Evaluation method.</w:t>
      </w:r>
      <w:r>
        <w:t xml:space="preserve"> </w:t>
      </w:r>
      <w:r>
        <w:t xml:space="preserve">MCnebula and benchmark workflow was conducted for</w:t>
      </w:r>
      <w:r>
        <w:t xml:space="preserve"> </w:t>
      </w:r>
      <w:r>
        <w:t xml:space="preserve">all the three simulated datasets. SIRIUS 4 command-line interface (CLI)</w:t>
      </w:r>
      <w:r>
        <w:t xml:space="preserve"> </w:t>
      </w:r>
      <w:r>
        <w:t xml:space="preserve">(version 4.9.12) was applied for computation, and filtered out MS/MS</w:t>
      </w:r>
      <w:r>
        <w:t xml:space="preserve"> </w:t>
      </w:r>
      <w:r>
        <w:t xml:space="preserve">spectra with empty fragmentation peaks. In total 7524 out of 8782</w:t>
      </w:r>
      <w:r>
        <w:t xml:space="preserve"> </w:t>
      </w:r>
      <w:r>
        <w:t xml:space="preserve">compounds were left for evaluation. ClassyFire was used to assess the</w:t>
      </w:r>
      <w:r>
        <w:t xml:space="preserve"> </w:t>
      </w:r>
      <w:r>
        <w:t xml:space="preserve">classification accuracy</w:t>
      </w:r>
      <w:hyperlink w:anchor="ref-2016">
        <w:r>
          <w:rPr>
            <w:rStyle w:val="24"/>
            <w:vertAlign w:val="superscript"/>
          </w:rPr>
          <w:t xml:space="preserve">29</w:t>
        </w:r>
      </w:hyperlink>
      <w:r>
        <w:t xml:space="preserve">. After</w:t>
      </w:r>
      <w:r>
        <w:t xml:space="preserve"> </w:t>
      </w:r>
      <w:r>
        <w:rPr>
          <w:iCs/>
          <w:i/>
        </w:rPr>
        <w:t xml:space="preserve">in-silico</w:t>
      </w:r>
      <w:r>
        <w:t xml:space="preserve"> </w:t>
      </w:r>
      <w:r>
        <w:t xml:space="preserve">annotation,</w:t>
      </w:r>
      <w:r>
        <w:t xml:space="preserve"> </w:t>
      </w:r>
      <w:r>
        <w:t xml:space="preserve">we obtained structure annotation, International Chemical Identifier Key</w:t>
      </w:r>
      <w:r>
        <w:t xml:space="preserve"> </w:t>
      </w:r>
      <w:r>
        <w:t xml:space="preserve">(InChIKey), and other metadata of these compounds. Considering that</w:t>
      </w:r>
      <w:r>
        <w:t xml:space="preserve"> </w:t>
      </w:r>
      <w:r>
        <w:t xml:space="preserve">ClassyFire only supports chemical identities those structures have been</w:t>
      </w:r>
      <w:r>
        <w:t xml:space="preserve"> </w:t>
      </w:r>
      <w:r>
        <w:t xml:space="preserve">classified in its server previously, we used the first hash block of</w:t>
      </w:r>
      <w:r>
        <w:t xml:space="preserve"> </w:t>
      </w:r>
      <w:r>
        <w:t xml:space="preserve">InChIKeys (InChIKey planar, which represents the molecular skeleton) to</w:t>
      </w:r>
      <w:r>
        <w:t xml:space="preserve"> </w:t>
      </w:r>
      <w:r>
        <w:t xml:space="preserve">query the PubChem application programming interface (API)</w:t>
      </w:r>
      <w:r>
        <w:t xml:space="preserve"> </w:t>
      </w:r>
      <w:r>
        <w:t xml:space="preserve">(https://pubchemdocs.ncbi.nlm.nih.gov/pug-rest)</w:t>
      </w:r>
      <w:hyperlink w:anchor="ref-2022ak">
        <w:r>
          <w:rPr>
            <w:rStyle w:val="24"/>
            <w:vertAlign w:val="superscript"/>
          </w:rPr>
          <w:t xml:space="preserve">35</w:t>
        </w:r>
      </w:hyperlink>
      <w:r>
        <w:t xml:space="preserve">. This</w:t>
      </w:r>
      <w:r>
        <w:t xml:space="preserve"> </w:t>
      </w:r>
      <w:r>
        <w:t xml:space="preserve">provided us with all the possible InChIKeys of isomerism (stereo,</w:t>
      </w:r>
      <w:r>
        <w:t xml:space="preserve"> </w:t>
      </w:r>
      <w:r>
        <w:t xml:space="preserve">isotopic substitution)</w:t>
      </w:r>
      <w:hyperlink w:anchor="ref-2012e">
        <w:r>
          <w:rPr>
            <w:rStyle w:val="24"/>
            <w:vertAlign w:val="superscript"/>
          </w:rPr>
          <w:t xml:space="preserve">36</w:t>
        </w:r>
      </w:hyperlink>
      <w:r>
        <w:t xml:space="preserve">. Classification of small</w:t>
      </w:r>
      <w:r>
        <w:t xml:space="preserve"> </w:t>
      </w:r>
      <w:r>
        <w:t xml:space="preserve">molecules depends on their molecular skeleton, so chemical identities</w:t>
      </w:r>
      <w:r>
        <w:t xml:space="preserve"> </w:t>
      </w:r>
      <w:r>
        <w:t xml:space="preserve">that share the same InChIKey planar are identical in classification. The</w:t>
      </w:r>
      <w:r>
        <w:t xml:space="preserve"> </w:t>
      </w:r>
      <w:r>
        <w:t xml:space="preserve">InChIKey list was imported into ClassyFire to obtain chemical</w:t>
      </w:r>
      <w:r>
        <w:t xml:space="preserve"> </w:t>
      </w:r>
      <w:r>
        <w:t xml:space="preserve">classification. In our R script, once any InChIKey of isomerism matched</w:t>
      </w:r>
      <w:r>
        <w:t xml:space="preserve"> </w:t>
      </w:r>
      <w:r>
        <w:t xml:space="preserve">the classified data in the database, we turned off the acquisition</w:t>
      </w:r>
      <w:r>
        <w:t xml:space="preserve"> </w:t>
      </w:r>
      <w:r>
        <w:t xml:space="preserve">status for this molecular skeleton. In the end, we collated, integrated,</w:t>
      </w:r>
      <w:r>
        <w:t xml:space="preserve"> </w:t>
      </w:r>
      <w:r>
        <w:t xml:space="preserve">and assigned all these chemical annotations as standard reference.</w:t>
      </w:r>
    </w:p>
    <w:p>
      <w:pPr>
        <w:pStyle w:val="3"/>
      </w:pPr>
      <w:r>
        <w:t xml:space="preserve">Due to differences in algorithms and classified results, we evaluated</w:t>
      </w:r>
      <w:r>
        <w:t xml:space="preserve"> </w:t>
      </w:r>
      <w:r>
        <w:t xml:space="preserve">the MCnebula and benchmark methods separately. Since sub-structural</w:t>
      </w:r>
      <w:r>
        <w:t xml:space="preserve"> </w:t>
      </w:r>
      <w:r>
        <w:t xml:space="preserve">classification was not available for the benchmark method, we excluded</w:t>
      </w:r>
      <w:r>
        <w:t xml:space="preserve"> </w:t>
      </w:r>
      <w:r>
        <w:t xml:space="preserve">these classes during the evaluation analysis. Nevertheless, some</w:t>
      </w:r>
      <w:r>
        <w:t xml:space="preserve"> </w:t>
      </w:r>
      <w:r>
        <w:t xml:space="preserve">compounds within the remaining classes may still be classified into</w:t>
      </w:r>
      <w:r>
        <w:t xml:space="preserve"> </w:t>
      </w:r>
      <w:r>
        <w:t xml:space="preserve">sub-structural classes. We assigned three levels for evaluation:</w:t>
      </w:r>
      <w:r>
        <w:t xml:space="preserve"> </w:t>
      </w:r>
      <w:r>
        <w:t xml:space="preserve">‘</w:t>
      </w:r>
      <w:r>
        <w:t xml:space="preserve">True,</w:t>
      </w:r>
      <w:r>
        <w:t xml:space="preserve">’</w:t>
      </w:r>
      <w:r>
        <w:t xml:space="preserve"> </w:t>
      </w:r>
      <w:r>
        <w:t xml:space="preserve">‘</w:t>
      </w:r>
      <w:r>
        <w:t xml:space="preserve">Latent,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False.</w:t>
      </w:r>
      <w:r>
        <w:t xml:space="preserve">’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indicated that the classified classes were</w:t>
      </w:r>
      <w:r>
        <w:t xml:space="preserve"> </w:t>
      </w:r>
      <w:r>
        <w:t xml:space="preserve">consistent with those of ClassyFire.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 </w:t>
      </w:r>
      <w:r>
        <w:t xml:space="preserve">indicated that the</w:t>
      </w:r>
      <w:r>
        <w:t xml:space="preserve"> </w:t>
      </w:r>
      <w:r>
        <w:t xml:space="preserve">classified classes were not consistent with ClassyFire, but their parent</w:t>
      </w:r>
      <w:r>
        <w:t xml:space="preserve"> </w:t>
      </w:r>
      <w:r>
        <w:t xml:space="preserve">classes at the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level were consistent.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 </w:t>
      </w:r>
      <w:r>
        <w:t xml:space="preserve">indicated that the</w:t>
      </w:r>
      <w:r>
        <w:t xml:space="preserve"> </w:t>
      </w:r>
      <w:r>
        <w:t xml:space="preserve">classified classes were completely inconsistent with ClassyFire. Then,</w:t>
      </w:r>
      <w:r>
        <w:t xml:space="preserve"> </w:t>
      </w:r>
      <w:r>
        <w:t xml:space="preserve">the true positive (TP) was assigned as: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; the false</w:t>
      </w:r>
      <w:r>
        <w:t xml:space="preserve"> </w:t>
      </w:r>
      <w:r>
        <w:t xml:space="preserve">positive (FP) was assigned as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.</w:t>
      </w:r>
    </w:p>
    <w:p>
      <w:pPr>
        <w:pStyle w:val="3"/>
      </w:pPr>
      <w:r>
        <w:t xml:space="preserve">To evaluate the identification of classes or structures, we merged the</w:t>
      </w:r>
      <w:r>
        <w:t xml:space="preserve"> </w:t>
      </w:r>
      <w:r>
        <w:t xml:space="preserve">results with a standard reference by InChIKey planar. For the evaluation</w:t>
      </w:r>
      <w:r>
        <w:t xml:space="preserve"> </w:t>
      </w:r>
      <w:r>
        <w:t xml:space="preserve">of chemical structure identification, we considered a structure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if it matched the chemical structure identified by InChIKey</w:t>
      </w:r>
      <w:r>
        <w:t xml:space="preserve"> </w:t>
      </w:r>
      <w:r>
        <w:t xml:space="preserve">planar. However, this evaluation neglected stereochemistry due to the</w:t>
      </w:r>
      <w:r>
        <w:t xml:space="preserve"> </w:t>
      </w:r>
      <w:r>
        <w:t xml:space="preserve">limit of LC-MS/MS detection.</w:t>
      </w:r>
    </w:p>
    <w:bookmarkEnd w:id="25"/>
    <w:bookmarkEnd w:id="26"/>
    <w:bookmarkStart w:id="31" w:name="results-and-discussion"/>
    <w:p>
      <w:pPr>
        <w:pStyle w:val="4"/>
      </w:pPr>
      <w:r>
        <w:t xml:space="preserve">Results and discussion</w:t>
      </w:r>
    </w:p>
    <w:bookmarkStart w:id="30" w:name="results"/>
    <w:p>
      <w:pPr>
        <w:pStyle w:val="5"/>
      </w:pPr>
      <w:r>
        <w:t xml:space="preserve">Results</w:t>
      </w:r>
    </w:p>
    <w:bookmarkStart w:id="27" w:name="overview"/>
    <w:p>
      <w:pPr>
        <w:pStyle w:val="6"/>
      </w:pPr>
      <w:r>
        <w:t xml:space="preserve">Overview</w:t>
      </w:r>
    </w:p>
    <w:p>
      <w:pPr>
        <w:pStyle w:val="38"/>
      </w:pPr>
      <w:r>
        <w:t xml:space="preserve">The MCnebula workflow was dedicated to analyzing LC-MS/MS datasets from</w:t>
      </w:r>
      <w:r>
        <w:t xml:space="preserve"> </w:t>
      </w:r>
      <w:r>
        <w:t xml:space="preserve">the beginning, i.e. starting from the raw data obtained from the sample</w:t>
      </w:r>
      <w:r>
        <w:t xml:space="preserve"> </w:t>
      </w:r>
      <w:r>
        <w:t xml:space="preserve">and going through the various stages of analysis to obtain a complete</w:t>
      </w:r>
      <w:r>
        <w:t xml:space="preserve"> </w:t>
      </w:r>
      <w:r>
        <w:t xml:space="preserve">analysis report (Fig. 1). The mass dataset is finally presented as</w:t>
      </w:r>
      <w:r>
        <w:t xml:space="preserve"> </w:t>
      </w:r>
      <w:r>
        <w:t xml:space="preserve">Parent-Nebula and Child-Nebula: Parent-Nebula is a simple network</w:t>
      </w:r>
      <w:r>
        <w:t xml:space="preserve"> </w:t>
      </w:r>
      <w:r>
        <w:t xml:space="preserve">visualization of a mixture of all the features, which contains too much</w:t>
      </w:r>
      <w:r>
        <w:t xml:space="preserve"> </w:t>
      </w:r>
      <w:r>
        <w:t xml:space="preserve">information for the user to extract useful information intuitively;</w:t>
      </w:r>
      <w:r>
        <w:t xml:space="preserve"> </w:t>
      </w:r>
      <w:r>
        <w:t xml:space="preserve">Child-Nebulae were multiple network visualization for LC-MS/MS data</w:t>
      </w:r>
      <w:r>
        <w:t xml:space="preserve"> </w:t>
      </w:r>
      <w:r>
        <w:t xml:space="preserve">analysis highlighted the advantages of the ABC selection algorithm for</w:t>
      </w:r>
      <w:r>
        <w:t xml:space="preserve"> </w:t>
      </w:r>
      <w:r>
        <w:t xml:space="preserve">fast filtering and selection of chemical classes. We evaluated workflow</w:t>
      </w:r>
      <w:r>
        <w:t xml:space="preserve"> </w:t>
      </w:r>
      <w:r>
        <w:t xml:space="preserve">of MCnebula in function with other popular public available methods. In</w:t>
      </w:r>
      <w:r>
        <w:t xml:space="preserve"> </w:t>
      </w:r>
      <w:r>
        <w:t xml:space="preserve">terms of the evaluation of our chosen indicators which cover</w:t>
      </w:r>
      <w:r>
        <w:t xml:space="preserve"> </w:t>
      </w:r>
      <w:r>
        <w:t xml:space="preserve">identification, classifying, etc., MCnebula has a wider scope of</w:t>
      </w:r>
      <w:r>
        <w:t xml:space="preserve"> </w:t>
      </w:r>
      <w:r>
        <w:t xml:space="preserve">applicability. (Tab. S1)</w:t>
      </w:r>
    </w:p>
    <w:bookmarkEnd w:id="27"/>
    <w:bookmarkStart w:id="28" w:name="method-evaluation"/>
    <w:p>
      <w:pPr>
        <w:pStyle w:val="6"/>
      </w:pPr>
      <w:r>
        <w:t xml:space="preserve">Method evaluation</w:t>
      </w:r>
    </w:p>
    <w:p>
      <w:pPr>
        <w:pStyle w:val="38"/>
      </w:pPr>
      <w:r>
        <w:rPr>
          <w:bCs/>
          <w:b/>
        </w:rPr>
        <w:t xml:space="preserve">Classified accuracy.</w:t>
      </w:r>
      <w:r>
        <w:t xml:space="preserve"> </w:t>
      </w:r>
      <w:r>
        <w:t xml:space="preserve">We used a public available reference spectral</w:t>
      </w:r>
      <w:r>
        <w:t xml:space="preserve"> </w:t>
      </w:r>
      <w:r>
        <w:t xml:space="preserve">library to assess the accuracy of classifying by MCnebula. The direct</w:t>
      </w:r>
      <w:r>
        <w:t xml:space="preserve"> </w:t>
      </w:r>
      <w:r>
        <w:t xml:space="preserve">use of such a reference spectral library may lead to over-fitting during</w:t>
      </w:r>
      <w:r>
        <w:t xml:space="preserve"> </w:t>
      </w:r>
      <w:r>
        <w:t xml:space="preserve">the evaluation. We have taken the approach of simulating noise to</w:t>
      </w:r>
      <w:r>
        <w:t xml:space="preserve"> </w:t>
      </w:r>
      <w:r>
        <w:t xml:space="preserve">eliminate this consequence. Simulating noise, i.e., adding invalid noisy</w:t>
      </w:r>
      <w:r>
        <w:t xml:space="preserve"> </w:t>
      </w:r>
      <w:r>
        <w:t xml:space="preserve">data to the reference spectrum or numerically shifting the existing</w:t>
      </w:r>
      <w:r>
        <w:t xml:space="preserve"> </w:t>
      </w:r>
      <w:r>
        <w:t xml:space="preserve">data, also simulates data acquisition similar to a real scenario: due to</w:t>
      </w:r>
      <w:r>
        <w:t xml:space="preserve"> </w:t>
      </w:r>
      <w:r>
        <w:t xml:space="preserve">the different acquisition conditions, the spectral data in the real case</w:t>
      </w:r>
      <w:r>
        <w:t xml:space="preserve"> </w:t>
      </w:r>
      <w:r>
        <w:t xml:space="preserve">will be more noisy compared to the reference spectrum. By adding noise</w:t>
      </w:r>
      <w:r>
        <w:t xml:space="preserve"> </w:t>
      </w:r>
      <w:r>
        <w:t xml:space="preserve">to the reference spectral library, we now have three datasets for</w:t>
      </w:r>
      <w:r>
        <w:t xml:space="preserve"> </w:t>
      </w:r>
      <w:r>
        <w:t xml:space="preserve">evaluation (origin, medium noise and high noise dataset) (commonly 7524</w:t>
      </w:r>
      <w:r>
        <w:t xml:space="preserve"> </w:t>
      </w:r>
      <w:r>
        <w:t xml:space="preserve">compounds (spectra)). All three datasets were analyzed using MCnebula.</w:t>
      </w:r>
      <w:r>
        <w:t xml:space="preserve"> </w:t>
      </w:r>
      <w:r>
        <w:t xml:space="preserve">Due to the richness of the compounds in the reference spectra, for the</w:t>
      </w:r>
      <w:r>
        <w:t xml:space="preserve"> </w:t>
      </w:r>
      <w:r>
        <w:t xml:space="preserve">origin dataset, we obtained a total of 152 chemical classes (each with a</w:t>
      </w:r>
      <w:r>
        <w:t xml:space="preserve"> </w:t>
      </w:r>
      <w:r>
        <w:t xml:space="preserve">corresponding compound to be evaluated) via using ABC selection</w:t>
      </w:r>
      <w:r>
        <w:t xml:space="preserve"> </w:t>
      </w:r>
      <w:r>
        <w:t xml:space="preserve">algorithm. These 152 chemical classes include both chemical classes</w:t>
      </w:r>
      <w:r>
        <w:t xml:space="preserve"> </w:t>
      </w:r>
      <w:r>
        <w:t xml:space="preserve">refined on the basis of dominant structures and chemical classes refined</w:t>
      </w:r>
      <w:r>
        <w:t xml:space="preserve"> </w:t>
      </w:r>
      <w:r>
        <w:t xml:space="preserve">on the basis of substructures. To facilitate comparison with other</w:t>
      </w:r>
      <w:r>
        <w:t xml:space="preserve"> </w:t>
      </w:r>
      <w:r>
        <w:t xml:space="preserve">methods, we selected only chemical classes that are likely to be</w:t>
      </w:r>
      <w:r>
        <w:t xml:space="preserve"> </w:t>
      </w:r>
      <w:r>
        <w:t xml:space="preserve">dominant structures for evaluation. There were 37 such chemical classes</w:t>
      </w:r>
      <w:r>
        <w:t xml:space="preserve"> </w:t>
      </w:r>
      <w:r>
        <w:t xml:space="preserve">that were selected for evaluation. To evaluate MCnebula more</w:t>
      </w:r>
      <w:r>
        <w:t xml:space="preserve"> </w:t>
      </w:r>
      <w:r>
        <w:t xml:space="preserve">objectively, we chose the molecular networking provided by GNPS (Global</w:t>
      </w:r>
      <w:r>
        <w:t xml:space="preserve"> </w:t>
      </w:r>
      <w:r>
        <w:t xml:space="preserve">Natural Products Social Molecular Networking), with the modules of</w:t>
      </w:r>
      <w:r>
        <w:t xml:space="preserve"> </w:t>
      </w:r>
      <w:r>
        <w:t xml:space="preserve">Feature-based molecular networking (FBMN) and MolNetEnhancer, as the</w:t>
      </w:r>
      <w:r>
        <w:t xml:space="preserve"> </w:t>
      </w:r>
      <w:r>
        <w:t xml:space="preserve">benchmark method to provide a visualized clustering analysis of mass</w:t>
      </w:r>
      <w:r>
        <w:t xml:space="preserve"> </w:t>
      </w:r>
      <w:r>
        <w:t xml:space="preserve">spectra data. GNPS is a typical and popular spectral library-based mass</w:t>
      </w:r>
      <w:r>
        <w:t xml:space="preserve"> </w:t>
      </w:r>
      <w:r>
        <w:t xml:space="preserve">spectrometry annotation method. In principle, it first calculates</w:t>
      </w:r>
      <w:r>
        <w:t xml:space="preserve"> </w:t>
      </w:r>
      <w:r>
        <w:t xml:space="preserve">spectral similarity by conducting mirror match with public spectral</w:t>
      </w:r>
      <w:r>
        <w:t xml:space="preserve"> </w:t>
      </w:r>
      <w:r>
        <w:t xml:space="preserve">library, identifies compounds with the exact chemical structures, and</w:t>
      </w:r>
      <w:r>
        <w:t xml:space="preserve"> </w:t>
      </w:r>
      <w:r>
        <w:t xml:space="preserve">then determines the chemical class based on the annotated chemical</w:t>
      </w:r>
      <w:r>
        <w:t xml:space="preserve"> </w:t>
      </w:r>
      <w:r>
        <w:t xml:space="preserve">structure.</w:t>
      </w:r>
    </w:p>
    <w:p>
      <w:pPr>
        <w:pStyle w:val="3"/>
      </w:pPr>
      <w:r>
        <w:t xml:space="preserve">We uploaded the three datasets to the GNPS server and then obtained the</w:t>
      </w:r>
      <w:r>
        <w:t xml:space="preserve"> </w:t>
      </w:r>
      <w:r>
        <w:t xml:space="preserve">results and used them for evaluation. For origin dataset, GNPS resulted</w:t>
      </w:r>
      <w:r>
        <w:t xml:space="preserve"> </w:t>
      </w:r>
      <w:r>
        <w:t xml:space="preserve">in a total of 44 chemical classes (parallel to MCnebula, with at least</w:t>
      </w:r>
      <w:r>
        <w:t xml:space="preserve"> </w:t>
      </w:r>
      <w:r>
        <w:t xml:space="preserve">50 compounds per chemical class). There were 19 common classes in total.</w:t>
      </w:r>
      <w:r>
        <w:t xml:space="preserve"> </w:t>
      </w:r>
      <w:r>
        <w:t xml:space="preserve">These classes were selected to compare MCnebula and GNPS in parallel in</w:t>
      </w:r>
      <w:r>
        <w:t xml:space="preserve"> </w:t>
      </w:r>
      <w:r>
        <w:t xml:space="preserve">terms of classified number, stability, precision and recall. For the</w:t>
      </w:r>
      <w:r>
        <w:t xml:space="preserve"> </w:t>
      </w:r>
      <w:r>
        <w:t xml:space="preserve">classified number (TP + FP), MCnebula outperformed GNPS in three</w:t>
      </w:r>
      <w:r>
        <w:t xml:space="preserve"> </w:t>
      </w:r>
      <w:r>
        <w:t xml:space="preserve">datasets (MCnebula: 199, 178, 160; GNPS: 162, 95, 81) (Fig. 2a). For the</w:t>
      </w:r>
      <w:r>
        <w:t xml:space="preserve"> </w:t>
      </w:r>
      <w:r>
        <w:t xml:space="preserve">stability of the classifying after adding noise, MCnebula outperformed</w:t>
      </w:r>
      <w:r>
        <w:t xml:space="preserve"> </w:t>
      </w:r>
      <w:r>
        <w:t xml:space="preserve">GNPS in two dataset (MCnebula: 89.5%, 81.2%; GNPS: 59.3%, 49.9%) (Fig.</w:t>
      </w:r>
      <w:r>
        <w:t xml:space="preserve"> </w:t>
      </w:r>
      <w:r>
        <w:t xml:space="preserve">2a). For the indicators of precision, to assess the performance of</w:t>
      </w:r>
      <w:r>
        <w:t xml:space="preserve"> </w:t>
      </w:r>
      <w:r>
        <w:t xml:space="preserve">classifying, it combined the level of the stability to calculate the</w:t>
      </w:r>
      <w:r>
        <w:t xml:space="preserve"> </w:t>
      </w:r>
      <w:r>
        <w:t xml:space="preserve">relative false rate, rather than the absolute false rate, then it was</w:t>
      </w:r>
      <w:r>
        <w:t xml:space="preserve"> </w:t>
      </w:r>
      <w:r>
        <w:t xml:space="preserve">used to estimate precision. The relative false rate better simulated the</w:t>
      </w:r>
      <w:r>
        <w:t xml:space="preserve"> </w:t>
      </w:r>
      <w:r>
        <w:t xml:space="preserve">actual application to LC-MS/MS analysis, since the actual spectral data</w:t>
      </w:r>
      <w:r>
        <w:t xml:space="preserve"> </w:t>
      </w:r>
      <w:r>
        <w:t xml:space="preserve">contains not only noise but also many unknown compounds that cannot be</w:t>
      </w:r>
      <w:r>
        <w:t xml:space="preserve"> </w:t>
      </w:r>
      <w:r>
        <w:t xml:space="preserve">identified by spectral matching. In this context, MCnebula outperformed</w:t>
      </w:r>
      <w:r>
        <w:t xml:space="preserve"> </w:t>
      </w:r>
      <w:r>
        <w:t xml:space="preserve">the GNPS in the evaluation of the precision in three datasets (MCnebula:</w:t>
      </w:r>
      <w:r>
        <w:t xml:space="preserve"> </w:t>
      </w:r>
      <w:r>
        <w:t xml:space="preserve">69.8%, 67.1%, 67.4%; GNPS: 48.1%, 51.2%, 52.4%) (Fig. 2a). The recall</w:t>
      </w:r>
      <w:r>
        <w:t xml:space="preserve"> </w:t>
      </w:r>
      <w:r>
        <w:t xml:space="preserve">was estimated using relative false rate as well. As shown in Fig. 2a,</w:t>
      </w:r>
      <w:r>
        <w:t xml:space="preserve"> </w:t>
      </w:r>
      <w:r>
        <w:t xml:space="preserve">MCnebula (82.2%, 81.6%, 81.6%) outperformed than GNPS (51.2%, 52.7%,</w:t>
      </w:r>
      <w:r>
        <w:t xml:space="preserve"> </w:t>
      </w:r>
      <w:r>
        <w:t xml:space="preserve">53.3%). In addition to the three indicators mentioned above, we also</w:t>
      </w:r>
      <w:r>
        <w:t xml:space="preserve"> </w:t>
      </w:r>
      <w:r>
        <w:t xml:space="preserve">compared MCnebula and GNPS at the individual level for the 19 chemical</w:t>
      </w:r>
      <w:r>
        <w:t xml:space="preserve"> </w:t>
      </w:r>
      <w:r>
        <w:t xml:space="preserve">classes (Fig. 2b). Remarkably, MCnebula was more stable to noise than</w:t>
      </w:r>
      <w:r>
        <w:t xml:space="preserve"> </w:t>
      </w:r>
      <w:r>
        <w:t xml:space="preserve">GNPS.</w:t>
      </w:r>
    </w:p>
    <w:p>
      <w:pPr>
        <w:pStyle w:val="3"/>
      </w:pPr>
      <w:r>
        <w:t xml:space="preserve">Considering the limit of reference spectral library, The classifying</w:t>
      </w:r>
      <w:r>
        <w:t xml:space="preserve"> </w:t>
      </w:r>
      <w:r>
        <w:t xml:space="preserve">technique like CANOPUS</w:t>
      </w:r>
      <w:hyperlink w:anchor="ref-duhrkop_systematic_2021">
        <w:r>
          <w:rPr>
            <w:rStyle w:val="24"/>
            <w:vertAlign w:val="superscript"/>
          </w:rPr>
          <w:t xml:space="preserve">28</w:t>
        </w:r>
      </w:hyperlink>
      <w:r>
        <w:t xml:space="preserve">incorporated</w:t>
      </w:r>
      <w:r>
        <w:t xml:space="preserve"> </w:t>
      </w:r>
      <w:r>
        <w:t xml:space="preserve">in MCnebula bypassed the first step of identifying the chemical</w:t>
      </w:r>
      <w:r>
        <w:t xml:space="preserve"> </w:t>
      </w:r>
      <w:r>
        <w:t xml:space="preserve">structure but predicted the possible chemical class even if the exact</w:t>
      </w:r>
      <w:r>
        <w:t xml:space="preserve"> </w:t>
      </w:r>
      <w:r>
        <w:t xml:space="preserve">chemical structure was not known. MCnebula combined this cutting-edge</w:t>
      </w:r>
      <w:r>
        <w:t xml:space="preserve"> </w:t>
      </w:r>
      <w:r>
        <w:t xml:space="preserve">technology with ABC selection algorithm and achieve visualization of</w:t>
      </w:r>
      <w:r>
        <w:t xml:space="preserve"> </w:t>
      </w:r>
      <w:r>
        <w:t xml:space="preserve">Child-Nebulae, which make it possible to explore unknown compounds that</w:t>
      </w:r>
      <w:r>
        <w:t xml:space="preserve"> </w:t>
      </w:r>
      <w:r>
        <w:t xml:space="preserve">beyond spectral library. When different levels of noise were added (close to</w:t>
      </w:r>
      <w:r>
        <w:t xml:space="preserve"> </w:t>
      </w:r>
      <w:r>
        <w:t xml:space="preserve">actual acquired MS/MS spectra),</w:t>
      </w:r>
      <w:r>
        <w:t xml:space="preserve"> </w:t>
      </w:r>
      <w:r>
        <w:t xml:space="preserve">the number of classified compounds of GNPS decreased remarkably compared</w:t>
      </w:r>
      <w:r>
        <w:t xml:space="preserve"> </w:t>
      </w:r>
      <w:r>
        <w:t xml:space="preserve">with the stable performance of MCnebula. It means MCnebula can resist noise</w:t>
      </w:r>
      <w:r>
        <w:t xml:space="preserve"> </w:t>
      </w:r>
      <w:r>
        <w:t xml:space="preserve">interference in practice.</w:t>
      </w:r>
    </w:p>
    <w:p>
      <w:pPr>
        <w:pStyle w:val="3"/>
      </w:pPr>
      <w:r>
        <w:rPr>
          <w:bCs/>
          <w:b/>
        </w:rPr>
        <w:t xml:space="preserve">Identified accuracy.</w:t>
      </w:r>
      <w:r>
        <w:t xml:space="preserve"> </w:t>
      </w:r>
      <w:r>
        <w:t xml:space="preserve">Using MCnebula workflow, the origin dataset</w:t>
      </w:r>
      <w:r>
        <w:t xml:space="preserve"> </w:t>
      </w:r>
      <w:r>
        <w:t xml:space="preserve">containing 8057 compounds (precursor ions m/z &lt; 800), all of these</w:t>
      </w:r>
      <w:r>
        <w:t xml:space="preserve"> </w:t>
      </w:r>
      <w:r>
        <w:t xml:space="preserve">compounds were predicted with chemical molecular formulae, and of these,</w:t>
      </w:r>
      <w:r>
        <w:t xml:space="preserve"> </w:t>
      </w:r>
      <w:r>
        <w:t xml:space="preserve">6610 compounds were predicted with chemical structure. Those chemical</w:t>
      </w:r>
      <w:r>
        <w:t xml:space="preserve"> </w:t>
      </w:r>
      <w:r>
        <w:t xml:space="preserve">structure were evaluated for accuracy in a classified context. For the</w:t>
      </w:r>
      <w:r>
        <w:t xml:space="preserve"> </w:t>
      </w:r>
      <w:r>
        <w:t xml:space="preserve">37 chemical classes (Fig. 2c), the average false rate of identification</w:t>
      </w:r>
      <w:r>
        <w:t xml:space="preserve"> </w:t>
      </w:r>
      <w:r>
        <w:t xml:space="preserve">was 37%; the average identified compounds number was 156. Among them,</w:t>
      </w:r>
      <w:r>
        <w:t xml:space="preserve"> </w:t>
      </w:r>
      <w:r>
        <w:t xml:space="preserve">most of the identified false rate were between 30% to 40%, however, some</w:t>
      </w:r>
      <w:r>
        <w:t xml:space="preserve"> </w:t>
      </w:r>
      <w:r>
        <w:t xml:space="preserve">classes were quite low, such as</w:t>
      </w:r>
      <w:r>
        <w:t xml:space="preserve"> </w:t>
      </w:r>
      <w:r>
        <w:t xml:space="preserve">‘</w:t>
      </w:r>
      <w:r>
        <w:t xml:space="preserve">Long-chain fatty acids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Lignans,</w:t>
      </w:r>
      <w:r>
        <w:t xml:space="preserve"> </w:t>
      </w:r>
      <w:r>
        <w:t xml:space="preserve">neolignans and related compounds</w:t>
      </w:r>
      <w:r>
        <w:t xml:space="preserve">’</w:t>
      </w:r>
      <w:r>
        <w:t xml:space="preserve">. The reliability of the predicted</w:t>
      </w:r>
      <w:r>
        <w:t xml:space="preserve"> </w:t>
      </w:r>
      <w:r>
        <w:t xml:space="preserve">chemical structure can be assessed in terms of a score. Tanimoto</w:t>
      </w:r>
      <w:r>
        <w:t xml:space="preserve"> </w:t>
      </w:r>
      <w:r>
        <w:t xml:space="preserve">similarity provides such a score for each predicted chemical structure</w:t>
      </w:r>
      <w:r>
        <w:t xml:space="preserve"> </w:t>
      </w:r>
      <w:r>
        <w:t xml:space="preserve">(it provides the matching degree of chemical fingerprints with</w:t>
      </w:r>
      <w:r>
        <w:t xml:space="preserve"> </w:t>
      </w:r>
      <w:r>
        <w:t xml:space="preserve">structures). When Tanimoto similarity sets the cutoff value to 0.5, the</w:t>
      </w:r>
      <w:r>
        <w:t xml:space="preserve"> </w:t>
      </w:r>
      <w:r>
        <w:t xml:space="preserve">average false rate of identification was 29.4%; the average identified</w:t>
      </w:r>
      <w:r>
        <w:t xml:space="preserve"> </w:t>
      </w:r>
      <w:r>
        <w:t xml:space="preserve">compounds number was 139 (Fig. 2c). Above we evaluated the accuracy of</w:t>
      </w:r>
      <w:r>
        <w:t xml:space="preserve"> </w:t>
      </w:r>
      <w:r>
        <w:t xml:space="preserve">the identification of compounds in each chemical class obtained by</w:t>
      </w:r>
      <w:r>
        <w:t xml:space="preserve"> </w:t>
      </w:r>
      <w:r>
        <w:t xml:space="preserve">MCnebula. It should be noted that MCnebula itself does not contain any</w:t>
      </w:r>
      <w:r>
        <w:t xml:space="preserve"> </w:t>
      </w:r>
      <w:r>
        <w:t xml:space="preserve">module for identification, it only utilized the top scoring candidate</w:t>
      </w:r>
      <w:r>
        <w:t xml:space="preserve"> </w:t>
      </w:r>
      <w:r>
        <w:t xml:space="preserve">from the SIRIUS predicted results for annotation. For more evaluation on</w:t>
      </w:r>
      <w:r>
        <w:t xml:space="preserve"> </w:t>
      </w:r>
      <w:r>
        <w:t xml:space="preserve">identification please refer to the publication and our previous related</w:t>
      </w:r>
      <w:r>
        <w:t xml:space="preserve"> </w:t>
      </w:r>
      <w:r>
        <w:t xml:space="preserve">work</w:t>
      </w:r>
      <w:hyperlink w:anchor="ref-duhrkop_sirius_2019">
        <w:r>
          <w:rPr>
            <w:rStyle w:val="24"/>
            <w:vertAlign w:val="superscript"/>
          </w:rPr>
          <w:t xml:space="preserve">18</w:t>
        </w:r>
      </w:hyperlink>
      <w:r>
        <w:t xml:space="preserve">.</w:t>
      </w:r>
    </w:p>
    <w:bookmarkEnd w:id="28"/>
    <w:bookmarkStart w:id="29" w:name="data-analysis"/>
    <w:p>
      <w:pPr>
        <w:pStyle w:val="6"/>
      </w:pPr>
      <w:r>
        <w:t xml:space="preserve">Data analysis</w:t>
      </w:r>
    </w:p>
    <w:p>
      <w:pPr>
        <w:pStyle w:val="38"/>
      </w:pPr>
      <w:r>
        <w:rPr>
          <w:bCs/>
          <w:b/>
        </w:rPr>
        <w:t xml:space="preserve">Serum metabolic analysis.</w:t>
      </w:r>
      <w:r>
        <w:t xml:space="preserve"> </w:t>
      </w:r>
      <w:r>
        <w:t xml:space="preserve">To illustrate the application of MCnebula</w:t>
      </w:r>
      <w:r>
        <w:t xml:space="preserve"> </w:t>
      </w:r>
      <w:r>
        <w:t xml:space="preserve">in metabolism, we re-analyzed the serum data from Wozniak et</w:t>
      </w:r>
      <w:r>
        <w:t xml:space="preserve"> </w:t>
      </w:r>
      <w:r>
        <w:t xml:space="preserve">al.</w:t>
      </w:r>
      <w:hyperlink w:anchor="ref-2020s">
        <w:r>
          <w:rPr>
            <w:rStyle w:val="24"/>
            <w:vertAlign w:val="superscript"/>
          </w:rPr>
          <w:t xml:space="preserve">37</w:t>
        </w:r>
      </w:hyperlink>
      <w:r>
        <w:t xml:space="preserve">. The serum samples were collected from patients</w:t>
      </w:r>
      <w:r>
        <w:t xml:space="preserve"> </w:t>
      </w:r>
      <w:r>
        <w:t xml:space="preserve">in-hospital infected with Staphylococcus aureus bacteremia (SaB) or not</w:t>
      </w:r>
      <w:r>
        <w:t xml:space="preserve"> </w:t>
      </w:r>
      <w:r>
        <w:t xml:space="preserve">and healthy volunteers. Overall, the samples were divided into 1)</w:t>
      </w:r>
      <w:r>
        <w:t xml:space="preserve"> </w:t>
      </w:r>
      <w:r>
        <w:t xml:space="preserve">control groups, involving NN (non-hospital, non-infected) and HN</w:t>
      </w:r>
      <w:r>
        <w:t xml:space="preserve"> </w:t>
      </w:r>
      <w:r>
        <w:t xml:space="preserve">(hospital, non-infected); 2) infection groups, involving HS (hospital,</w:t>
      </w:r>
      <w:r>
        <w:t xml:space="preserve"> </w:t>
      </w:r>
      <w:r>
        <w:t xml:space="preserve">survival), HM (hospital, mortality).</w:t>
      </w:r>
    </w:p>
    <w:p>
      <w:pPr>
        <w:pStyle w:val="3"/>
      </w:pPr>
      <w:r>
        <w:t xml:space="preserve">A total of 7680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while running with LC-MS</w:t>
      </w:r>
      <w:r>
        <w:t xml:space="preserve"> </w:t>
      </w:r>
      <w:r>
        <w:t xml:space="preserve">preprocessing on the serum dataset. After predicting the compounds by</w:t>
      </w:r>
      <w:r>
        <w:t xml:space="preserve"> </w:t>
      </w:r>
      <w:r>
        <w:t xml:space="preserve">MS/MS spectra (with SIRIUS software), subsequent analysis was performed</w:t>
      </w:r>
      <w:r>
        <w:t xml:space="preserve"> </w:t>
      </w:r>
      <w:r>
        <w:t xml:space="preserve">using MCnebula. Of these, 6501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annotated with predicted</w:t>
      </w:r>
      <w:r>
        <w:t xml:space="preserve"> </w:t>
      </w:r>
      <w:r>
        <w:t xml:space="preserve">molecular formula and further, 3449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annotated with</w:t>
      </w:r>
      <w:r>
        <w:t xml:space="preserve"> </w:t>
      </w:r>
      <w:r>
        <w:t xml:space="preserve">predicted chemical structure. Using ABC selection algorithm, we filtered</w:t>
      </w:r>
      <w:r>
        <w:t xml:space="preserve"> </w:t>
      </w:r>
      <w:r>
        <w:t xml:space="preserve">out more than one thousand chemical classes by applied of</w:t>
      </w:r>
      <w:r>
        <w:t xml:space="preserve"> </w:t>
      </w:r>
      <w:r>
        <w:t xml:space="preserve">‘</w:t>
      </w:r>
      <w:r>
        <w:t xml:space="preserve">inner filter</w:t>
      </w:r>
      <w:r>
        <w:t xml:space="preserve">’</w:t>
      </w:r>
      <w:r>
        <w:t xml:space="preserve"> </w:t>
      </w:r>
      <w:r>
        <w:t xml:space="preserve">module (see method section of ABC selection algorithm); further filtered</w:t>
      </w:r>
      <w:r>
        <w:t xml:space="preserve"> </w:t>
      </w:r>
      <w:r>
        <w:t xml:space="preserve">out 508 chemical classes while performing</w:t>
      </w:r>
      <w:r>
        <w:t xml:space="preserve"> </w:t>
      </w:r>
      <w:r>
        <w:t xml:space="preserve">‘</w:t>
      </w:r>
      <w:r>
        <w:t xml:space="preserve">cross filter</w:t>
      </w:r>
      <w:r>
        <w:t xml:space="preserve">’</w:t>
      </w:r>
      <w:r>
        <w:t xml:space="preserve">; for the</w:t>
      </w:r>
      <w:r>
        <w:t xml:space="preserve"> </w:t>
      </w:r>
      <w:r>
        <w:t xml:space="preserve">remaining 41 chemical classes, 19 chemical classes were manually</w:t>
      </w:r>
      <w:r>
        <w:t xml:space="preserve"> </w:t>
      </w:r>
      <w:r>
        <w:t xml:space="preserve">filtered out, while leaving the final 22 chemical classes to make up the</w:t>
      </w:r>
      <w:r>
        <w:t xml:space="preserve"> </w:t>
      </w:r>
      <w:r>
        <w:t xml:space="preserve">Nebula-Index, which further visualized as Child-Nebulae. It is worth</w:t>
      </w:r>
      <w:r>
        <w:t xml:space="preserve"> </w:t>
      </w:r>
      <w:r>
        <w:t xml:space="preserve">mentioning that the filtered out 527 (508 + 19) chemical classes could</w:t>
      </w:r>
      <w:r>
        <w:t xml:space="preserve"> </w:t>
      </w:r>
      <w:r>
        <w:t xml:space="preserve">be re-added to the analysis. Herein, with the basic workflow of</w:t>
      </w:r>
      <w:r>
        <w:t xml:space="preserve"> </w:t>
      </w:r>
      <w:r>
        <w:t xml:space="preserve">MCnebula, Parent-Nebula and Child-Nebulae were obtained (Fig. S1, Fig.</w:t>
      </w:r>
      <w:r>
        <w:t xml:space="preserve"> </w:t>
      </w:r>
      <w:r>
        <w:t xml:space="preserve">S2). By interrogating Child-Nebulae, we had a basic insight into the</w:t>
      </w:r>
      <w:r>
        <w:t xml:space="preserve"> </w:t>
      </w:r>
      <w:r>
        <w:t xml:space="preserve">chemical classes contained in the serum dataset. To mine more</w:t>
      </w:r>
      <w:r>
        <w:t xml:space="preserve"> </w:t>
      </w:r>
      <w:r>
        <w:t xml:space="preserve">information from Child-Nebulae: we performed a</w:t>
      </w:r>
      <w:r>
        <w:t xml:space="preserve"> </w:t>
      </w:r>
      <w:r>
        <w:t xml:space="preserve">‘</w:t>
      </w:r>
      <w:r>
        <w:t xml:space="preserve">binary comparison</w:t>
      </w:r>
      <w:r>
        <w:t xml:space="preserve">’</w:t>
      </w:r>
      <w:r>
        <w:t xml:space="preserve"> </w:t>
      </w:r>
      <w:r>
        <w:t xml:space="preserve">of HS</w:t>
      </w:r>
      <w:r>
        <w:t xml:space="preserve"> </w:t>
      </w:r>
      <w:r>
        <w:t xml:space="preserve">and HM groups, ranking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according to Q-value (adjusted</w:t>
      </w:r>
      <w:r>
        <w:t xml:space="preserve"> </w:t>
      </w:r>
      <w:r>
        <w:t xml:space="preserve">P-value); the top 50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set as</w:t>
      </w:r>
      <w:r>
        <w:t xml:space="preserve"> </w:t>
      </w:r>
      <w:r>
        <w:t xml:space="preserve">‘</w:t>
      </w:r>
      <w:r>
        <w:t xml:space="preserve">tracers</w:t>
      </w:r>
      <w:r>
        <w:t xml:space="preserve">’</w:t>
      </w:r>
      <w:r>
        <w:t xml:space="preserve"> </w:t>
      </w:r>
      <w:r>
        <w:t xml:space="preserve">to mark them in</w:t>
      </w:r>
      <w:r>
        <w:t xml:space="preserve"> </w:t>
      </w:r>
      <w:r>
        <w:t xml:space="preserve">Child-Nebulae (Fig. 3). By combining the features selection algorithm</w:t>
      </w:r>
      <w:r>
        <w:t xml:space="preserve"> </w:t>
      </w:r>
      <w:r>
        <w:t xml:space="preserve">about Q-value, the chemical classes exhibited in Child-Nebulae were</w:t>
      </w:r>
      <w:r>
        <w:t xml:space="preserve"> </w:t>
      </w:r>
      <w:r>
        <w:t xml:space="preserve">reduced. The log</w:t>
      </w:r>
      <w:r>
        <w:rPr>
          <w:vertAlign w:val="subscript"/>
        </w:rPr>
        <w:t xml:space="preserve">2</w:t>
      </w:r>
      <w:r>
        <w:t xml:space="preserve">(Fold Change) (log</w:t>
      </w:r>
      <w:r>
        <w:rPr>
          <w:vertAlign w:val="subscript"/>
        </w:rPr>
        <w:t xml:space="preserve">2</w:t>
      </w:r>
      <w:r>
        <w:t xml:space="preserve">(FC)) quantification for the HM</w:t>
      </w:r>
      <w:r>
        <w:t xml:space="preserve"> </w:t>
      </w:r>
      <w:r>
        <w:t xml:space="preserve">versus HS groups was visualized in Child-Nebulae (Fig. S3). In Fig. S3,</w:t>
      </w:r>
      <w:r>
        <w:t xml:space="preserve"> </w:t>
      </w:r>
      <w:r>
        <w:t xml:space="preserve">the overall level of</w:t>
      </w:r>
      <w:r>
        <w:t xml:space="preserve"> </w:t>
      </w:r>
      <w:r>
        <w:t xml:space="preserve">‘</w:t>
      </w:r>
      <w:r>
        <w:t xml:space="preserve">Bile acids, alcohols and derivatives</w:t>
      </w:r>
      <w:r>
        <w:t xml:space="preserve">’</w:t>
      </w:r>
      <w:r>
        <w:t xml:space="preserve"> </w:t>
      </w:r>
      <w:r>
        <w:t xml:space="preserve">(BAs) class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(ACs) (Fig. 4a and b) class increased remarkably,</w:t>
      </w:r>
      <w:r>
        <w:t xml:space="preserve"> </w:t>
      </w:r>
      <w:r>
        <w:t xml:space="preserve">while the overall level of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 class</w:t>
      </w:r>
      <w:r>
        <w:t xml:space="preserve"> </w:t>
      </w:r>
      <w:r>
        <w:t xml:space="preserve">decreased remarkably. Indeed, BAs, ACs and LPCs were reported associated</w:t>
      </w:r>
      <w:r>
        <w:t xml:space="preserve"> </w:t>
      </w:r>
      <w:r>
        <w:t xml:space="preserve">with liver dysfunction, imbalance of intestinal microphylactic</w:t>
      </w:r>
      <w:r>
        <w:t xml:space="preserve"> </w:t>
      </w:r>
      <w:r>
        <w:t xml:space="preserve">homeostasis, and mortality risk</w:t>
      </w:r>
      <w:hyperlink w:anchor="ref-2020s">
        <w:r>
          <w:rPr>
            <w:rStyle w:val="24"/>
            <w:vertAlign w:val="superscript"/>
          </w:rPr>
          <w:t xml:space="preserve">37</w:t>
        </w:r>
      </w:hyperlink>
      <w:r>
        <w:rPr>
          <w:vertAlign w:val="superscript"/>
        </w:rPr>
        <w:t xml:space="preserve">–</w:t>
      </w:r>
      <w:hyperlink w:anchor="ref-2016at">
        <w:r>
          <w:rPr>
            <w:rStyle w:val="24"/>
            <w:vertAlign w:val="superscript"/>
          </w:rPr>
          <w:t xml:space="preserve">39</w:t>
        </w:r>
      </w:hyperlink>
      <w:r>
        <w:t xml:space="preserve">.</w:t>
      </w:r>
    </w:p>
    <w:p>
      <w:pPr>
        <w:pStyle w:val="3"/>
      </w:pPr>
      <w:r>
        <w:t xml:space="preserve">LPCs have been extensively investigated in the context of</w:t>
      </w:r>
      <w:r>
        <w:t xml:space="preserve"> </w:t>
      </w:r>
      <w:r>
        <w:t xml:space="preserve">inflammation and atherosclerosis development</w:t>
      </w:r>
      <w:hyperlink w:anchor="ref-2016at">
        <w:r>
          <w:rPr>
            <w:rStyle w:val="24"/>
            <w:vertAlign w:val="superscript"/>
          </w:rPr>
          <w:t xml:space="preserve">39</w:t>
        </w:r>
      </w:hyperlink>
      <w:r>
        <w:rPr>
          <w:vertAlign w:val="superscript"/>
        </w:rPr>
        <w:t xml:space="preserve">,</w:t>
      </w:r>
      <w:hyperlink w:anchor="ref-2020cv">
        <w:r>
          <w:rPr>
            <w:rStyle w:val="24"/>
            <w:vertAlign w:val="superscript"/>
          </w:rPr>
          <w:t xml:space="preserve">40</w:t>
        </w:r>
      </w:hyperlink>
      <w:r>
        <w:t xml:space="preserve">. In a recent</w:t>
      </w:r>
      <w:r>
        <w:t xml:space="preserve"> </w:t>
      </w:r>
      <w:r>
        <w:t xml:space="preserve">review</w:t>
      </w:r>
      <w:hyperlink w:anchor="ref-2020cv">
        <w:r>
          <w:rPr>
            <w:rStyle w:val="24"/>
            <w:vertAlign w:val="superscript"/>
          </w:rPr>
          <w:t xml:space="preserve">40</w:t>
        </w:r>
      </w:hyperlink>
      <w:r>
        <w:t xml:space="preserve">, the complex roles of LPCs in vascular inflammation were well</w:t>
      </w:r>
      <w:r>
        <w:t xml:space="preserve"> </w:t>
      </w:r>
      <w:r>
        <w:t xml:space="preserve">described, involving the context-dependent pro- or anti-inflammatory action,</w:t>
      </w:r>
      <w:r>
        <w:t xml:space="preserve"> </w:t>
      </w:r>
      <w:r>
        <w:t xml:space="preserve">impact in innate immune cells and adaptive immune system, etc. Decreasing level</w:t>
      </w:r>
      <w:r>
        <w:t xml:space="preserve"> </w:t>
      </w:r>
      <w:r>
        <w:t xml:space="preserve">of LPCs was associated with wild range of diseases of increasing mortality risk</w:t>
      </w:r>
      <w:hyperlink w:anchor="ref-2016at">
        <w:r>
          <w:rPr>
            <w:rStyle w:val="24"/>
            <w:vertAlign w:val="superscript"/>
          </w:rPr>
          <w:t xml:space="preserve">39</w:t>
        </w:r>
      </w:hyperlink>
      <w:r>
        <w:t xml:space="preserve">. The investigation of spesis indicated LPCs concentrations in blood</w:t>
      </w:r>
      <w:r>
        <w:t xml:space="preserve"> </w:t>
      </w:r>
      <w:r>
        <w:t xml:space="preserve">were established correlation with severe sepsis or septic shock</w:t>
      </w:r>
      <w:hyperlink w:anchor="ref-2014ao">
        <w:r>
          <w:rPr>
            <w:rStyle w:val="24"/>
            <w:vertAlign w:val="superscript"/>
          </w:rPr>
          <w:t xml:space="preserve">41</w:t>
        </w:r>
      </w:hyperlink>
      <w:r>
        <w:t xml:space="preserve">. LPCs</w:t>
      </w:r>
      <w:r>
        <w:t xml:space="preserve"> </w:t>
      </w:r>
      <w:r>
        <w:t xml:space="preserve">was reported inversely correlated with mortality in sepsis patients</w:t>
      </w:r>
      <w:hyperlink w:anchor="ref-2003n">
        <w:r>
          <w:rPr>
            <w:rStyle w:val="24"/>
            <w:vertAlign w:val="superscript"/>
          </w:rPr>
          <w:t xml:space="preserve">42</w:t>
        </w:r>
      </w:hyperlink>
      <w:r>
        <w:t xml:space="preserve">.</w:t>
      </w:r>
      <w:r>
        <w:t xml:space="preserve"> </w:t>
      </w:r>
      <w:r>
        <w:t xml:space="preserve">BAs’ disorder implied a liver dysfunction and imbalance of intestinal</w:t>
      </w:r>
      <w:r>
        <w:t xml:space="preserve"> </w:t>
      </w:r>
      <w:r>
        <w:t xml:space="preserve">microphylactic homeostasis</w:t>
      </w:r>
      <w:hyperlink w:anchor="ref-2021dg">
        <w:r>
          <w:rPr>
            <w:rStyle w:val="24"/>
            <w:vertAlign w:val="superscript"/>
          </w:rPr>
          <w:t xml:space="preserve">43</w:t>
        </w:r>
      </w:hyperlink>
      <w:r>
        <w:t xml:space="preserve">.</w:t>
      </w:r>
      <w:r>
        <w:t xml:space="preserve"> </w:t>
      </w:r>
      <w:r>
        <w:t xml:space="preserve">The chemical multiversity of BAs, which were discovered in the BAs’</w:t>
      </w:r>
      <w:r>
        <w:t xml:space="preserve"> </w:t>
      </w:r>
      <w:r>
        <w:t xml:space="preserve">child-nebula, were determined by the intestinal microbiome and allowed for a</w:t>
      </w:r>
      <w:r>
        <w:t xml:space="preserve"> </w:t>
      </w:r>
      <w:r>
        <w:t xml:space="preserve">complex regulation of adaptive responses in host. In our study, the level of</w:t>
      </w:r>
      <w:r>
        <w:t xml:space="preserve"> </w:t>
      </w:r>
      <w:r>
        <w:t xml:space="preserve">BAs showed higher correlation with SaB infection than ACs. The decreased level</w:t>
      </w:r>
      <w:r>
        <w:t xml:space="preserve"> </w:t>
      </w:r>
      <w:r>
        <w:t xml:space="preserve">of LPCs suggested a mortality risk of SaB infection.</w:t>
      </w:r>
    </w:p>
    <w:p>
      <w:pPr>
        <w:pStyle w:val="3"/>
      </w:pPr>
      <w:r>
        <w:t xml:space="preserve">By deep annotation of Child-Nebula, all three classes (BAs, ACs and LPCs) of</w:t>
      </w:r>
      <w:r>
        <w:t xml:space="preserve"> </w:t>
      </w:r>
      <w:r>
        <w:t xml:space="preserve">compounds have similar structural parent nuclei, and their levels in the NN,</w:t>
      </w:r>
      <w:r>
        <w:t xml:space="preserve"> </w:t>
      </w:r>
      <w:r>
        <w:t xml:space="preserve">HN, HS, and HM groups are similar (Fig. 4c, Fig. S4). Subsequently, we</w:t>
      </w:r>
      <w:r>
        <w:t xml:space="preserve"> </w:t>
      </w:r>
      <w:r>
        <w:t xml:space="preserve">performed cluster heat map analysis and pathway enrichment analysis on the</w:t>
      </w:r>
      <w:r>
        <w:t xml:space="preserve"> </w:t>
      </w:r>
      <w:r>
        <w:t xml:space="preserve">compounds of these three classes. As shown in the clustering heat map (Fig. 5),</w:t>
      </w:r>
      <w:r>
        <w:t xml:space="preserve"> </w:t>
      </w:r>
      <w:r>
        <w:t xml:space="preserve">the control group of ACs and BAs were remarkably separated from the infection</w:t>
      </w:r>
      <w:r>
        <w:t xml:space="preserve"> </w:t>
      </w:r>
      <w:r>
        <w:t xml:space="preserve">group, which implied the infection relevance of ACs and BAs to SaB. In</w:t>
      </w:r>
      <w:r>
        <w:t xml:space="preserve"> </w:t>
      </w:r>
      <w:r>
        <w:t xml:space="preserve">contrast, LPCs did not show remarkable SaB infection relevance or mortality</w:t>
      </w:r>
      <w:r>
        <w:t xml:space="preserve"> </w:t>
      </w:r>
      <w:r>
        <w:t xml:space="preserve">relevance, probably owing to the general consistency of this class of compounds</w:t>
      </w:r>
      <w:r>
        <w:t xml:space="preserve"> </w:t>
      </w:r>
      <w:r>
        <w:t xml:space="preserve">for SaB disease.</w:t>
      </w:r>
    </w:p>
    <w:p>
      <w:pPr>
        <w:pStyle w:val="3"/>
      </w:pPr>
      <w:r>
        <w:t xml:space="preserve">We performed</w:t>
      </w:r>
      <w:r>
        <w:t xml:space="preserve"> </w:t>
      </w:r>
      <w:r>
        <w:t xml:space="preserve">pathway enrichment analysis for these three classes of significant</w:t>
      </w:r>
      <w:r>
        <w:t xml:space="preserve"> </w:t>
      </w:r>
      <w:r>
        <w:t xml:space="preserve">compounds (HS versus HM group, Q-value &lt; 0.05). The results of BAs</w:t>
      </w:r>
      <w:r>
        <w:t xml:space="preserve"> </w:t>
      </w:r>
      <w:r>
        <w:t xml:space="preserve">showed that four compounds exhibited metabolic pathways associated with</w:t>
      </w:r>
      <w:r>
        <w:t xml:space="preserve"> </w:t>
      </w:r>
      <w:r>
        <w:t xml:space="preserve">‘</w:t>
      </w:r>
      <w:r>
        <w:t xml:space="preserve">Bile secretion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Cholesterol metabolism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Primary bile acid</w:t>
      </w:r>
      <w:r>
        <w:t xml:space="preserve"> </w:t>
      </w:r>
      <w:r>
        <w:t xml:space="preserve">biosynthesis</w:t>
      </w:r>
      <w:r>
        <w:t xml:space="preserve">’</w:t>
      </w:r>
      <w:r>
        <w:t xml:space="preserve"> </w:t>
      </w:r>
      <w:r>
        <w:t xml:space="preserve">etc (Fig. S5b). Among them,</w:t>
      </w:r>
      <w:r>
        <w:t xml:space="preserve"> </w:t>
      </w:r>
      <m:oMath>
        <m:r>
          <m:t>b</m:t>
        </m:r>
        <m:r>
          <m:t>e</m:t>
        </m:r>
        <m:r>
          <m:t>t</m:t>
        </m:r>
        <m:r>
          <m:t>a</m:t>
        </m:r>
      </m:oMath>
      <w:r>
        <w:t xml:space="preserve">GCS was a class of</w:t>
      </w:r>
      <w:r>
        <w:t xml:space="preserve"> </w:t>
      </w:r>
      <w:r>
        <w:t xml:space="preserve">compounds with the same parent nucleus. The results for LPCs suggested</w:t>
      </w:r>
      <w:r>
        <w:t xml:space="preserve"> </w:t>
      </w:r>
      <w:r>
        <w:t xml:space="preserve">that compounds with similar parent nucleus structure of LPCs implied</w:t>
      </w:r>
      <w:r>
        <w:t xml:space="preserve"> </w:t>
      </w:r>
      <w:r>
        <w:t xml:space="preserve">association with a series of downstream pathways (Fig. S5c). The</w:t>
      </w:r>
      <w:r>
        <w:t xml:space="preserve"> </w:t>
      </w:r>
      <w:r>
        <w:t xml:space="preserve">significant compounds of ACs were not enriched in the pathway. But, A</w:t>
      </w:r>
      <w:r>
        <w:t xml:space="preserve"> </w:t>
      </w:r>
      <w:r>
        <w:t xml:space="preserve">fundamental role of ACs in tuning the switch between the glucose and</w:t>
      </w:r>
      <w:r>
        <w:t xml:space="preserve"> </w:t>
      </w:r>
      <w:r>
        <w:t xml:space="preserve">fatty acid metabolism was reviewed</w:t>
      </w:r>
      <w:hyperlink w:anchor="ref-2018bi">
        <w:r>
          <w:rPr>
            <w:rStyle w:val="24"/>
            <w:vertAlign w:val="superscript"/>
          </w:rPr>
          <w:t xml:space="preserve">44</w:t>
        </w:r>
      </w:hyperlink>
      <w:r>
        <w:t xml:space="preserve">. Their function</w:t>
      </w:r>
      <w:r>
        <w:t xml:space="preserve"> </w:t>
      </w:r>
      <w:r>
        <w:t xml:space="preserve">implemented via bi-directional transport of acyl moieties Between</w:t>
      </w:r>
      <w:r>
        <w:t xml:space="preserve"> </w:t>
      </w:r>
      <w:r>
        <w:t xml:space="preserve">cytosol and mitochondria (Fig. S5a).</w:t>
      </w:r>
    </w:p>
    <w:p>
      <w:pPr>
        <w:pStyle w:val="3"/>
      </w:pPr>
      <w:r>
        <w:t xml:space="preserve">Taken togather, from LPCs to BAs, steroids related classes,</w:t>
      </w:r>
      <w:r>
        <w:t xml:space="preserve"> </w:t>
      </w:r>
      <w:r>
        <w:t xml:space="preserve">‘</w:t>
      </w:r>
      <w:r>
        <w:t xml:space="preserve">Lineolic acids and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, and other fatty acids related classes, showed that liver played a</w:t>
      </w:r>
      <w:r>
        <w:t xml:space="preserve"> </w:t>
      </w:r>
      <w:r>
        <w:t xml:space="preserve">central role in SaB infection and mortality. Liver X receptors (LXRs) played</w:t>
      </w:r>
      <w:r>
        <w:t xml:space="preserve"> </w:t>
      </w:r>
      <w:r>
        <w:t xml:space="preserve">pivotal roles in the transcriptional control of lipid metabolism</w:t>
      </w:r>
      <w:hyperlink w:anchor="ref-2018bd">
        <w:r>
          <w:rPr>
            <w:rStyle w:val="24"/>
            <w:vertAlign w:val="superscript"/>
          </w:rPr>
          <w:t xml:space="preserve">45</w:t>
        </w:r>
      </w:hyperlink>
      <w:r>
        <w:t xml:space="preserve">.</w:t>
      </w:r>
      <w:r>
        <w:t xml:space="preserve"> </w:t>
      </w:r>
      <w:r>
        <w:t xml:space="preserve">LXRs modulated membrane phospholipid composition through activation of</w:t>
      </w:r>
      <w:r>
        <w:t xml:space="preserve"> </w:t>
      </w:r>
      <w:r>
        <w:t xml:space="preserve">lysophosphatidylcholine acyltransferase 3 (LPCAT3), which was directly related</w:t>
      </w:r>
      <w:r>
        <w:t xml:space="preserve"> </w:t>
      </w:r>
      <w:r>
        <w:t xml:space="preserve">to LPCs</w:t>
      </w:r>
      <w:hyperlink w:anchor="ref-2021di">
        <w:r>
          <w:rPr>
            <w:rStyle w:val="24"/>
            <w:vertAlign w:val="superscript"/>
          </w:rPr>
          <w:t xml:space="preserve">46</w:t>
        </w:r>
      </w:hyperlink>
      <w:r>
        <w:t xml:space="preserve">. The above classes showed correlation with LXRs</w:t>
      </w:r>
      <w:hyperlink w:anchor="ref-2018bd">
        <w:r>
          <w:rPr>
            <w:rStyle w:val="24"/>
            <w:vertAlign w:val="superscript"/>
          </w:rPr>
          <w:t xml:space="preserve">45</w:t>
        </w:r>
      </w:hyperlink>
      <w:r>
        <w:t xml:space="preserve">.</w:t>
      </w:r>
      <w:r>
        <w:t xml:space="preserve"> </w:t>
      </w:r>
      <w:r>
        <w:t xml:space="preserve">Unfortunately, LXRs’ specific role in SaB infection or mortality has not been</w:t>
      </w:r>
      <w:r>
        <w:t xml:space="preserve"> </w:t>
      </w:r>
      <w:r>
        <w:t xml:space="preserve">reported and beyond the scope of this research.</w:t>
      </w:r>
    </w:p>
    <w:p>
      <w:pPr>
        <w:pStyle w:val="3"/>
      </w:pPr>
      <w:r>
        <w:t xml:space="preserve">In research of Wozniak et al</w:t>
      </w:r>
      <w:hyperlink w:anchor="ref-2020s">
        <w:r>
          <w:rPr>
            <w:rStyle w:val="24"/>
            <w:vertAlign w:val="superscript"/>
          </w:rPr>
          <w:t xml:space="preserve">37</w:t>
        </w:r>
      </w:hyperlink>
      <w:r>
        <w:t xml:space="preserve">, five ACs compounds were</w:t>
      </w:r>
      <w:r>
        <w:t xml:space="preserve"> </w:t>
      </w:r>
      <w:r>
        <w:t xml:space="preserve">identified. In addition, four top metabolites</w:t>
      </w:r>
      <w:r>
        <w:t xml:space="preserve"> </w:t>
      </w:r>
      <w:r>
        <w:t xml:space="preserve">(2-Hexadecanoylthio-1-Ethylphosphorylcholine (HEPC);</w:t>
      </w:r>
      <w:r>
        <w:t xml:space="preserve"> </w:t>
      </w:r>
      <w:r>
        <w:t xml:space="preserve">sphingosine-1-phosphate (S1P); decanoyl-carnitine; L-Thyroxine (T4))</w:t>
      </w:r>
      <w:r>
        <w:t xml:space="preserve"> </w:t>
      </w:r>
      <w:r>
        <w:t xml:space="preserve">were also identified. In our reanalysis, all identifications were in</w:t>
      </w:r>
      <w:r>
        <w:t xml:space="preserve"> </w:t>
      </w:r>
      <w:r>
        <w:t xml:space="preserve">line except for HEPC (see</w:t>
      </w:r>
      <w:r>
        <w:t xml:space="preserve"> </w:t>
      </w:r>
      <w:r>
        <w:t xml:space="preserve">‘</w:t>
      </w:r>
      <w:r>
        <w:t xml:space="preserve">Data and code availability</w:t>
      </w:r>
      <w:r>
        <w:t xml:space="preserve">’</w:t>
      </w:r>
      <w:r>
        <w:t xml:space="preserve"> </w:t>
      </w:r>
      <w:r>
        <w:t xml:space="preserve">section for the</w:t>
      </w:r>
      <w:r>
        <w:t xml:space="preserve"> </w:t>
      </w:r>
      <w:r>
        <w:t xml:space="preserve">report of serum dataset analysis). In our re-analysis,</w:t>
      </w:r>
      <w:r>
        <w:t xml:space="preserve"> </w:t>
      </w:r>
      <w:r>
        <w:t xml:space="preserve">‘</w:t>
      </w:r>
      <w:r>
        <w:t xml:space="preserve">HEPC</w:t>
      </w:r>
      <w:r>
        <w:t xml:space="preserve">’</w:t>
      </w:r>
      <w:r>
        <w:t xml:space="preserve"> </w:t>
      </w:r>
      <w:r>
        <w:t xml:space="preserve">was</w:t>
      </w:r>
      <w:r>
        <w:t xml:space="preserve"> </w:t>
      </w:r>
      <w:r>
        <w:t xml:space="preserve">identified as 1-pentadecanoyl-sn-glycero-3-phosphocholine (LPC15:0) or</w:t>
      </w:r>
      <w:r>
        <w:t xml:space="preserve"> </w:t>
      </w:r>
      <w:r>
        <w:t xml:space="preserve">its stereoisomers. Indeed, HEPC and LPC15:0 are quite similar in</w:t>
      </w:r>
      <w:r>
        <w:t xml:space="preserve"> </w:t>
      </w:r>
      <w:r>
        <w:t xml:space="preserve">structure, but distinct in element constitution (corresponding to</w:t>
      </w:r>
      <w:r>
        <w:t xml:space="preserve"> </w:t>
      </w:r>
      <w:r>
        <w:t xml:space="preserve">C</w:t>
      </w:r>
      <w:r>
        <w:rPr>
          <w:vertAlign w:val="subscript"/>
        </w:rPr>
        <w:t xml:space="preserve">23</w:t>
      </w:r>
      <w:r>
        <w:t xml:space="preserve">H</w:t>
      </w:r>
      <w:r>
        <w:rPr>
          <w:vertAlign w:val="subscript"/>
        </w:rPr>
        <w:t xml:space="preserve">48</w:t>
      </w:r>
      <w:r>
        <w:t xml:space="preserve">NO</w:t>
      </w:r>
      <w:r>
        <w:rPr>
          <w:vertAlign w:val="subscript"/>
        </w:rPr>
        <w:t xml:space="preserve">5</w:t>
      </w:r>
      <w:r>
        <w:t xml:space="preserve">PS and C</w:t>
      </w:r>
      <w:r>
        <w:rPr>
          <w:vertAlign w:val="subscript"/>
        </w:rPr>
        <w:t xml:space="preserve">23</w:t>
      </w:r>
      <w:r>
        <w:t xml:space="preserve">H</w:t>
      </w:r>
      <w:r>
        <w:rPr>
          <w:vertAlign w:val="subscript"/>
        </w:rPr>
        <w:t xml:space="preserve">48</w:t>
      </w:r>
      <w:r>
        <w:t xml:space="preserve">NO</w:t>
      </w:r>
      <w:r>
        <w:rPr>
          <w:vertAlign w:val="subscript"/>
        </w:rPr>
        <w:t xml:space="preserve">7</w:t>
      </w:r>
      <w:r>
        <w:t xml:space="preserve">P respectively). They were clearly</w:t>
      </w:r>
      <w:r>
        <w:t xml:space="preserve"> </w:t>
      </w:r>
      <w:r>
        <w:t xml:space="preserve">distinct in terms of chemical classification. HEPC belongs to</w:t>
      </w:r>
      <w:r>
        <w:t xml:space="preserve"> </w:t>
      </w:r>
      <w:r>
        <w:t xml:space="preserve">‘</w:t>
      </w:r>
      <w:r>
        <w:t xml:space="preserve">Cholines</w:t>
      </w:r>
      <w:r>
        <w:t xml:space="preserve">’</w:t>
      </w:r>
      <w:r>
        <w:t xml:space="preserve"> </w:t>
      </w:r>
      <w:r>
        <w:t xml:space="preserve">(level 5) from</w:t>
      </w:r>
      <w:r>
        <w:t xml:space="preserve"> </w:t>
      </w:r>
      <w:r>
        <w:t xml:space="preserve">‘</w:t>
      </w:r>
      <w:r>
        <w:t xml:space="preserve">Organic nitrogen compounds</w:t>
      </w:r>
      <w:r>
        <w:t xml:space="preserve">’</w:t>
      </w:r>
      <w:r>
        <w:t xml:space="preserve"> </w:t>
      </w:r>
      <w:r>
        <w:t xml:space="preserve">(superclass) family, whereas</w:t>
      </w:r>
      <w:r>
        <w:t xml:space="preserve"> </w:t>
      </w:r>
      <w:r>
        <w:t xml:space="preserve">LPC15:0 belongs to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(level 5) from</w:t>
      </w:r>
      <w:r>
        <w:t xml:space="preserve"> </w:t>
      </w:r>
      <w:r>
        <w:t xml:space="preserve">‘</w:t>
      </w:r>
      <w:r>
        <w:t xml:space="preserve">Lipids and</w:t>
      </w:r>
      <w:r>
        <w:t xml:space="preserve"> </w:t>
      </w:r>
      <w:r>
        <w:t xml:space="preserve">lipid-like molecules</w:t>
      </w:r>
      <w:r>
        <w:t xml:space="preserve">’</w:t>
      </w:r>
      <w:r>
        <w:t xml:space="preserve"> </w:t>
      </w:r>
      <w:r>
        <w:t xml:space="preserve">family. As a part of MCnebula workflow, sulfur</w:t>
      </w:r>
      <w:r>
        <w:t xml:space="preserve"> </w:t>
      </w:r>
      <w:r>
        <w:t xml:space="preserve">element is detectable for SIRIUS in isotopes pattern with high mass</w:t>
      </w:r>
      <w:r>
        <w:t xml:space="preserve"> </w:t>
      </w:r>
      <w:r>
        <w:t xml:space="preserve">accuracy</w:t>
      </w:r>
      <w:hyperlink w:anchor="ref-bocker_sirius_2009">
        <w:r>
          <w:rPr>
            <w:rStyle w:val="24"/>
            <w:vertAlign w:val="superscript"/>
          </w:rPr>
          <w:t xml:space="preserve">30</w:t>
        </w:r>
      </w:hyperlink>
      <w:r>
        <w:t xml:space="preserve">. However, for the MS/MS spectra</w:t>
      </w:r>
      <w:r>
        <w:t xml:space="preserve"> </w:t>
      </w:r>
      <w:r>
        <w:t xml:space="preserve">of</w:t>
      </w:r>
      <w:r>
        <w:t xml:space="preserve"> </w:t>
      </w:r>
      <w:r>
        <w:t xml:space="preserve">‘</w:t>
      </w:r>
      <w:r>
        <w:t xml:space="preserve">HEPC</w:t>
      </w:r>
      <w:r>
        <w:t xml:space="preserve">’</w:t>
      </w:r>
      <w:r>
        <w:t xml:space="preserve">, there was no candidate formula that containing sulfur</w:t>
      </w:r>
      <w:r>
        <w:t xml:space="preserve"> </w:t>
      </w:r>
      <w:r>
        <w:t xml:space="preserve">element. Overall, we identified more compounds with the MCnebula</w:t>
      </w:r>
      <w:r>
        <w:t xml:space="preserve"> </w:t>
      </w:r>
      <w:r>
        <w:t xml:space="preserve">workflow and many of the results were in line with the analysis of</w:t>
      </w:r>
      <w:r>
        <w:t xml:space="preserve"> </w:t>
      </w:r>
      <w:r>
        <w:t xml:space="preserve">Wozniak et al</w:t>
      </w:r>
      <w:hyperlink w:anchor="ref-2020s">
        <w:r>
          <w:rPr>
            <w:rStyle w:val="24"/>
            <w:vertAlign w:val="superscript"/>
          </w:rPr>
          <w:t xml:space="preserve">37</w:t>
        </w:r>
      </w:hyperlink>
      <w:r>
        <w:t xml:space="preserve">. All identified compounds were collated</w:t>
      </w:r>
      <w:r>
        <w:t xml:space="preserve"> </w:t>
      </w:r>
      <w:r>
        <w:t xml:space="preserve">in Tab. S2 (filtered with Tanimoto similarity &gt; 0.5 and de-duplicated</w:t>
      </w:r>
      <w:r>
        <w:t xml:space="preserve"> </w:t>
      </w:r>
      <w:r>
        <w:t xml:space="preserve">with the first hash block of InChIKey (molecular skeleton)). The</w:t>
      </w:r>
      <w:r>
        <w:t xml:space="preserve"> </w:t>
      </w:r>
      <w:r>
        <w:t xml:space="preserve">compounds (top 50 of EFS and MWU) that were not successfully identified</w:t>
      </w:r>
      <w:r>
        <w:t xml:space="preserve"> </w:t>
      </w:r>
      <w:r>
        <w:t xml:space="preserve">via spectral library matching by Wozniak et al. but were identified by</w:t>
      </w:r>
      <w:r>
        <w:t xml:space="preserve"> </w:t>
      </w:r>
      <w:r>
        <w:t xml:space="preserve">our MCnebula workflow for molecular formula or chemical structure were</w:t>
      </w:r>
      <w:r>
        <w:t xml:space="preserve"> </w:t>
      </w:r>
      <w:r>
        <w:t xml:space="preserve">additionally collated (Tab. S3).</w:t>
      </w:r>
    </w:p>
    <w:p>
      <w:pPr>
        <w:pStyle w:val="3"/>
      </w:pPr>
      <w:r>
        <w:rPr>
          <w:bCs/>
          <w:b/>
        </w:rPr>
        <w:t xml:space="preserve">Herbal medicine analysis.</w:t>
      </w:r>
      <w:r>
        <w:t xml:space="preserve"> </w:t>
      </w:r>
      <w:r>
        <w:t xml:space="preserve">We used MCnebula to interpretate structure</w:t>
      </w:r>
      <w:r>
        <w:t xml:space="preserve"> </w:t>
      </w:r>
      <w:r>
        <w:t xml:space="preserve">diversity and chemical transformation during traditional processing of a</w:t>
      </w:r>
      <w:r>
        <w:t xml:space="preserve"> </w:t>
      </w:r>
      <w:r>
        <w:t xml:space="preserve">representative herbal medicine,</w:t>
      </w:r>
      <w:r>
        <w:t xml:space="preserve"> </w:t>
      </w:r>
      <w:r>
        <w:rPr>
          <w:iCs/>
          <w:i/>
        </w:rPr>
        <w:t xml:space="preserve">Eucommiae Cortex</w:t>
      </w:r>
      <w:r>
        <w:t xml:space="preserve">, the peel of</w:t>
      </w:r>
      <w:r>
        <w:t xml:space="preserve"> </w:t>
      </w:r>
      <w:r>
        <w:rPr>
          <w:iCs/>
          <w:i/>
        </w:rPr>
        <w:t xml:space="preserve">Eucommia ulmoides Oliv. (E. ulmoides)</w:t>
      </w:r>
      <w:hyperlink w:anchor="ref-2021n">
        <w:r>
          <w:rPr>
            <w:rStyle w:val="24"/>
            <w:vertAlign w:val="superscript"/>
          </w:rPr>
          <w:t xml:space="preserve">47</w:t>
        </w:r>
      </w:hyperlink>
      <w:r>
        <w:t xml:space="preserve">. After being</w:t>
      </w:r>
      <w:r>
        <w:t xml:space="preserve"> </w:t>
      </w:r>
      <w:r>
        <w:t xml:space="preserve">processed with saline water, it is commonly applied to treat renal</w:t>
      </w:r>
      <w:r>
        <w:t xml:space="preserve"> </w:t>
      </w:r>
      <w:r>
        <w:t xml:space="preserve">diseases for a long time in China but the chemical basis still remained</w:t>
      </w:r>
      <w:r>
        <w:t xml:space="preserve"> </w:t>
      </w:r>
      <w:r>
        <w:t xml:space="preserve">to be explored. With the help of ABC selection algorithm in MCnebula, a</w:t>
      </w:r>
      <w:r>
        <w:t xml:space="preserve"> </w:t>
      </w:r>
      <w:r>
        <w:t xml:space="preserve">total of 29 chemical classes representing the richness of composition of</w:t>
      </w:r>
      <w:r>
        <w:t xml:space="preserve"> </w:t>
      </w:r>
      <w:r>
        <w:t xml:space="preserve">E. ulmoides were obtained.</w:t>
      </w:r>
      <w:r>
        <w:t xml:space="preserve"> </w:t>
      </w:r>
      <w:r>
        <w:t xml:space="preserve">The main components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were lignans, iridoids, phenolics,</w:t>
      </w:r>
      <w:r>
        <w:t xml:space="preserve"> </w:t>
      </w:r>
      <w:r>
        <w:t xml:space="preserve">flavonoids, steroid and terpenoids</w:t>
      </w:r>
      <w:hyperlink w:anchor="ref-huang_traditional_2021">
        <w:r>
          <w:rPr>
            <w:rStyle w:val="24"/>
            <w:vertAlign w:val="superscript"/>
          </w:rPr>
          <w:t xml:space="preserve">48</w:t>
        </w:r>
      </w:hyperlink>
      <w:r>
        <w:t xml:space="preserve">.</w:t>
      </w:r>
      <w:r>
        <w:t xml:space="preserve"> </w:t>
      </w:r>
      <w:r>
        <w:t xml:space="preserve">In our study, the chemical classes that obtained by ABC selection</w:t>
      </w:r>
      <w:r>
        <w:t xml:space="preserve"> </w:t>
      </w:r>
      <w:r>
        <w:t xml:space="preserve">algorithm included</w:t>
      </w:r>
      <w:r>
        <w:t xml:space="preserve"> </w:t>
      </w:r>
      <w:r>
        <w:t xml:space="preserve">‘</w:t>
      </w:r>
      <w:r>
        <w:t xml:space="preserve">Lignans, neolignans and related compounds</w:t>
      </w:r>
      <w:r>
        <w:t xml:space="preserve">’</w:t>
      </w:r>
      <w:r>
        <w:t xml:space="preserve"> </w:t>
      </w:r>
      <w:r>
        <w:t xml:space="preserve">(LNARC)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Iridoids and derivatives</w:t>
      </w:r>
      <w:r>
        <w:t xml:space="preserve">’</w:t>
      </w:r>
      <w:r>
        <w:t xml:space="preserve"> </w:t>
      </w:r>
      <w:r>
        <w:t xml:space="preserve">(IAD), as well as</w:t>
      </w:r>
      <w:r>
        <w:t xml:space="preserve"> </w:t>
      </w:r>
      <w:r>
        <w:t xml:space="preserve">‘</w:t>
      </w:r>
      <w:r>
        <w:t xml:space="preserve">Monoterpenoids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Terpene glycosides</w:t>
      </w:r>
      <w:r>
        <w:t xml:space="preserve">’</w:t>
      </w:r>
      <w:r>
        <w:t xml:space="preserve">. The flavonoids were covered by</w:t>
      </w:r>
      <w:r>
        <w:t xml:space="preserve"> </w:t>
      </w:r>
      <w:r>
        <w:t xml:space="preserve">‘</w:t>
      </w:r>
      <w:r>
        <w:t xml:space="preserve">Phenylpropanoids</w:t>
      </w:r>
      <w:r>
        <w:t xml:space="preserve"> </w:t>
      </w:r>
      <w:r>
        <w:t xml:space="preserve">and polyketides</w:t>
      </w:r>
      <w:r>
        <w:t xml:space="preserve">’</w:t>
      </w:r>
      <w:r>
        <w:t xml:space="preserve"> </w:t>
      </w:r>
      <w:r>
        <w:t xml:space="preserve">(PAP)</w:t>
      </w:r>
      <w:hyperlink w:anchor="ref-2016">
        <w:r>
          <w:rPr>
            <w:rStyle w:val="24"/>
            <w:vertAlign w:val="superscript"/>
          </w:rPr>
          <w:t xml:space="preserve">29</w:t>
        </w:r>
      </w:hyperlink>
      <w:r>
        <w:t xml:space="preserve"> </w:t>
      </w:r>
      <w:r>
        <w:t xml:space="preserve">and phenolics may be found in</w:t>
      </w:r>
      <w:r>
        <w:t xml:space="preserve"> </w:t>
      </w:r>
      <w:r>
        <w:t xml:space="preserve">‘</w:t>
      </w:r>
      <w:r>
        <w:t xml:space="preserve">Methoxyphenols</w:t>
      </w:r>
      <w:r>
        <w:t xml:space="preserve">’</w:t>
      </w:r>
      <w:r>
        <w:t xml:space="preserve">. The flavonoids were similar to the steroids and were</w:t>
      </w:r>
      <w:r>
        <w:t xml:space="preserve"> </w:t>
      </w:r>
      <w:r>
        <w:t xml:space="preserve">not retained in selected results as</w:t>
      </w:r>
      <w:r>
        <w:t xml:space="preserve"> </w:t>
      </w:r>
      <w:r>
        <w:t xml:space="preserve">‘</w:t>
      </w:r>
      <w:r>
        <w:t xml:space="preserve">Flavonoides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Steroids and</w:t>
      </w:r>
      <w:r>
        <w:t xml:space="preserve"> </w:t>
      </w:r>
      <w:r>
        <w:t xml:space="preserve">steroid derivatives</w:t>
      </w:r>
      <w:r>
        <w:t xml:space="preserve">’</w:t>
      </w:r>
      <w:r>
        <w:t xml:space="preserve">, because they were not as abundant in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(bark) as LNARC and IAD. Many of the compounds that identified in</w:t>
      </w:r>
      <w:r>
        <w:t xml:space="preserve"> </w:t>
      </w:r>
      <w:r>
        <w:t xml:space="preserve">chemical classes such as LNARC and IAD (Tab. S4) were reported in previous</w:t>
      </w:r>
      <w:r>
        <w:t xml:space="preserve"> </w:t>
      </w:r>
      <w:r>
        <w:t xml:space="preserve">research about LC-MS/MS analysis of</w:t>
      </w:r>
      <w:r>
        <w:t xml:space="preserve"> </w:t>
      </w:r>
      <w:r>
        <w:rPr>
          <w:iCs/>
          <w:i/>
        </w:rPr>
        <w:t xml:space="preserve">E. ulmoides</w:t>
      </w:r>
      <w:hyperlink w:anchor="ref-2014w">
        <w:r>
          <w:rPr>
            <w:rStyle w:val="24"/>
            <w:vertAlign w:val="superscript"/>
          </w:rPr>
          <w:t xml:space="preserve">49</w:t>
        </w:r>
      </w:hyperlink>
      <w:r>
        <w:t xml:space="preserve">.</w:t>
      </w:r>
    </w:p>
    <w:p>
      <w:pPr>
        <w:pStyle w:val="3"/>
      </w:pPr>
      <w:r>
        <w:t xml:space="preserve">Two groups of quantification data were</w:t>
      </w:r>
      <w:r>
        <w:t xml:space="preserve"> </w:t>
      </w:r>
      <w:r>
        <w:t xml:space="preserve">performed with binary comparison. The top 20 features (Top20) were</w:t>
      </w:r>
      <w:r>
        <w:t xml:space="preserve"> </w:t>
      </w:r>
      <w:r>
        <w:t xml:space="preserve">selected using function</w:t>
      </w:r>
      <w:r>
        <w:t xml:space="preserve"> </w:t>
      </w:r>
      <w:r>
        <w:t xml:space="preserve">‘</w:t>
      </w:r>
      <w:r>
        <w:t xml:space="preserve">select_features</w:t>
      </w:r>
      <w:r>
        <w:t xml:space="preserve">’</w:t>
      </w:r>
      <w:r>
        <w:t xml:space="preserve"> </w:t>
      </w:r>
      <w:r>
        <w:t xml:space="preserve">(|Log2(Fold change)| &gt; 0.3,</w:t>
      </w:r>
      <w:r>
        <w:t xml:space="preserve"> </w:t>
      </w:r>
      <w:r>
        <w:t xml:space="preserve">Q-value &lt; 0.05, Tanimoto similarity &gt; 0.5) and were traced in</w:t>
      </w:r>
      <w:r>
        <w:t xml:space="preserve"> </w:t>
      </w:r>
      <w:r>
        <w:t xml:space="preserve">Child-Nebulae (Fig. S6). We used MCnebula to draw the mirrored match of</w:t>
      </w:r>
      <w:r>
        <w:t xml:space="preserve"> </w:t>
      </w:r>
      <w:r>
        <w:t xml:space="preserve">MS/MS spectra and extracted ions chromatography (EIC) plots of the Top20</w:t>
      </w:r>
      <w:r>
        <w:t xml:space="preserve"> </w:t>
      </w:r>
      <w:r>
        <w:t xml:space="preserve">(Fig. S7 and S8). According to Fig. S8, we speculated that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1642, 1785, and 2321 were newly generated compounds</w:t>
      </w:r>
      <w:r>
        <w:t xml:space="preserve"> </w:t>
      </w:r>
      <w:r>
        <w:t xml:space="preserve">because the peak area levels before the processing were almost zero</w:t>
      </w:r>
      <w:r>
        <w:t xml:space="preserve"> </w:t>
      </w:r>
      <w:r>
        <w:t xml:space="preserve">compared to those after processing. Their chemical structures are showed</w:t>
      </w:r>
      <w:r>
        <w:t xml:space="preserve"> </w:t>
      </w:r>
      <w:r>
        <w:t xml:space="preserve">in Fig. S7. Among them, the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of ID 1642 has a higher</w:t>
      </w:r>
      <w:r>
        <w:t xml:space="preserve"> </w:t>
      </w:r>
      <w:r>
        <w:t xml:space="preserve">probability of correct identification (Tanimoto similarity: 0.69). Based</w:t>
      </w:r>
      <w:r>
        <w:t xml:space="preserve"> </w:t>
      </w:r>
      <w:r>
        <w:t xml:space="preserve">on Fig. S6, we knew that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of ID 1642 belongs to</w:t>
      </w:r>
      <w:r>
        <w:t xml:space="preserve"> </w:t>
      </w:r>
      <w:r>
        <w:t xml:space="preserve">‘</w:t>
      </w:r>
      <w:r>
        <w:t xml:space="preserve">Iridoids and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 </w:t>
      </w:r>
      <w:r>
        <w:t xml:space="preserve">(IAD), the others were</w:t>
      </w:r>
      <w:r>
        <w:t xml:space="preserve"> </w:t>
      </w:r>
      <w:r>
        <w:t xml:space="preserve">‘</w:t>
      </w:r>
      <w:r>
        <w:t xml:space="preserve">Dialkyl ethers</w:t>
      </w:r>
      <w:r>
        <w:t xml:space="preserve">’</w:t>
      </w:r>
      <w:r>
        <w:t xml:space="preserve"> </w:t>
      </w:r>
      <w:r>
        <w:t xml:space="preserve">(DE; ID 1785) and</w:t>
      </w:r>
      <w:r>
        <w:t xml:space="preserve"> </w:t>
      </w:r>
      <w:r>
        <w:t xml:space="preserve">‘</w:t>
      </w:r>
      <w:r>
        <w:t xml:space="preserve">Phenylpropanoids and polyketides</w:t>
      </w:r>
      <w:r>
        <w:t xml:space="preserve">’</w:t>
      </w:r>
      <w:r>
        <w:t xml:space="preserve"> </w:t>
      </w:r>
      <w:r>
        <w:t xml:space="preserve">(PAP; ID 2321). We annotated in depth</w:t>
      </w:r>
      <w:r>
        <w:t xml:space="preserve"> </w:t>
      </w:r>
      <w:r>
        <w:t xml:space="preserve">of the Child-Nebulae of IAD, DE and PAP respectively. The locations of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1642, 1785 and 2321 in the Child-Nebulae were</w:t>
      </w:r>
      <w:r>
        <w:t xml:space="preserve"> </w:t>
      </w:r>
      <w:r>
        <w:t xml:space="preserve">interrogated (Fig. S9a, b, and c). Only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 had</w:t>
      </w:r>
      <w:r>
        <w:t xml:space="preserve"> </w:t>
      </w:r>
      <w:r>
        <w:t xml:space="preserve">neighboring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their identified chemical structures (ID 2110</w:t>
      </w:r>
      <w:r>
        <w:t xml:space="preserve"> </w:t>
      </w:r>
      <w:r>
        <w:t xml:space="preserve">and ID 854) had similar parent nuclei.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2110 and ID</w:t>
      </w:r>
      <w:r>
        <w:t xml:space="preserve"> </w:t>
      </w:r>
      <w:r>
        <w:t xml:space="preserve">854 were identified with chemical structure (Tanimoto similarity: 0.69</w:t>
      </w:r>
      <w:r>
        <w:t xml:space="preserve"> </w:t>
      </w:r>
      <w:r>
        <w:t xml:space="preserve">and 0.7 respectively) (Fig. S9d, e, and f); their levels of peak area</w:t>
      </w:r>
      <w:r>
        <w:t xml:space="preserve"> </w:t>
      </w:r>
      <w:r>
        <w:t xml:space="preserve">were decreased and increased after the processing. Based on the chemical</w:t>
      </w:r>
      <w:r>
        <w:t xml:space="preserve"> </w:t>
      </w:r>
      <w:r>
        <w:t xml:space="preserve">structures shown in Fig. S9d and e, we speculated that the compound of</w:t>
      </w:r>
      <w:r>
        <w:t xml:space="preserve"> </w:t>
      </w:r>
      <w:r>
        <w:t xml:space="preserve">ID 2110 was partially converted to the compound of ID 854 after the</w:t>
      </w:r>
      <w:r>
        <w:t xml:space="preserve"> </w:t>
      </w:r>
      <w:r>
        <w:t xml:space="preserve">processing, which may involve chemical changes such as dehydration and</w:t>
      </w:r>
      <w:r>
        <w:t xml:space="preserve"> </w:t>
      </w:r>
      <w:r>
        <w:t xml:space="preserve">rearrangement. Such speculation explained the alteration of the levels</w:t>
      </w:r>
      <w:r>
        <w:t xml:space="preserve"> </w:t>
      </w:r>
      <w:r>
        <w:t xml:space="preserve">of peak area. In addition, the increasement in the level of the compound</w:t>
      </w:r>
      <w:r>
        <w:t xml:space="preserve"> </w:t>
      </w:r>
      <w:r>
        <w:t xml:space="preserve">ID 1642 (its spectra were shown in Fig. S7 and S8) may also be</w:t>
      </w:r>
      <w:r>
        <w:t xml:space="preserve"> </w:t>
      </w:r>
      <w:r>
        <w:t xml:space="preserve">associated with the reduction of the compound ID 2110.</w:t>
      </w:r>
      <w:r>
        <w:t xml:space="preserve"> </w:t>
      </w:r>
      <w:r>
        <w:t xml:space="preserve">The methods of MCnebula we have demonstrated for discovering significant</w:t>
      </w:r>
      <w:r>
        <w:t xml:space="preserve"> </w:t>
      </w:r>
      <w:r>
        <w:t xml:space="preserve">compounds and discovering chemical changes can be applied to explore</w:t>
      </w:r>
      <w:r>
        <w:t xml:space="preserve"> </w:t>
      </w:r>
      <w:r>
        <w:t xml:space="preserve">more compounds in Tab. S4, but we would not expand on this description</w:t>
      </w:r>
      <w:r>
        <w:t xml:space="preserve"> </w:t>
      </w:r>
      <w:r>
        <w:t xml:space="preserve">here.</w:t>
      </w:r>
    </w:p>
    <w:p>
      <w:pPr>
        <w:pStyle w:val="3"/>
      </w:pPr>
      <w:r>
        <w:t xml:space="preserve">Taken togather, the application of MCnebula in the analysis of plant-derived</w:t>
      </w:r>
      <w:r>
        <w:t xml:space="preserve"> </w:t>
      </w:r>
      <w:r>
        <w:t xml:space="preserve">compounds was well illustrated with this example, particular for quick</w:t>
      </w:r>
      <w:r>
        <w:t xml:space="preserve"> </w:t>
      </w:r>
      <w:r>
        <w:t xml:space="preserve">identification and exploration of chemical changes. Notably, the reference</w:t>
      </w:r>
      <w:r>
        <w:t xml:space="preserve"> </w:t>
      </w:r>
      <w:r>
        <w:t xml:space="preserve">spectral library or database for plant-derived compounds was much more scarce</w:t>
      </w:r>
      <w:r>
        <w:t xml:space="preserve"> </w:t>
      </w:r>
      <w:r>
        <w:t xml:space="preserve">compared with reference spectral library for human-derived metabolites,</w:t>
      </w:r>
      <w:r>
        <w:t xml:space="preserve"> </w:t>
      </w:r>
      <w:r>
        <w:t xml:space="preserve">Although some specific database of plant-derived compounds was constructed</w:t>
      </w:r>
      <w:hyperlink w:anchor="ref-2012ac">
        <w:r>
          <w:rPr>
            <w:rStyle w:val="24"/>
            <w:vertAlign w:val="superscript"/>
          </w:rPr>
          <w:t xml:space="preserve">50</w:t>
        </w:r>
      </w:hyperlink>
      <w:r>
        <w:t xml:space="preserve">, there were lack of enough fragmentation spectra for comprehensive</w:t>
      </w:r>
      <w:r>
        <w:t xml:space="preserve"> </w:t>
      </w:r>
      <w:r>
        <w:t xml:space="preserve">library match. With the help of MCnebula, a rapid and reliable resolution of</w:t>
      </w:r>
      <w:r>
        <w:t xml:space="preserve"> </w:t>
      </w:r>
      <w:r>
        <w:t xml:space="preserve">complex compositions of plant-derived can be achieved.</w:t>
      </w:r>
    </w:p>
    <w:bookmarkEnd w:id="29"/>
    <w:bookmarkEnd w:id="30"/>
    <w:bookmarkEnd w:id="31"/>
    <w:bookmarkStart w:id="32" w:name="conclusion"/>
    <w:p>
      <w:pPr>
        <w:pStyle w:val="4"/>
      </w:pPr>
      <w:r>
        <w:t xml:space="preserve">Conclusion</w:t>
      </w:r>
    </w:p>
    <w:p>
      <w:pPr>
        <w:pStyle w:val="38"/>
      </w:pPr>
      <w:r>
        <w:t xml:space="preserve">The analysis of LC-MS/MS data is challenging because of its large</w:t>
      </w:r>
      <w:r>
        <w:t xml:space="preserve"> </w:t>
      </w:r>
      <w:r>
        <w:t xml:space="preserve">dataset and much information of the unknown compounds as well as the</w:t>
      </w:r>
      <w:r>
        <w:t xml:space="preserve"> </w:t>
      </w:r>
      <w:r>
        <w:t xml:space="preserve">limited of reference spectral library. Thus, we established a framework</w:t>
      </w:r>
      <w:r>
        <w:t xml:space="preserve"> </w:t>
      </w:r>
      <w:r>
        <w:t xml:space="preserve">called MCnebula to facilitate mass spectrometry data analysis by</w:t>
      </w:r>
      <w:r>
        <w:t xml:space="preserve"> </w:t>
      </w:r>
      <w:r>
        <w:t xml:space="preserve">focusing on critical chemical classes and visualization in multiple</w:t>
      </w:r>
      <w:r>
        <w:t xml:space="preserve"> </w:t>
      </w:r>
      <w:r>
        <w:t xml:space="preserve">dimensions. MCnebula was proposed and implemented in the R language with</w:t>
      </w:r>
      <w:r>
        <w:t xml:space="preserve"> </w:t>
      </w:r>
      <w:r>
        <w:t xml:space="preserve">package of MCnebula. As an integrated visualization method, MCnebula may</w:t>
      </w:r>
      <w:r>
        <w:t xml:space="preserve"> </w:t>
      </w:r>
      <w:r>
        <w:t xml:space="preserve">be more popular for researchers without background of bioinformatics and</w:t>
      </w:r>
      <w:r>
        <w:t xml:space="preserve"> </w:t>
      </w:r>
      <w:r>
        <w:t xml:space="preserve">computer science. According to the results of method evaluation,</w:t>
      </w:r>
      <w:r>
        <w:t xml:space="preserve"> </w:t>
      </w:r>
      <w:r>
        <w:t xml:space="preserve">MCnebula had a lower relative false rate of classified accuracy and its</w:t>
      </w:r>
      <w:r>
        <w:t xml:space="preserve"> </w:t>
      </w:r>
      <w:r>
        <w:t xml:space="preserve">accuracy of identification was up to 70%. In order to illustrate the</w:t>
      </w:r>
      <w:r>
        <w:t xml:space="preserve"> </w:t>
      </w:r>
      <w:r>
        <w:t xml:space="preserve">broad utility of MCnebula, we investigated a human-derived serum dataset</w:t>
      </w:r>
      <w:r>
        <w:t xml:space="preserve"> </w:t>
      </w:r>
      <w:r>
        <w:t xml:space="preserve">for metabolomics analysis. The results indicated that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were screened out by tracing structural classes of biomarkers which was</w:t>
      </w:r>
      <w:r>
        <w:t xml:space="preserve"> </w:t>
      </w:r>
      <w:r>
        <w:t xml:space="preserve">consistent with the reference. We also investigated a plant-derived</w:t>
      </w:r>
      <w:r>
        <w:t xml:space="preserve"> </w:t>
      </w:r>
      <w:r>
        <w:t xml:space="preserve">dataset of herbal E. ulmoides to achieve a rapid unknown compound</w:t>
      </w:r>
      <w:r>
        <w:t xml:space="preserve"> </w:t>
      </w:r>
      <w:r>
        <w:t xml:space="preserve">annotation and discovery. MCnebula has a great potential in the field of</w:t>
      </w:r>
      <w:r>
        <w:t xml:space="preserve"> </w:t>
      </w:r>
      <w:r>
        <w:t xml:space="preserve">chemistry and biology. In the future, we hope that fields of application</w:t>
      </w:r>
      <w:r>
        <w:t xml:space="preserve"> </w:t>
      </w:r>
      <w:r>
        <w:t xml:space="preserve">of MCnebula could expand to agriculture, food science, medicine and so</w:t>
      </w:r>
      <w:r>
        <w:t xml:space="preserve"> </w:t>
      </w:r>
      <w:r>
        <w:t xml:space="preserve">on.</w:t>
      </w:r>
    </w:p>
    <w:bookmarkEnd w:id="32"/>
    <w:bookmarkStart w:id="33" w:name="supporting-information"/>
    <w:p>
      <w:pPr>
        <w:pStyle w:val="4"/>
      </w:pPr>
      <w:r>
        <w:t xml:space="preserve">Supporting Information</w:t>
      </w:r>
    </w:p>
    <w:p>
      <w:pPr>
        <w:numPr>
          <w:ilvl w:val="0"/>
          <w:numId w:val="1002"/>
        </w:numPr>
        <w:pStyle w:val="186"/>
      </w:pPr>
      <w:r>
        <w:t xml:space="preserve">Algorithms, MCnebula assessment, handling of samples in the study (serum and</w:t>
      </w:r>
      <w:r>
        <w:t xml:space="preserve"> </w:t>
      </w:r>
      <w:r>
        <w:t xml:space="preserve">phytochemicals), data processing, and acquisition of available data and codes;</w:t>
      </w:r>
    </w:p>
    <w:p>
      <w:pPr>
        <w:numPr>
          <w:ilvl w:val="0"/>
          <w:numId w:val="1002"/>
        </w:numPr>
        <w:pStyle w:val="186"/>
      </w:pPr>
      <w:r>
        <w:t xml:space="preserve">Fig. S1-S9; 3) Tab. S1-S4.</w:t>
      </w:r>
    </w:p>
    <w:bookmarkEnd w:id="33"/>
    <w:bookmarkStart w:id="34" w:name="acknowledgements"/>
    <w:p>
      <w:pPr>
        <w:pStyle w:val="4"/>
      </w:pPr>
      <w:r>
        <w:t xml:space="preserve">Acknowledgements</w:t>
      </w:r>
    </w:p>
    <w:p>
      <w:pPr>
        <w:pStyle w:val="38"/>
      </w:pPr>
      <w:r>
        <w:t xml:space="preserve">This work was financially supported by the National Natural Science</w:t>
      </w:r>
      <w:r>
        <w:t xml:space="preserve"> </w:t>
      </w:r>
      <w:r>
        <w:t xml:space="preserve">Foundation of China (No. 81922073), Zhejiang Province Traditional</w:t>
      </w:r>
      <w:r>
        <w:t xml:space="preserve"> </w:t>
      </w:r>
      <w:r>
        <w:t xml:space="preserve">Chinese Medicine Science and Technology Project (Nos. 2022ZQ033).</w:t>
      </w:r>
    </w:p>
    <w:bookmarkEnd w:id="34"/>
    <w:bookmarkEnd w:id="35"/>
    <w:bookmarkStart w:id="106" w:name="bibliography"/>
    <w:p>
      <w:pPr>
        <w:pStyle w:val="2"/>
      </w:pPr>
      <w:r>
        <w:t xml:space="preserve">Reference</w:t>
      </w:r>
    </w:p>
    <w:bookmarkStart w:id="105" w:name="refs"/>
    <w:bookmarkStart w:id="36" w:name="ref-2020p"/>
    <w:p>
      <w:pPr>
        <w:pStyle w:val="189"/>
      </w:pPr>
      <w:r>
        <w:t xml:space="preserve">(1)</w:t>
      </w:r>
      <w:r>
        <w:t xml:space="preserve"> </w:t>
      </w:r>
      <w:r>
        <w:t xml:space="preserve">	</w:t>
      </w:r>
      <w:r>
        <w:t xml:space="preserve">Tsugawa, H.; Ikeda, K.; Takahashi, M.; Satoh, A.; Mori, Y.; Uchino, H.; Okahashi, N.; Yamada, Y.; Tada, I.; Bonini, P.; Higashi, Y.; Okazaki, Y.; Zhou, Z.; Zhu, Z.-J.; Koelmel, J.; Cajka, T.; Fiehn, O.; Saito, K.; Arita, M.; Arita, M. A Lipidome Atlas in</w:t>
      </w:r>
      <w:r>
        <w:t xml:space="preserve"> </w:t>
      </w:r>
      <w:r>
        <w:t xml:space="preserve">MS-DIAL</w:t>
      </w:r>
      <w:r>
        <w:t xml:space="preserve"> </w:t>
      </w:r>
      <w:r>
        <w:t xml:space="preserve">4.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 </w:t>
      </w:r>
      <w:r>
        <w:t xml:space="preserve">(10), 1159–1163.</w:t>
      </w:r>
    </w:p>
    <w:bookmarkEnd w:id="36"/>
    <w:bookmarkStart w:id="38" w:name="ref-2018az"/>
    <w:p>
      <w:pPr>
        <w:pStyle w:val="189"/>
      </w:pPr>
      <w:r>
        <w:t xml:space="preserve">(2)</w:t>
      </w:r>
      <w:r>
        <w:t xml:space="preserve"> </w:t>
      </w:r>
      <w:r>
        <w:t xml:space="preserve">	</w:t>
      </w:r>
      <w:r>
        <w:t xml:space="preserve">Chong, J.; Soufan, O.; Li, C.; Caraus, I.; Li, S.; Bourque, G.; Wishart, D. S.; Xia, J.</w:t>
      </w:r>
      <w:r>
        <w:t xml:space="preserve"> </w:t>
      </w:r>
      <w:hyperlink r:id="rId37">
        <w:r>
          <w:rPr>
            <w:rStyle w:val="24"/>
          </w:rPr>
          <w:t xml:space="preserve">MetaboAnalyst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4.0: Towards More Transparent and Integrative Metabolomics Analysis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rPr>
          <w:bCs/>
          <w:b/>
        </w:rPr>
        <w:t xml:space="preserve">2018</w:t>
      </w:r>
      <w:r>
        <w:t xml:space="preserve">,</w:t>
      </w:r>
      <w:r>
        <w:t xml:space="preserve"> </w:t>
      </w:r>
      <w:r>
        <w:rPr>
          <w:iCs/>
          <w:i/>
        </w:rPr>
        <w:t xml:space="preserve">46</w:t>
      </w:r>
      <w:r>
        <w:t xml:space="preserve"> </w:t>
      </w:r>
      <w:r>
        <w:t xml:space="preserve">(W1), W486–W494.</w:t>
      </w:r>
    </w:p>
    <w:bookmarkEnd w:id="38"/>
    <w:bookmarkStart w:id="39" w:name="ref-2020co"/>
    <w:p>
      <w:pPr>
        <w:pStyle w:val="189"/>
      </w:pPr>
      <w:r>
        <w:t xml:space="preserve">(3)</w:t>
      </w:r>
      <w:r>
        <w:t xml:space="preserve"> </w:t>
      </w:r>
      <w:r>
        <w:t xml:space="preserve">	</w:t>
      </w:r>
      <w:r>
        <w:t xml:space="preserve">Tsugawa, H. Computational</w:t>
      </w:r>
      <w:r>
        <w:t xml:space="preserve"> </w:t>
      </w:r>
      <w:r>
        <w:t xml:space="preserve">MS</w:t>
      </w:r>
      <w:r>
        <w:t xml:space="preserve">/</w:t>
      </w:r>
      <w:r>
        <w:t xml:space="preserve">MS Fragmentation</w:t>
      </w:r>
      <w:r>
        <w:t xml:space="preserve"> </w:t>
      </w:r>
      <w:r>
        <w:t xml:space="preserve">and</w:t>
      </w:r>
      <w:r>
        <w:t xml:space="preserve"> </w:t>
      </w:r>
      <w:r>
        <w:t xml:space="preserve">Structure Elucidation Using MS-FINDER Software</w:t>
      </w:r>
      <w:r>
        <w:t xml:space="preserve">. In</w:t>
      </w:r>
      <w:r>
        <w:t xml:space="preserve"> </w:t>
      </w:r>
      <w:r>
        <w:rPr>
          <w:iCs/>
          <w:i/>
        </w:rPr>
        <w:t xml:space="preserve">Comprehensive</w:t>
      </w:r>
      <w:r>
        <w:rPr>
          <w:iCs/>
          <w:i/>
        </w:rPr>
        <w:t xml:space="preserve"> </w:t>
      </w:r>
      <w:r>
        <w:rPr>
          <w:iCs/>
          <w:i/>
        </w:rPr>
        <w:t xml:space="preserve">Natural Products III</w:t>
      </w:r>
      <w:r>
        <w:t xml:space="preserve">;</w:t>
      </w:r>
      <w:r>
        <w:t xml:space="preserve"> </w:t>
      </w:r>
      <w:r>
        <w:t xml:space="preserve">Elsevier</w:t>
      </w:r>
      <w:r>
        <w:t xml:space="preserve">, 2020; pp 189–210.</w:t>
      </w:r>
    </w:p>
    <w:bookmarkEnd w:id="39"/>
    <w:bookmarkStart w:id="40" w:name="ref-2012d"/>
    <w:p>
      <w:pPr>
        <w:pStyle w:val="189"/>
      </w:pPr>
      <w:r>
        <w:t xml:space="preserve">(4)</w:t>
      </w:r>
      <w:r>
        <w:t xml:space="preserve"> </w:t>
      </w:r>
      <w:r>
        <w:t xml:space="preserve">	</w:t>
      </w:r>
      <w:r>
        <w:t xml:space="preserve">Chambers, M. C.; Maclean, B.; Burke, R.; Amodei, D.; Ruderman, D. L.; Neumann, S.; Gatto, L.; Fischer, B.; Pratt, B.; Egertson, J.; Hoff, K.; Kessner, D.; Tasman, N.; Shulman, N.; Frewen, B.; Baker, T. A.; Brusniak, M.-Y.; Paulse, C.; Creasy, D.; Flashner, L.; Kani, K.; Moulding, C.; Seymour, S. L.; Nuwaysir, L. M.; Lefebvre, B.; Kuhlmann, F.; Roark, J.; Rainer, P.; Detlev, S.; Hemenway, T.; Huhmer, A.; Langridge, J.; Connolly, B.; Chadick, T.; Holly, K.; Eckels, J.; Deutsch, E. W.; Moritz, R. L.; Katz, J. E.; Agus, D. B.; MacCoss, M.; Tabb, D. L.; Mallick, P. A Cross-Platform Toolkit for Mass Spectrometry and Proteomics.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2012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 </w:t>
      </w:r>
      <w:r>
        <w:t xml:space="preserve">(10), 918–920.</w:t>
      </w:r>
    </w:p>
    <w:bookmarkEnd w:id="40"/>
    <w:bookmarkStart w:id="41" w:name="ref-2016e"/>
    <w:p>
      <w:pPr>
        <w:pStyle w:val="189"/>
      </w:pPr>
      <w:r>
        <w:t xml:space="preserve">(5)</w:t>
      </w:r>
      <w:r>
        <w:t xml:space="preserve"> </w:t>
      </w:r>
      <w:r>
        <w:t xml:space="preserve">	</w:t>
      </w:r>
      <w:r>
        <w:t xml:space="preserve">Röst, H. L.; Sachsenberg, T.; Aiche, S.; Bielow, C.; Weisser, H.; Aicheler, F.; Andreotti, S.; Ehrlich, H.-C.; Gutenbrunner, P.; Kenar, E.; Liang, X.; Nahnsen, S.; Nilse, L.; Pfeuffer, J.; Rosenberger, G.; Rurik, M.; Schmitt, U.; Veit, J.; Walzer, M.; Wojnar, D.; Wolski, W. E.; Schilling, O.; Choudhary, J. S.; Malmström, L.; Aebersold, R.; Reinert, K.; Kohlbacher, O.</w:t>
      </w:r>
      <w:r>
        <w:t xml:space="preserve"> </w:t>
      </w:r>
      <w:r>
        <w:t xml:space="preserve">OpenMS</w:t>
      </w:r>
      <w:r>
        <w:t xml:space="preserve">: A Flexible Open-Source Software Platform for Mass Spectrometry Data Analysis.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 </w:t>
      </w:r>
      <w:r>
        <w:t xml:space="preserve">(9), 741–748.</w:t>
      </w:r>
    </w:p>
    <w:bookmarkEnd w:id="41"/>
    <w:bookmarkStart w:id="42" w:name="ref-2006a"/>
    <w:p>
      <w:pPr>
        <w:pStyle w:val="189"/>
      </w:pPr>
      <w:r>
        <w:t xml:space="preserve">(6)</w:t>
      </w:r>
      <w:r>
        <w:t xml:space="preserve"> </w:t>
      </w:r>
      <w:r>
        <w:t xml:space="preserve">	</w:t>
      </w:r>
      <w:r>
        <w:t xml:space="preserve">Smith, C. A.; Want, E. J.; O’Maille, G.; Abagyan, R.; Siuzdak, G.</w:t>
      </w:r>
      <w:r>
        <w:t xml:space="preserve"> </w:t>
      </w:r>
      <w:r>
        <w:t xml:space="preserve">XCMS</w:t>
      </w:r>
      <w:r>
        <w:t xml:space="preserve">:</w:t>
      </w:r>
      <w:r>
        <w:t xml:space="preserve"> </w:t>
      </w:r>
      <w:r>
        <w:t xml:space="preserve">Processing Mass Spectrometry Data</w:t>
      </w:r>
      <w:r>
        <w:t xml:space="preserve"> </w:t>
      </w:r>
      <w:r>
        <w:t xml:space="preserve">for</w:t>
      </w:r>
      <w:r>
        <w:t xml:space="preserve"> </w:t>
      </w:r>
      <w:r>
        <w:t xml:space="preserve">Metabolite Profiling Using Nonlinear Peak Alignment</w:t>
      </w:r>
      <w:r>
        <w:t xml:space="preserve">,</w:t>
      </w:r>
      <w:r>
        <w:t xml:space="preserve"> </w:t>
      </w:r>
      <w:r>
        <w:t xml:space="preserve">Matching</w:t>
      </w:r>
      <w:r>
        <w:t xml:space="preserve">, and</w:t>
      </w:r>
      <w:r>
        <w:t xml:space="preserve"> </w:t>
      </w:r>
      <w:r>
        <w:t xml:space="preserve">Identification</w:t>
      </w:r>
      <w:r>
        <w:t xml:space="preserve">.</w:t>
      </w:r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2006</w:t>
      </w:r>
      <w:r>
        <w:t xml:space="preserve">,</w:t>
      </w:r>
      <w:r>
        <w:t xml:space="preserve"> </w:t>
      </w:r>
      <w:r>
        <w:rPr>
          <w:iCs/>
          <w:i/>
        </w:rPr>
        <w:t xml:space="preserve">78</w:t>
      </w:r>
      <w:r>
        <w:t xml:space="preserve"> </w:t>
      </w:r>
      <w:r>
        <w:t xml:space="preserve">(3), 779–787.</w:t>
      </w:r>
    </w:p>
    <w:bookmarkEnd w:id="42"/>
    <w:bookmarkStart w:id="43" w:name="ref-2010"/>
    <w:p>
      <w:pPr>
        <w:pStyle w:val="189"/>
      </w:pPr>
      <w:r>
        <w:t xml:space="preserve">(7)</w:t>
      </w:r>
      <w:r>
        <w:t xml:space="preserve"> </w:t>
      </w:r>
      <w:r>
        <w:t xml:space="preserve">	</w:t>
      </w:r>
      <w:r>
        <w:t xml:space="preserve">Pluskal, T.; Castillo, S.; Villar-Briones, A.; Orešič, M.</w:t>
      </w:r>
      <w:r>
        <w:t xml:space="preserve"> </w:t>
      </w:r>
      <w:r>
        <w:t xml:space="preserve">MZmine</w:t>
      </w:r>
      <w:r>
        <w:t xml:space="preserve"> </w:t>
      </w:r>
      <w:r>
        <w:t xml:space="preserve">2:</w:t>
      </w:r>
      <w:r>
        <w:t xml:space="preserve"> </w:t>
      </w:r>
      <w:r>
        <w:t xml:space="preserve">Modular</w:t>
      </w:r>
      <w:r>
        <w:t xml:space="preserve"> </w:t>
      </w:r>
      <w:r>
        <w:t xml:space="preserve">Framework for Processing, Visualizing, and Analyzing Mass Spectrometry-Based Molecular Profile Data.</w:t>
      </w:r>
      <w:r>
        <w:t xml:space="preserve"> </w:t>
      </w:r>
      <w:r>
        <w:rPr>
          <w:iCs/>
          <w:i/>
        </w:rPr>
        <w:t xml:space="preserve">BMC Bioinformatics</w:t>
      </w:r>
      <w:r>
        <w:t xml:space="preserve"> </w:t>
      </w:r>
      <w:r>
        <w:rPr>
          <w:bCs/>
          <w:b/>
        </w:rPr>
        <w:t xml:space="preserve">2010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 </w:t>
      </w:r>
      <w:r>
        <w:t xml:space="preserve">(1), 395.</w:t>
      </w:r>
    </w:p>
    <w:bookmarkEnd w:id="43"/>
    <w:bookmarkStart w:id="44" w:name="ref-2017f"/>
    <w:p>
      <w:pPr>
        <w:pStyle w:val="189"/>
      </w:pPr>
      <w:r>
        <w:t xml:space="preserve">(8)</w:t>
      </w:r>
      <w:r>
        <w:t xml:space="preserve"> </w:t>
      </w:r>
      <w:r>
        <w:t xml:space="preserve">	</w:t>
      </w:r>
      <w:r>
        <w:t xml:space="preserve">Myers, O. D.; Sumner, S. J.; Li, S.; Barnes, S.; Du, X. One</w:t>
      </w:r>
      <w:r>
        <w:t xml:space="preserve"> </w:t>
      </w:r>
      <w:r>
        <w:t xml:space="preserve">Step Forward</w:t>
      </w:r>
      <w:r>
        <w:t xml:space="preserve"> </w:t>
      </w:r>
      <w:r>
        <w:t xml:space="preserve">for</w:t>
      </w:r>
      <w:r>
        <w:t xml:space="preserve"> </w:t>
      </w:r>
      <w:r>
        <w:t xml:space="preserve">Reducing False Positive</w:t>
      </w:r>
      <w:r>
        <w:t xml:space="preserve"> </w:t>
      </w:r>
      <w:r>
        <w:t xml:space="preserve">and</w:t>
      </w:r>
      <w:r>
        <w:t xml:space="preserve"> </w:t>
      </w:r>
      <w:r>
        <w:t xml:space="preserve">False Negative Compound Identifications</w:t>
      </w:r>
      <w:r>
        <w:t xml:space="preserve"> </w:t>
      </w:r>
      <w:r>
        <w:t xml:space="preserve">from</w:t>
      </w:r>
      <w:r>
        <w:t xml:space="preserve"> </w:t>
      </w:r>
      <w:r>
        <w:t xml:space="preserve">Mass Spectrometry Metabolomics Data</w:t>
      </w:r>
      <w:r>
        <w:t xml:space="preserve">:</w:t>
      </w:r>
      <w:r>
        <w:t xml:space="preserve"> </w:t>
      </w:r>
      <w:r>
        <w:t xml:space="preserve">New Algorithms</w:t>
      </w:r>
      <w:r>
        <w:t xml:space="preserve"> </w:t>
      </w:r>
      <w:r>
        <w:t xml:space="preserve">for</w:t>
      </w:r>
      <w:r>
        <w:t xml:space="preserve"> </w:t>
      </w:r>
      <w:r>
        <w:t xml:space="preserve">Constructing Extracted Ion Chromatograms</w:t>
      </w:r>
      <w:r>
        <w:t xml:space="preserve"> </w:t>
      </w:r>
      <w:r>
        <w:t xml:space="preserve">and</w:t>
      </w:r>
      <w:r>
        <w:t xml:space="preserve"> </w:t>
      </w:r>
      <w:r>
        <w:t xml:space="preserve">Detecting Chromatographic Peaks</w:t>
      </w:r>
      <w:r>
        <w:t xml:space="preserve">.</w:t>
      </w:r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2017</w:t>
      </w:r>
      <w:r>
        <w:t xml:space="preserve">,</w:t>
      </w:r>
      <w:r>
        <w:t xml:space="preserve"> </w:t>
      </w:r>
      <w:r>
        <w:rPr>
          <w:iCs/>
          <w:i/>
        </w:rPr>
        <w:t xml:space="preserve">89</w:t>
      </w:r>
      <w:r>
        <w:t xml:space="preserve"> </w:t>
      </w:r>
      <w:r>
        <w:t xml:space="preserve">(17), 8696–8703.</w:t>
      </w:r>
    </w:p>
    <w:bookmarkEnd w:id="44"/>
    <w:bookmarkStart w:id="45" w:name="ref-2022"/>
    <w:p>
      <w:pPr>
        <w:pStyle w:val="189"/>
      </w:pPr>
      <w:r>
        <w:t xml:space="preserve">(9)</w:t>
      </w:r>
      <w:r>
        <w:t xml:space="preserve"> </w:t>
      </w:r>
      <w:r>
        <w:t xml:space="preserve">	</w:t>
      </w:r>
      <w:r>
        <w:t xml:space="preserve">Fu, J.; Zhang, Y.; Wang, Y.; Zhang, H.; Liu, J.; Tang, J.; Yang, Q.; Sun, H.; Qiu, W.; Ma, Y.; Li, Z.; Zheng, M.; Zhu, F. Optimization of Metabolomic Data Processing Using</w:t>
      </w:r>
      <w:r>
        <w:t xml:space="preserve"> </w:t>
      </w:r>
      <w:r>
        <w:t xml:space="preserve">NOREVA</w:t>
      </w:r>
      <w:r>
        <w:t xml:space="preserve">.</w:t>
      </w:r>
      <w:r>
        <w:t xml:space="preserve"> </w:t>
      </w:r>
      <w:r>
        <w:rPr>
          <w:iCs/>
          <w:i/>
        </w:rPr>
        <w:t xml:space="preserve">Nature Protocols</w:t>
      </w:r>
      <w:r>
        <w:t xml:space="preserve"> </w:t>
      </w:r>
      <w:r>
        <w:rPr>
          <w:bCs/>
          <w:b/>
        </w:rPr>
        <w:t xml:space="preserve">2022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 </w:t>
      </w:r>
      <w:r>
        <w:t xml:space="preserve">(1), 129–151.</w:t>
      </w:r>
    </w:p>
    <w:bookmarkEnd w:id="45"/>
    <w:bookmarkStart w:id="46" w:name="ref-2017ao"/>
    <w:p>
      <w:pPr>
        <w:pStyle w:val="189"/>
      </w:pPr>
      <w:r>
        <w:t xml:space="preserve">(10)</w:t>
      </w:r>
      <w:r>
        <w:t xml:space="preserve"> </w:t>
      </w:r>
      <w:r>
        <w:t xml:space="preserve">	</w:t>
      </w:r>
      <w:r>
        <w:t xml:space="preserve">Mahieu, N. G.; Patti, G. J. Systems-</w:t>
      </w:r>
      <w:r>
        <w:t xml:space="preserve">Level Annotation</w:t>
      </w:r>
      <w:r>
        <w:t xml:space="preserve"> </w:t>
      </w:r>
      <w:r>
        <w:t xml:space="preserve">of a</w:t>
      </w:r>
      <w:r>
        <w:t xml:space="preserve"> </w:t>
      </w:r>
      <w:r>
        <w:t xml:space="preserve">Metabolomics Data Set Reduces</w:t>
      </w:r>
      <w:r>
        <w:t xml:space="preserve"> </w:t>
      </w:r>
      <w:r>
        <w:t xml:space="preserve">25 000</w:t>
      </w:r>
      <w:r>
        <w:t xml:space="preserve"> </w:t>
      </w:r>
      <w:r>
        <w:t xml:space="preserve">Features</w:t>
      </w:r>
      <w:r>
        <w:t xml:space="preserve"> </w:t>
      </w:r>
      <w:r>
        <w:t xml:space="preserve">to</w:t>
      </w:r>
      <w:r>
        <w:t xml:space="preserve"> </w:t>
      </w:r>
      <w:r>
        <w:t xml:space="preserve">Fewer</w:t>
      </w:r>
      <w:r>
        <w:t xml:space="preserve"> </w:t>
      </w:r>
      <w:r>
        <w:t xml:space="preserve">Than 1000</w:t>
      </w:r>
      <w:r>
        <w:t xml:space="preserve"> </w:t>
      </w:r>
      <w:r>
        <w:t xml:space="preserve">Unique Metabolites</w:t>
      </w:r>
      <w:r>
        <w:t xml:space="preserve">.</w:t>
      </w:r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2017</w:t>
      </w:r>
      <w:r>
        <w:t xml:space="preserve">,</w:t>
      </w:r>
      <w:r>
        <w:t xml:space="preserve"> </w:t>
      </w:r>
      <w:r>
        <w:rPr>
          <w:iCs/>
          <w:i/>
        </w:rPr>
        <w:t xml:space="preserve">89</w:t>
      </w:r>
      <w:r>
        <w:t xml:space="preserve"> </w:t>
      </w:r>
      <w:r>
        <w:t xml:space="preserve">(19), 10397–10406.</w:t>
      </w:r>
    </w:p>
    <w:bookmarkEnd w:id="46"/>
    <w:bookmarkStart w:id="47" w:name="ref-2022b"/>
    <w:p>
      <w:pPr>
        <w:pStyle w:val="189"/>
      </w:pPr>
      <w:r>
        <w:t xml:space="preserve">(11)</w:t>
      </w:r>
      <w:r>
        <w:t xml:space="preserve"> </w:t>
      </w:r>
      <w:r>
        <w:t xml:space="preserve">	</w:t>
      </w:r>
      <w:r>
        <w:t xml:space="preserve">Gloaguen, Y.; Kirwan, J. A.; Beule, D. Deep</w:t>
      </w:r>
      <w:r>
        <w:t xml:space="preserve"> </w:t>
      </w:r>
      <w:r>
        <w:t xml:space="preserve">Learning-Assisted Peak Curation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Large-Scale LC-MS Metabolomics</w:t>
      </w:r>
      <w:r>
        <w:t xml:space="preserve">.</w:t>
      </w:r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2022</w:t>
      </w:r>
      <w:r>
        <w:t xml:space="preserve">,</w:t>
      </w:r>
      <w:r>
        <w:t xml:space="preserve"> </w:t>
      </w:r>
      <w:r>
        <w:rPr>
          <w:iCs/>
          <w:i/>
        </w:rPr>
        <w:t xml:space="preserve">94</w:t>
      </w:r>
      <w:r>
        <w:t xml:space="preserve"> </w:t>
      </w:r>
      <w:r>
        <w:t xml:space="preserve">(12), 4930–4937.</w:t>
      </w:r>
    </w:p>
    <w:bookmarkEnd w:id="47"/>
    <w:bookmarkStart w:id="48" w:name="ref-2015c"/>
    <w:p>
      <w:pPr>
        <w:pStyle w:val="189"/>
      </w:pPr>
      <w:r>
        <w:t xml:space="preserve">(12)</w:t>
      </w:r>
      <w:r>
        <w:t xml:space="preserve"> </w:t>
      </w:r>
      <w:r>
        <w:t xml:space="preserve">	</w:t>
      </w:r>
      <w:r>
        <w:t xml:space="preserve">Allen, F.; Greiner, R.; Wishart, D. Competitive Fragmentation Modeling of</w:t>
      </w:r>
      <w:r>
        <w:t xml:space="preserve"> </w:t>
      </w:r>
      <w:r>
        <w:t xml:space="preserve">ESI-MS</w:t>
      </w:r>
      <w:r>
        <w:t xml:space="preserve">/</w:t>
      </w:r>
      <w:r>
        <w:t xml:space="preserve">MS</w:t>
      </w:r>
      <w:r>
        <w:t xml:space="preserve"> </w:t>
      </w:r>
      <w:r>
        <w:t xml:space="preserve">Spectra for Putative Metabolite Identification.</w:t>
      </w:r>
      <w:r>
        <w:t xml:space="preserve"> </w:t>
      </w:r>
      <w:r>
        <w:rPr>
          <w:iCs/>
          <w:i/>
        </w:rPr>
        <w:t xml:space="preserve">Metabolomics</w:t>
      </w:r>
      <w:r>
        <w:t xml:space="preserve"> </w:t>
      </w:r>
      <w:r>
        <w:rPr>
          <w:bCs/>
          <w:b/>
        </w:rPr>
        <w:t xml:space="preserve">2015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 </w:t>
      </w:r>
      <w:r>
        <w:t xml:space="preserve">(1), 98–110.</w:t>
      </w:r>
    </w:p>
    <w:bookmarkEnd w:id="48"/>
    <w:bookmarkStart w:id="50" w:name="ref-2016am"/>
    <w:p>
      <w:pPr>
        <w:pStyle w:val="189"/>
      </w:pPr>
      <w:r>
        <w:t xml:space="preserve">(13)</w:t>
      </w:r>
      <w:r>
        <w:t xml:space="preserve"> </w:t>
      </w:r>
      <w:r>
        <w:t xml:space="preserve">	</w:t>
      </w:r>
      <w:r>
        <w:t xml:space="preserve">Ruttkies, C.; Schymanski, E. L.; Wolf, S.; Hollender, J.; Neumann, S.</w:t>
      </w:r>
      <w:r>
        <w:t xml:space="preserve"> </w:t>
      </w:r>
      <w:hyperlink r:id="rId49">
        <w:r>
          <w:rPr>
            <w:rStyle w:val="24"/>
          </w:rPr>
          <w:t xml:space="preserve">MetFrag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Relaunched: Incorporating Strategies Beyond in Silico Fragmentation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Cheminformatics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, 3.</w:t>
      </w:r>
    </w:p>
    <w:bookmarkEnd w:id="50"/>
    <w:bookmarkStart w:id="52" w:name="ref-2017aq"/>
    <w:p>
      <w:pPr>
        <w:pStyle w:val="189"/>
      </w:pPr>
      <w:r>
        <w:t xml:space="preserve">(14)</w:t>
      </w:r>
      <w:r>
        <w:t xml:space="preserve"> </w:t>
      </w:r>
      <w:r>
        <w:t xml:space="preserve">	</w:t>
      </w:r>
      <w:r>
        <w:t xml:space="preserve">Blaženović, I.; Kind, T.; Torbašinović, H.; Obrenović, S.; Mehta, S. S.; Tsugawa, H.; Wermuth, T.; Schauer, N.; Jahn, M.; Biedendieck, R.; Jahn, D.; Fiehn, O.</w:t>
      </w:r>
      <w:r>
        <w:t xml:space="preserve"> </w:t>
      </w:r>
      <w:hyperlink r:id="rId51">
        <w:r>
          <w:rPr>
            <w:rStyle w:val="24"/>
          </w:rPr>
          <w:t xml:space="preserve">Comprehensive Comparison of in Silico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MS</w:t>
        </w:r>
        <w:r>
          <w:rPr>
            <w:rStyle w:val="24"/>
          </w:rPr>
          <w:t xml:space="preserve">/</w:t>
        </w:r>
        <w:r>
          <w:rPr>
            <w:rStyle w:val="24"/>
          </w:rPr>
          <w:t xml:space="preserve">MS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Fragmentation Tools of the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CASMI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Contest: Database Boosting Is Needed to Achieve 93% Accuracy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Cheminformatics</w:t>
      </w:r>
      <w:r>
        <w:t xml:space="preserve"> </w:t>
      </w:r>
      <w:r>
        <w:rPr>
          <w:bCs/>
          <w:b/>
        </w:rPr>
        <w:t xml:space="preserve">2017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 </w:t>
      </w:r>
      <w:r>
        <w:t xml:space="preserve">(1), 32.</w:t>
      </w:r>
    </w:p>
    <w:bookmarkEnd w:id="52"/>
    <w:bookmarkStart w:id="54" w:name="ref-2013w"/>
    <w:p>
      <w:pPr>
        <w:pStyle w:val="189"/>
      </w:pPr>
      <w:r>
        <w:t xml:space="preserve">(15)</w:t>
      </w:r>
      <w:r>
        <w:t xml:space="preserve"> </w:t>
      </w:r>
      <w:r>
        <w:t xml:space="preserve">	</w:t>
      </w:r>
      <w:r>
        <w:t xml:space="preserve">Kind, T.; Liu, K.-H.; Lee, D. Y.; DeFelice, B.; Meissen, J. K.; Fiehn, O.</w:t>
      </w:r>
      <w:r>
        <w:t xml:space="preserve"> </w:t>
      </w:r>
      <w:hyperlink r:id="rId53">
        <w:r>
          <w:rPr>
            <w:rStyle w:val="24"/>
          </w:rPr>
          <w:t xml:space="preserve">LipidBlast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in Silico Tandem Mass Spectrometry Database for Lipid Identification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rPr>
          <w:bCs/>
          <w:b/>
        </w:rPr>
        <w:t xml:space="preserve">2013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 </w:t>
      </w:r>
      <w:r>
        <w:t xml:space="preserve">(8), 755–758.</w:t>
      </w:r>
    </w:p>
    <w:bookmarkEnd w:id="54"/>
    <w:bookmarkStart w:id="55" w:name="ref-duhrkop_searching_2015"/>
    <w:p>
      <w:pPr>
        <w:pStyle w:val="189"/>
      </w:pPr>
      <w:r>
        <w:t xml:space="preserve">(16)</w:t>
      </w:r>
      <w:r>
        <w:t xml:space="preserve"> </w:t>
      </w:r>
      <w:r>
        <w:t xml:space="preserve">	</w:t>
      </w:r>
      <w:r>
        <w:t xml:space="preserve">Dührkop, K.; Shen, H.; Meusel, M.; Rousu, J.; Böcker, S. Searching Molecular Structure Databases with Tandem Mass Spectra Using</w:t>
      </w:r>
      <w:r>
        <w:t xml:space="preserve"> </w:t>
      </w:r>
      <w:r>
        <w:t xml:space="preserve">CSI</w:t>
      </w:r>
      <w:r>
        <w:t xml:space="preserve">:</w:t>
      </w:r>
      <w:r>
        <w:t xml:space="preserve">FingerID</w:t>
      </w:r>
      <w:r>
        <w:t xml:space="preserve">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2015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 </w:t>
      </w:r>
      <w:r>
        <w:t xml:space="preserve">(41), 12580–12585.</w:t>
      </w:r>
    </w:p>
    <w:bookmarkEnd w:id="55"/>
    <w:bookmarkStart w:id="57" w:name="ref-2018ay"/>
    <w:p>
      <w:pPr>
        <w:pStyle w:val="189"/>
      </w:pPr>
      <w:r>
        <w:t xml:space="preserve">(17)</w:t>
      </w:r>
      <w:r>
        <w:t xml:space="preserve"> </w:t>
      </w:r>
      <w:r>
        <w:t xml:space="preserve">	</w:t>
      </w:r>
      <w:r>
        <w:t xml:space="preserve">Ludwig, M.; Dührkop, K.; Böcker, S.</w:t>
      </w:r>
      <w:r>
        <w:t xml:space="preserve"> </w:t>
      </w:r>
      <w:hyperlink r:id="rId56">
        <w:r>
          <w:rPr>
            <w:rStyle w:val="24"/>
          </w:rPr>
          <w:t xml:space="preserve">Bayesian Networks for Mass Spectrometric Metabolite Identification via Molecular Fingerprints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Bioinformatics (Oxford, England)</w:t>
      </w:r>
      <w:r>
        <w:t xml:space="preserve"> </w:t>
      </w:r>
      <w:r>
        <w:rPr>
          <w:bCs/>
          <w:b/>
        </w:rPr>
        <w:t xml:space="preserve">2018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 </w:t>
      </w:r>
      <w:r>
        <w:t xml:space="preserve">(13), i333–i340.</w:t>
      </w:r>
    </w:p>
    <w:bookmarkEnd w:id="57"/>
    <w:bookmarkStart w:id="58" w:name="ref-duhrkop_sirius_2019"/>
    <w:p>
      <w:pPr>
        <w:pStyle w:val="189"/>
      </w:pPr>
      <w:r>
        <w:t xml:space="preserve">(18)</w:t>
      </w:r>
      <w:r>
        <w:t xml:space="preserve"> </w:t>
      </w:r>
      <w:r>
        <w:t xml:space="preserve">	</w:t>
      </w:r>
      <w:r>
        <w:t xml:space="preserve">Dührkop, K.; Fleischauer, M.; Ludwig, M.; Aksenov, A. A.; Melnik, A. V.; Meusel, M.; Dorrestein, P. C.; Rousu, J.; Böcker, S.</w:t>
      </w:r>
      <w:r>
        <w:t xml:space="preserve"> </w:t>
      </w:r>
      <w:r>
        <w:t xml:space="preserve">SIRIUS</w:t>
      </w:r>
      <w:r>
        <w:t xml:space="preserve"> </w:t>
      </w:r>
      <w:r>
        <w:t xml:space="preserve">4: A Rapid Tool for Turning Tandem Mass Spectra into Metabolite Structure Information.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 </w:t>
      </w:r>
      <w:r>
        <w:t xml:space="preserve">(4), 299–302.</w:t>
      </w:r>
    </w:p>
    <w:bookmarkEnd w:id="58"/>
    <w:bookmarkStart w:id="60" w:name="ref-2019bt"/>
    <w:p>
      <w:pPr>
        <w:pStyle w:val="189"/>
      </w:pPr>
      <w:r>
        <w:t xml:space="preserve">(19)</w:t>
      </w:r>
      <w:r>
        <w:t xml:space="preserve"> </w:t>
      </w:r>
      <w:r>
        <w:t xml:space="preserve">	</w:t>
      </w:r>
      <w:r>
        <w:t xml:space="preserve">Blaženović, I.; Kind, T.; Sa, M. R.; Ji, J.; Vaniya, A.; Wancewicz, B.; Roberts, B. S.; Torbašinović, H.; Lee, T.; Mehta, S. S.; Showalter, M. R.; Song, H.; Kwok, J.; Jahn, D.; Kim, J.; Fiehn, O.</w:t>
      </w:r>
      <w:r>
        <w:t xml:space="preserve"> </w:t>
      </w:r>
      <w:hyperlink r:id="rId59">
        <w:r>
          <w:rPr>
            <w:rStyle w:val="24"/>
          </w:rPr>
          <w:t xml:space="preserve">Structure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Annotation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of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All Mass Spectra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in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Untargeted Metabolomics</w:t>
        </w:r>
        <w:r>
          <w:rPr>
            <w:rStyle w:val="24"/>
          </w:rPr>
          <w:t xml:space="preserve">.</w:t>
        </w:r>
      </w:hyperlink>
      <w:r>
        <w:t xml:space="preserve"> </w:t>
      </w:r>
      <w:r>
        <w:rPr>
          <w:iCs/>
          <w:i/>
        </w:rPr>
        <w:t xml:space="preserve">Analytical chemistry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91</w:t>
      </w:r>
      <w:r>
        <w:t xml:space="preserve"> </w:t>
      </w:r>
      <w:r>
        <w:t xml:space="preserve">(3), 2155–2162.</w:t>
      </w:r>
    </w:p>
    <w:bookmarkEnd w:id="60"/>
    <w:bookmarkStart w:id="62" w:name="ref-2019bs"/>
    <w:p>
      <w:pPr>
        <w:pStyle w:val="189"/>
      </w:pPr>
      <w:r>
        <w:t xml:space="preserve">(20)</w:t>
      </w:r>
      <w:r>
        <w:t xml:space="preserve"> </w:t>
      </w:r>
      <w:r>
        <w:t xml:space="preserve">	</w:t>
      </w:r>
      <w:r>
        <w:t xml:space="preserve">Lee, J.; da Silva, R. R.; Jang, H. S.; Kim, H. W.; Kwon, Y. S.; Kim, J.-H.; Yang, H.</w:t>
      </w:r>
      <w:r>
        <w:t xml:space="preserve"> </w:t>
      </w:r>
      <w:hyperlink r:id="rId61">
        <w:r>
          <w:rPr>
            <w:rStyle w:val="24"/>
          </w:rPr>
          <w:t xml:space="preserve">In Silico Annotation of Discriminative Markers of Three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Zanthoxylum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Species Using Molecular Network Derived Annotation Propagation.</w:t>
        </w:r>
      </w:hyperlink>
      <w:r>
        <w:t xml:space="preserve"> </w:t>
      </w:r>
      <w:r>
        <w:rPr>
          <w:iCs/>
          <w:i/>
        </w:rPr>
        <w:t xml:space="preserve">Food chemistry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295</w:t>
      </w:r>
      <w:r>
        <w:t xml:space="preserve">, 368–376.</w:t>
      </w:r>
    </w:p>
    <w:bookmarkEnd w:id="62"/>
    <w:bookmarkStart w:id="64" w:name="ref-2019bq"/>
    <w:p>
      <w:pPr>
        <w:pStyle w:val="189"/>
      </w:pPr>
      <w:r>
        <w:t xml:space="preserve">(21)</w:t>
      </w:r>
      <w:r>
        <w:t xml:space="preserve"> </w:t>
      </w:r>
      <w:r>
        <w:t xml:space="preserve">	</w:t>
      </w:r>
      <w:r>
        <w:t xml:space="preserve">Sha, B.; Schymanski, E. L.; Ruttkies, C.; Cousins, I. T.; Wang, Z.</w:t>
      </w:r>
      <w:r>
        <w:t xml:space="preserve"> </w:t>
      </w:r>
      <w:hyperlink r:id="rId63">
        <w:r>
          <w:rPr>
            <w:rStyle w:val="24"/>
          </w:rPr>
          <w:t xml:space="preserve">Exploring Open Cheminformatics Approaches for Categorizing Per- and Polyfluoroalkyl Substances (</w:t>
        </w:r>
        <w:r>
          <w:rPr>
            <w:rStyle w:val="24"/>
          </w:rPr>
          <w:t xml:space="preserve">PFASs</w:t>
        </w:r>
        <w:r>
          <w:rPr>
            <w:rStyle w:val="24"/>
          </w:rPr>
          <w:t xml:space="preserve">).</w:t>
        </w:r>
      </w:hyperlink>
      <w:r>
        <w:t xml:space="preserve"> </w:t>
      </w:r>
      <w:r>
        <w:rPr>
          <w:iCs/>
          <w:i/>
        </w:rPr>
        <w:t xml:space="preserve">Environmental science. Processes &amp; impacts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21</w:t>
      </w:r>
      <w:r>
        <w:t xml:space="preserve"> </w:t>
      </w:r>
      <w:r>
        <w:t xml:space="preserve">(11), 1835–1851.</w:t>
      </w:r>
    </w:p>
    <w:bookmarkEnd w:id="64"/>
    <w:bookmarkStart w:id="65" w:name="ref-2021b"/>
    <w:p>
      <w:pPr>
        <w:pStyle w:val="189"/>
      </w:pPr>
      <w:r>
        <w:t xml:space="preserve">(22)</w:t>
      </w:r>
      <w:r>
        <w:t xml:space="preserve"> </w:t>
      </w:r>
      <w:r>
        <w:t xml:space="preserve">	</w:t>
      </w:r>
      <w:r>
        <w:t xml:space="preserve">Tripathi, A.; Vázquez-Baeza, Y.; Gauglitz, J. M.; Wang, M.; Dührkop, K.; Nothias-Esposito, M.; Acharya, D. D.; Ernst, M.; van der Hooft, J. J. J.; Zhu, Q.; McDonald, D.; Brejnrod, A. D.; Gonzalez, A.; Handelsman, J.; Fleischauer, M.; Ludwig, M.; Böcker, S.; Nothias, L.-F.; Knight, R.; Dorrestein, P. C. Chemically Informed Analyses of Metabolomics Mass Spectrometry Data with</w:t>
      </w:r>
      <w:r>
        <w:t xml:space="preserve"> </w:t>
      </w:r>
      <w:r>
        <w:t xml:space="preserve">Qemistree</w:t>
      </w:r>
      <w:r>
        <w:t xml:space="preserve">.</w:t>
      </w:r>
      <w:r>
        <w:t xml:space="preserve"> </w:t>
      </w:r>
      <w:r>
        <w:rPr>
          <w:iCs/>
          <w:i/>
        </w:rPr>
        <w:t xml:space="preserve">Nature Chemical Biology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 </w:t>
      </w:r>
      <w:r>
        <w:t xml:space="preserve">(2), 146–151.</w:t>
      </w:r>
    </w:p>
    <w:bookmarkEnd w:id="65"/>
    <w:bookmarkStart w:id="66" w:name="ref-2012a"/>
    <w:p>
      <w:pPr>
        <w:pStyle w:val="189"/>
      </w:pPr>
      <w:r>
        <w:t xml:space="preserve">(23)</w:t>
      </w:r>
      <w:r>
        <w:t xml:space="preserve"> </w:t>
      </w:r>
      <w:r>
        <w:t xml:space="preserve">	</w:t>
      </w:r>
      <w:r>
        <w:t xml:space="preserve">Watrous, J.; Roach, P.; Alexandrov, T.; Heath, B. S.; Yang, J. Y.; Kersten, R. D.; van der Voort, M.; Pogliano, K.; Gross, H.; Raaijmakers, J. M.; Moore, B. S.; Laskin, J.; Bandeira, N.; Dorrestein, P. C. Mass Spectral Molecular Networking of Living Microbial Colonies.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2012</w:t>
      </w:r>
      <w:r>
        <w:t xml:space="preserve">,</w:t>
      </w:r>
      <w:r>
        <w:t xml:space="preserve"> </w:t>
      </w:r>
      <w:r>
        <w:rPr>
          <w:iCs/>
          <w:i/>
        </w:rPr>
        <w:t xml:space="preserve">109</w:t>
      </w:r>
      <w:r>
        <w:t xml:space="preserve"> </w:t>
      </w:r>
      <w:r>
        <w:t xml:space="preserve">(26), E1743–E1752.</w:t>
      </w:r>
    </w:p>
    <w:bookmarkEnd w:id="66"/>
    <w:bookmarkStart w:id="68" w:name="ref-2016aq"/>
    <w:p>
      <w:pPr>
        <w:pStyle w:val="189"/>
      </w:pPr>
      <w:r>
        <w:t xml:space="preserve">(24)</w:t>
      </w:r>
      <w:r>
        <w:t xml:space="preserve"> </w:t>
      </w:r>
      <w:r>
        <w:t xml:space="preserve">	</w:t>
      </w:r>
      <w:r>
        <w:t xml:space="preserve">Wishart, D. S.</w:t>
      </w:r>
      <w:r>
        <w:t xml:space="preserve"> </w:t>
      </w:r>
      <w:hyperlink r:id="rId67">
        <w:r>
          <w:rPr>
            <w:rStyle w:val="24"/>
          </w:rPr>
          <w:t xml:space="preserve">Emerging Applications of Metabolomics in Drug Discovery and Precision Medicine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Reviews. Drug Discovery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 </w:t>
      </w:r>
      <w:r>
        <w:t xml:space="preserve">(7), 473–484.</w:t>
      </w:r>
    </w:p>
    <w:bookmarkEnd w:id="68"/>
    <w:bookmarkStart w:id="70" w:name="ref-2016ar"/>
    <w:p>
      <w:pPr>
        <w:pStyle w:val="189"/>
      </w:pPr>
      <w:r>
        <w:t xml:space="preserve">(25)</w:t>
      </w:r>
      <w:r>
        <w:t xml:space="preserve"> </w:t>
      </w:r>
      <w:r>
        <w:t xml:space="preserve">	</w:t>
      </w:r>
      <w:r>
        <w:t xml:space="preserve">Guma, M.; Tiziani, S.; Firestein, G. S.</w:t>
      </w:r>
      <w:r>
        <w:t xml:space="preserve"> </w:t>
      </w:r>
      <w:hyperlink r:id="rId69">
        <w:r>
          <w:rPr>
            <w:rStyle w:val="24"/>
          </w:rPr>
          <w:t xml:space="preserve">Metabolomics in Rheumatic Diseases: Desperately Seeking Biomarkers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Reviews. Rheumatology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 </w:t>
      </w:r>
      <w:r>
        <w:t xml:space="preserve">(5), 269–281.</w:t>
      </w:r>
    </w:p>
    <w:bookmarkEnd w:id="70"/>
    <w:bookmarkStart w:id="72" w:name="ref-2019bv"/>
    <w:p>
      <w:pPr>
        <w:pStyle w:val="189"/>
      </w:pPr>
      <w:r>
        <w:t xml:space="preserve">(26)</w:t>
      </w:r>
      <w:r>
        <w:t xml:space="preserve"> </w:t>
      </w:r>
      <w:r>
        <w:t xml:space="preserve">	</w:t>
      </w:r>
      <w:r>
        <w:t xml:space="preserve">Degenhardt, F.; Seifert, S.; Szymczak, S.</w:t>
      </w:r>
      <w:r>
        <w:t xml:space="preserve"> </w:t>
      </w:r>
      <w:hyperlink r:id="rId71">
        <w:r>
          <w:rPr>
            <w:rStyle w:val="24"/>
          </w:rPr>
          <w:t xml:space="preserve">Evaluation of Variable Selection Methods for Random Forests and Omics Data Sets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Briefings in Bioinformatics</w:t>
      </w:r>
      <w:r>
        <w:t xml:space="preserve"> </w:t>
      </w:r>
      <w:r>
        <w:rPr>
          <w:bCs/>
          <w:b/>
        </w:rPr>
        <w:t xml:space="preserve">2019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 </w:t>
      </w:r>
      <w:r>
        <w:t xml:space="preserve">(2), 492–503.</w:t>
      </w:r>
    </w:p>
    <w:bookmarkEnd w:id="72"/>
    <w:bookmarkStart w:id="73" w:name="ref-2017i"/>
    <w:p>
      <w:pPr>
        <w:pStyle w:val="189"/>
      </w:pPr>
      <w:r>
        <w:t xml:space="preserve">(27)</w:t>
      </w:r>
      <w:r>
        <w:t xml:space="preserve"> </w:t>
      </w:r>
      <w:r>
        <w:t xml:space="preserve">	</w:t>
      </w:r>
      <w:r>
        <w:t xml:space="preserve">Neumann, U.; Genze, N.; Heider, D.</w:t>
      </w:r>
      <w:r>
        <w:t xml:space="preserve"> </w:t>
      </w:r>
      <w:r>
        <w:t xml:space="preserve">EFS</w:t>
      </w:r>
      <w:r>
        <w:t xml:space="preserve">: An Ensemble Feature Selection Tool Implemented as</w:t>
      </w:r>
      <w:r>
        <w:t xml:space="preserve"> </w:t>
      </w:r>
      <w:r>
        <w:t xml:space="preserve">R-package</w:t>
      </w:r>
      <w:r>
        <w:t xml:space="preserve"> </w:t>
      </w:r>
      <w:r>
        <w:t xml:space="preserve">and Web-Application.</w:t>
      </w:r>
      <w:r>
        <w:t xml:space="preserve"> </w:t>
      </w:r>
      <w:r>
        <w:rPr>
          <w:iCs/>
          <w:i/>
        </w:rPr>
        <w:t xml:space="preserve">BioData Mining</w:t>
      </w:r>
      <w:r>
        <w:t xml:space="preserve"> </w:t>
      </w:r>
      <w:r>
        <w:rPr>
          <w:bCs/>
          <w:b/>
        </w:rPr>
        <w:t xml:space="preserve">2017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 </w:t>
      </w:r>
      <w:r>
        <w:t xml:space="preserve">(1), 21.</w:t>
      </w:r>
    </w:p>
    <w:bookmarkEnd w:id="73"/>
    <w:bookmarkStart w:id="74" w:name="ref-duhrkop_systematic_2021"/>
    <w:p>
      <w:pPr>
        <w:pStyle w:val="189"/>
      </w:pPr>
      <w:r>
        <w:t xml:space="preserve">(28)</w:t>
      </w:r>
      <w:r>
        <w:t xml:space="preserve"> </w:t>
      </w:r>
      <w:r>
        <w:t xml:space="preserve">	</w:t>
      </w:r>
      <w:r>
        <w:t xml:space="preserve">Dührkop, K.; Nothias, L.-F.; Fleischauer, M.; Reher, R.; Ludwig, M.; Hoffmann, M. A.; Petras, D.; Gerwick, W. H.; Rousu, J.; Dorrestein, P. C.; Böcker, S. Systematic Classification of Unknown Metabolites Using High-Resolution Fragmentation Mass Spectra.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39</w:t>
      </w:r>
      <w:r>
        <w:t xml:space="preserve"> </w:t>
      </w:r>
      <w:r>
        <w:t xml:space="preserve">(4), 462–471.</w:t>
      </w:r>
    </w:p>
    <w:bookmarkEnd w:id="74"/>
    <w:bookmarkStart w:id="75" w:name="ref-2016"/>
    <w:p>
      <w:pPr>
        <w:pStyle w:val="189"/>
      </w:pPr>
      <w:r>
        <w:t xml:space="preserve">(29)</w:t>
      </w:r>
      <w:r>
        <w:t xml:space="preserve"> </w:t>
      </w:r>
      <w:r>
        <w:t xml:space="preserve">	</w:t>
      </w:r>
      <w:r>
        <w:t xml:space="preserve">Djoumbou Feunang, Y.; Eisner, R.; Knox, C.; Chepelev, L.; Hastings, J.; Owen, G.; Fahy, E.; Steinbeck, C.; Subramanian, S.; Bolton, E.; Greiner, R.; Wishart, D. S.</w:t>
      </w:r>
      <w:r>
        <w:t xml:space="preserve"> </w:t>
      </w:r>
      <w:r>
        <w:t xml:space="preserve">ClassyFire</w:t>
      </w:r>
      <w:r>
        <w:t xml:space="preserve">: Automated Chemical Classification with a Comprehensive, Computable Taxonomy.</w:t>
      </w:r>
      <w:r>
        <w:t xml:space="preserve"> </w:t>
      </w:r>
      <w:r>
        <w:rPr>
          <w:iCs/>
          <w:i/>
        </w:rPr>
        <w:t xml:space="preserve">Journal of Cheminformatics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 </w:t>
      </w:r>
      <w:r>
        <w:t xml:space="preserve">(1), 61.</w:t>
      </w:r>
    </w:p>
    <w:bookmarkEnd w:id="75"/>
    <w:bookmarkStart w:id="76" w:name="ref-bocker_sirius_2009"/>
    <w:p>
      <w:pPr>
        <w:pStyle w:val="189"/>
      </w:pPr>
      <w:r>
        <w:t xml:space="preserve">(30)</w:t>
      </w:r>
      <w:r>
        <w:t xml:space="preserve"> </w:t>
      </w:r>
      <w:r>
        <w:t xml:space="preserve">	</w:t>
      </w:r>
      <w:r>
        <w:t xml:space="preserve">Böcker, S.; Letzel, M. C.; Lipták, Z.; Pervukhin, A.</w:t>
      </w:r>
      <w:r>
        <w:t xml:space="preserve"> </w:t>
      </w:r>
      <w:r>
        <w:t xml:space="preserve">SIRIUS</w:t>
      </w:r>
      <w:r>
        <w:t xml:space="preserve">: Decomposing Isotope Patterns for Metabolite Identification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2009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 </w:t>
      </w:r>
      <w:r>
        <w:t xml:space="preserve">(2), 218–224.</w:t>
      </w:r>
    </w:p>
    <w:bookmarkEnd w:id="76"/>
    <w:bookmarkStart w:id="77" w:name="ref-2015"/>
    <w:p>
      <w:pPr>
        <w:pStyle w:val="189"/>
      </w:pPr>
      <w:r>
        <w:t xml:space="preserve">(31)</w:t>
      </w:r>
      <w:r>
        <w:t xml:space="preserve"> </w:t>
      </w:r>
      <w:r>
        <w:t xml:space="preserve">	</w:t>
      </w:r>
      <w:r>
        <w:t xml:space="preserve">Dührkop, K.; Böcker, S. Fragmentation</w:t>
      </w:r>
      <w:r>
        <w:t xml:space="preserve"> </w:t>
      </w:r>
      <w:r>
        <w:t xml:space="preserve">Trees Reloaded</w:t>
      </w:r>
      <w:r>
        <w:t xml:space="preserve">. In</w:t>
      </w:r>
      <w:r>
        <w:t xml:space="preserve"> </w:t>
      </w:r>
      <w:r>
        <w:rPr>
          <w:iCs/>
          <w:i/>
        </w:rPr>
        <w:t xml:space="preserve">Research in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Molecular Biology</w:t>
      </w:r>
      <w:r>
        <w:t xml:space="preserve">; Przytycka, T. M., Ed.;</w:t>
      </w:r>
      <w:r>
        <w:t xml:space="preserve"> </w:t>
      </w:r>
      <w:r>
        <w:t xml:space="preserve">Springer International Publishing</w:t>
      </w:r>
      <w:r>
        <w:t xml:space="preserve">:</w:t>
      </w:r>
      <w:r>
        <w:t xml:space="preserve"> </w:t>
      </w:r>
      <w:r>
        <w:t xml:space="preserve">Cham</w:t>
      </w:r>
      <w:r>
        <w:t xml:space="preserve">, 2015; Vol. 9029, pp 65–79.</w:t>
      </w:r>
    </w:p>
    <w:bookmarkEnd w:id="77"/>
    <w:bookmarkStart w:id="78" w:name="ref-ludwig_database-independent_2020"/>
    <w:p>
      <w:pPr>
        <w:pStyle w:val="189"/>
      </w:pPr>
      <w:r>
        <w:t xml:space="preserve">(32)</w:t>
      </w:r>
      <w:r>
        <w:t xml:space="preserve"> </w:t>
      </w:r>
      <w:r>
        <w:t xml:space="preserve">	</w:t>
      </w:r>
      <w:r>
        <w:t xml:space="preserve">Ludwig, M.; Nothias, L.-F.; Dührkop, K.; Koester, I.; Fleischauer, M.; Hoffmann, M. A.; Petras, D.; Vargas, F.; Morsy, M.; Aluwihare, L.; Dorrestein, P. C.; Böcker, S. Database-Independent Molecular Formula Annotation Using</w:t>
      </w:r>
      <w:r>
        <w:t xml:space="preserve"> </w:t>
      </w:r>
      <w:r>
        <w:t xml:space="preserve">Gibbs</w:t>
      </w:r>
      <w:r>
        <w:t xml:space="preserve"> </w:t>
      </w:r>
      <w:r>
        <w:t xml:space="preserve">Sampling Through</w:t>
      </w:r>
      <w:r>
        <w:t xml:space="preserve"> </w:t>
      </w:r>
      <w:r>
        <w:t xml:space="preserve">ZODIAC</w:t>
      </w:r>
      <w:r>
        <w:t xml:space="preserve">.</w:t>
      </w:r>
      <w:r>
        <w:t xml:space="preserve"> </w:t>
      </w:r>
      <w:r>
        <w:rPr>
          <w:iCs/>
          <w:i/>
        </w:rPr>
        <w:t xml:space="preserve">Nature Machine Intelligence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t xml:space="preserve">(10), 629–641.</w:t>
      </w:r>
    </w:p>
    <w:bookmarkEnd w:id="78"/>
    <w:bookmarkStart w:id="79" w:name="ref-2021"/>
    <w:p>
      <w:pPr>
        <w:pStyle w:val="189"/>
      </w:pPr>
      <w:r>
        <w:t xml:space="preserve">(33)</w:t>
      </w:r>
      <w:r>
        <w:t xml:space="preserve"> </w:t>
      </w:r>
      <w:r>
        <w:t xml:space="preserve">	</w:t>
      </w:r>
      <w:r>
        <w:t xml:space="preserve">Hoffmann, M. A.; Nothias, L.-F.; Ludwig, M.; Fleischauer, M.; Gentry, E. C.; Witting, M.; Dorrestein, P. C.; Dührkop, K.; Böcker, S. High-Confidence Structural Annotation of Metabolites Absent from Spectral Libraries.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</w:p>
    <w:bookmarkEnd w:id="79"/>
    <w:bookmarkStart w:id="80" w:name="ref-2007j"/>
    <w:p>
      <w:pPr>
        <w:pStyle w:val="189"/>
      </w:pPr>
      <w:r>
        <w:t xml:space="preserve">(34)</w:t>
      </w:r>
      <w:r>
        <w:t xml:space="preserve"> </w:t>
      </w:r>
      <w:r>
        <w:t xml:space="preserve">	</w:t>
      </w:r>
      <w:r>
        <w:t xml:space="preserve">Guha, R. Chemical Informatics Functionality in</w:t>
      </w:r>
      <w:r>
        <w:t xml:space="preserve"> </w:t>
      </w:r>
      <w:r>
        <w:t xml:space="preserve">R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rPr>
          <w:bCs/>
          <w:b/>
        </w:rPr>
        <w:t xml:space="preserve">2007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 </w:t>
      </w:r>
      <w:r>
        <w:t xml:space="preserve">(6).</w:t>
      </w:r>
    </w:p>
    <w:bookmarkEnd w:id="80"/>
    <w:bookmarkStart w:id="81" w:name="ref-2022ak"/>
    <w:p>
      <w:pPr>
        <w:pStyle w:val="189"/>
      </w:pPr>
      <w:r>
        <w:t xml:space="preserve">(35)</w:t>
      </w:r>
      <w:r>
        <w:t xml:space="preserve"> </w:t>
      </w:r>
      <w:r>
        <w:t xml:space="preserve">	</w:t>
      </w:r>
      <w:r>
        <w:t xml:space="preserve">Temple Lang, D.</w:t>
      </w:r>
      <w:r>
        <w:t xml:space="preserve"> </w:t>
      </w:r>
      <w:r>
        <w:rPr>
          <w:iCs/>
          <w:i/>
        </w:rPr>
        <w:t xml:space="preserve">RCurl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General</w:t>
      </w:r>
      <w:r>
        <w:rPr>
          <w:iCs/>
          <w:i/>
        </w:rPr>
        <w:t xml:space="preserve"> </w:t>
      </w:r>
      <w:r>
        <w:rPr>
          <w:iCs/>
          <w:i/>
        </w:rPr>
        <w:t xml:space="preserve">Network (</w:t>
      </w:r>
      <w:r>
        <w:rPr>
          <w:iCs/>
          <w:i/>
        </w:rPr>
        <w:t xml:space="preserve">HTTP</w:t>
      </w:r>
      <w:r>
        <w:rPr>
          <w:iCs/>
          <w:i/>
        </w:rPr>
        <w:t xml:space="preserve">/</w:t>
      </w:r>
      <w:r>
        <w:rPr>
          <w:iCs/>
          <w:i/>
        </w:rPr>
        <w:t xml:space="preserve">FTP</w:t>
      </w:r>
      <w:r>
        <w:rPr>
          <w:iCs/>
          <w:i/>
        </w:rPr>
        <w:t xml:space="preserve">/...) Client Interface for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t xml:space="preserve">; 2022.</w:t>
      </w:r>
    </w:p>
    <w:bookmarkEnd w:id="81"/>
    <w:bookmarkStart w:id="82" w:name="ref-2012e"/>
    <w:p>
      <w:pPr>
        <w:pStyle w:val="189"/>
      </w:pPr>
      <w:r>
        <w:t xml:space="preserve">(36)</w:t>
      </w:r>
      <w:r>
        <w:t xml:space="preserve"> </w:t>
      </w:r>
      <w:r>
        <w:t xml:space="preserve">	</w:t>
      </w:r>
      <w:r>
        <w:t xml:space="preserve">Pletnev, I.; Erin, A.; McNaught, A.; Blinov, K.; Tchekhovskoi, D.; Heller, S.</w:t>
      </w:r>
      <w:r>
        <w:t xml:space="preserve"> </w:t>
      </w:r>
      <w:r>
        <w:t xml:space="preserve">InChIKey</w:t>
      </w:r>
      <w:r>
        <w:t xml:space="preserve"> </w:t>
      </w:r>
      <w:r>
        <w:t xml:space="preserve">Collision Resistance: An Experimental Testing.</w:t>
      </w:r>
      <w:r>
        <w:t xml:space="preserve"> </w:t>
      </w:r>
      <w:r>
        <w:rPr>
          <w:iCs/>
          <w:i/>
        </w:rPr>
        <w:t xml:space="preserve">Journal of Cheminformatics</w:t>
      </w:r>
      <w:r>
        <w:t xml:space="preserve"> </w:t>
      </w:r>
      <w:r>
        <w:rPr>
          <w:bCs/>
          <w:b/>
        </w:rPr>
        <w:t xml:space="preserve">2012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 </w:t>
      </w:r>
      <w:r>
        <w:t xml:space="preserve">(1), 39.</w:t>
      </w:r>
    </w:p>
    <w:bookmarkEnd w:id="82"/>
    <w:bookmarkStart w:id="83" w:name="ref-2020s"/>
    <w:p>
      <w:pPr>
        <w:pStyle w:val="189"/>
      </w:pPr>
      <w:r>
        <w:t xml:space="preserve">(37)</w:t>
      </w:r>
      <w:r>
        <w:t xml:space="preserve"> </w:t>
      </w:r>
      <w:r>
        <w:t xml:space="preserve">	</w:t>
      </w:r>
      <w:r>
        <w:t xml:space="preserve">Wozniak, J. M.; Mills, R. H.; Olson, J.; Caldera, J. R.; Sepich-Poore, G. D.; Carrillo-Terrazas, M.; Tsai, C.-M.; Vargas, F.; Knight, R.; Dorrestein, P. C.; Liu, G. Y.; Nizet, V.; Sakoulas, G.; Rose, W.; Gonzalez, D. J. Mortality</w:t>
      </w:r>
      <w:r>
        <w:t xml:space="preserve"> </w:t>
      </w:r>
      <w:r>
        <w:t xml:space="preserve">Risk Profiling</w:t>
      </w:r>
      <w:r>
        <w:t xml:space="preserve"> </w:t>
      </w:r>
      <w:r>
        <w:t xml:space="preserve">of</w:t>
      </w:r>
      <w:r>
        <w:t xml:space="preserve"> </w:t>
      </w:r>
      <w:r>
        <w:t xml:space="preserve">Staphylococcus</w:t>
      </w:r>
      <w:r>
        <w:t xml:space="preserve"> </w:t>
      </w:r>
      <w:r>
        <w:t xml:space="preserve">Aureus</w:t>
      </w:r>
      <w:r>
        <w:t xml:space="preserve"> </w:t>
      </w:r>
      <w:r>
        <w:t xml:space="preserve">Bacteremia</w:t>
      </w:r>
      <w:r>
        <w:t xml:space="preserve"> </w:t>
      </w:r>
      <w:r>
        <w:t xml:space="preserve">by</w:t>
      </w:r>
      <w:r>
        <w:t xml:space="preserve"> </w:t>
      </w:r>
      <w:r>
        <w:t xml:space="preserve">Multi-omic Serum Analysis Reveals Early Predictive</w:t>
      </w:r>
      <w:r>
        <w:t xml:space="preserve"> </w:t>
      </w:r>
      <w:r>
        <w:t xml:space="preserve">and</w:t>
      </w:r>
      <w:r>
        <w:t xml:space="preserve"> </w:t>
      </w:r>
      <w:r>
        <w:t xml:space="preserve">Pathogenic Signatures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182</w:t>
      </w:r>
      <w:r>
        <w:t xml:space="preserve"> </w:t>
      </w:r>
      <w:r>
        <w:t xml:space="preserve">(5), 1311–1327.e14.</w:t>
      </w:r>
    </w:p>
    <w:bookmarkEnd w:id="83"/>
    <w:bookmarkStart w:id="84" w:name="ref-2021db"/>
    <w:p>
      <w:pPr>
        <w:pStyle w:val="189"/>
      </w:pPr>
      <w:r>
        <w:t xml:space="preserve">(38)</w:t>
      </w:r>
      <w:r>
        <w:t xml:space="preserve"> </w:t>
      </w:r>
      <w:r>
        <w:t xml:space="preserve">	</w:t>
      </w:r>
      <w:r>
        <w:t xml:space="preserve">Chen, Y.-H.; Bi, J.-H.; Xie, M.; Zhang, H.; Shi, Z.-Q.; Guo, H.; Yin, H.-B.; Zhang, J.-N.; Xin, G.-Z.; Song, H.-P. Classification-Based Strategies to Simplify Complex Traditional</w:t>
      </w:r>
      <w:r>
        <w:t xml:space="preserve"> </w:t>
      </w:r>
      <w:r>
        <w:t xml:space="preserve">Chinese</w:t>
      </w:r>
      <w:r>
        <w:t xml:space="preserve"> </w:t>
      </w:r>
      <w:r>
        <w:t xml:space="preserve">Medicine (</w:t>
      </w:r>
      <w:r>
        <w:t xml:space="preserve">TCM</w:t>
      </w:r>
      <w:r>
        <w:t xml:space="preserve">) Researches Through Liquid Chromatography-Mass Spectrometry in the Last Decade (2011</w:t>
      </w:r>
      <w:r>
        <w:t xml:space="preserve">):</w:t>
      </w:r>
      <w:r>
        <w:t xml:space="preserve"> </w:t>
      </w:r>
      <w:r>
        <w:t xml:space="preserve">Theory</w:t>
      </w:r>
      <w:r>
        <w:t xml:space="preserve">, Technical Route and Difficulty.</w:t>
      </w:r>
      <w:r>
        <w:t xml:space="preserve"> </w:t>
      </w:r>
      <w:r>
        <w:rPr>
          <w:iCs/>
          <w:i/>
        </w:rPr>
        <w:t xml:space="preserve">Journal of Chromatography A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1651</w:t>
      </w:r>
      <w:r>
        <w:t xml:space="preserve">, 462307.</w:t>
      </w:r>
    </w:p>
    <w:bookmarkEnd w:id="84"/>
    <w:bookmarkStart w:id="86" w:name="ref-2016at"/>
    <w:p>
      <w:pPr>
        <w:pStyle w:val="189"/>
      </w:pPr>
      <w:r>
        <w:t xml:space="preserve">(39)</w:t>
      </w:r>
      <w:r>
        <w:t xml:space="preserve"> </w:t>
      </w:r>
      <w:r>
        <w:t xml:space="preserve">	</w:t>
      </w:r>
      <w:r>
        <w:t xml:space="preserve">Krautbauer, S.; Eisinger, K.; Wiest, R.; Liebisch, G.; Buechler, C.</w:t>
      </w:r>
      <w:r>
        <w:t xml:space="preserve"> </w:t>
      </w:r>
      <w:hyperlink r:id="rId85">
        <w:r>
          <w:rPr>
            <w:rStyle w:val="24"/>
          </w:rPr>
          <w:t xml:space="preserve">Systemic Saturated Lysophosphatidylcholine Is Associated with Hepatic Function in Patients with Liver Cirrhosis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Prostaglandins &amp; Other Lipid Mediators</w:t>
      </w:r>
      <w:r>
        <w:t xml:space="preserve"> </w:t>
      </w:r>
      <w:r>
        <w:rPr>
          <w:bCs/>
          <w:b/>
        </w:rPr>
        <w:t xml:space="preserve">2016</w:t>
      </w:r>
      <w:r>
        <w:t xml:space="preserve">,</w:t>
      </w:r>
      <w:r>
        <w:t xml:space="preserve"> </w:t>
      </w:r>
      <w:r>
        <w:rPr>
          <w:iCs/>
          <w:i/>
        </w:rPr>
        <w:t xml:space="preserve">124</w:t>
      </w:r>
      <w:r>
        <w:t xml:space="preserve">, 27–33.</w:t>
      </w:r>
    </w:p>
    <w:bookmarkEnd w:id="86"/>
    <w:bookmarkStart w:id="88" w:name="ref-2020cv"/>
    <w:p>
      <w:pPr>
        <w:pStyle w:val="189"/>
      </w:pPr>
      <w:r>
        <w:t xml:space="preserve">(40)</w:t>
      </w:r>
      <w:r>
        <w:t xml:space="preserve"> </w:t>
      </w:r>
      <w:r>
        <w:t xml:space="preserve">	</w:t>
      </w:r>
      <w:r>
        <w:t xml:space="preserve">Knuplez, E.; Marsche, G.</w:t>
      </w:r>
      <w:r>
        <w:t xml:space="preserve"> </w:t>
      </w:r>
      <w:hyperlink r:id="rId87">
        <w:r>
          <w:rPr>
            <w:rStyle w:val="24"/>
          </w:rPr>
          <w:t xml:space="preserve">An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Updated Review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of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Pro-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and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Anti-Inflammatory Properties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of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Plasma Lysophosphatidylcholines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in the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Vascular System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 </w:t>
      </w:r>
      <w:r>
        <w:rPr>
          <w:bCs/>
          <w:b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21</w:t>
      </w:r>
      <w:r>
        <w:t xml:space="preserve"> </w:t>
      </w:r>
      <w:r>
        <w:t xml:space="preserve">(12), E4501.</w:t>
      </w:r>
    </w:p>
    <w:bookmarkEnd w:id="88"/>
    <w:bookmarkStart w:id="90" w:name="ref-2014ao"/>
    <w:p>
      <w:pPr>
        <w:pStyle w:val="189"/>
      </w:pPr>
      <w:r>
        <w:t xml:space="preserve">(41)</w:t>
      </w:r>
      <w:r>
        <w:t xml:space="preserve"> </w:t>
      </w:r>
      <w:r>
        <w:t xml:space="preserve">	</w:t>
      </w:r>
      <w:r>
        <w:t xml:space="preserve">Park, D. W.; Kwak, D. S.; Park, Y. Y.; Chang, Y.; Huh, J. W.; Lim, C.-M.; Koh, Y.; Song, D.-K.; Hong, S.-B.</w:t>
      </w:r>
      <w:r>
        <w:t xml:space="preserve"> </w:t>
      </w:r>
      <w:hyperlink r:id="rId89">
        <w:r>
          <w:rPr>
            <w:rStyle w:val="24"/>
          </w:rPr>
          <w:t xml:space="preserve">Impact of Serial Measurements of Lysophosphatidylcholine on 28-Day Mortality Prediction in Patients Admitted to the Intensive Care Unit with Severe Sepsis or Septic Shock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Critical Care</w:t>
      </w:r>
      <w:r>
        <w:t xml:space="preserve"> </w:t>
      </w:r>
      <w:r>
        <w:rPr>
          <w:bCs/>
          <w:b/>
        </w:rPr>
        <w:t xml:space="preserve">2014</w:t>
      </w:r>
      <w:r>
        <w:t xml:space="preserve">,</w:t>
      </w:r>
      <w:r>
        <w:t xml:space="preserve"> </w:t>
      </w:r>
      <w:r>
        <w:rPr>
          <w:iCs/>
          <w:i/>
        </w:rPr>
        <w:t xml:space="preserve">29</w:t>
      </w:r>
      <w:r>
        <w:t xml:space="preserve"> </w:t>
      </w:r>
      <w:r>
        <w:t xml:space="preserve">(5), 882.e5–11.</w:t>
      </w:r>
    </w:p>
    <w:bookmarkEnd w:id="90"/>
    <w:bookmarkStart w:id="91" w:name="ref-2003n"/>
    <w:p>
      <w:pPr>
        <w:pStyle w:val="189"/>
      </w:pPr>
      <w:r>
        <w:t xml:space="preserve">(42)</w:t>
      </w:r>
      <w:r>
        <w:t xml:space="preserve"> </w:t>
      </w:r>
      <w:r>
        <w:t xml:space="preserve">	</w:t>
      </w:r>
      <w:r>
        <w:t xml:space="preserve">Drobnik, W.; Liebisch, G.; Audebert, F.-X.; Fröhlich, D.; Glück, T.; Vogel, P.; Rothe, G.; Schmitz, G. Plasma Ceramide and Lysophosphatidylcholine Inversely Correlate with Mortality in Sepsis Patients.</w:t>
      </w:r>
      <w:r>
        <w:t xml:space="preserve"> </w:t>
      </w:r>
      <w:r>
        <w:rPr>
          <w:iCs/>
          <w:i/>
        </w:rPr>
        <w:t xml:space="preserve">Journal of Lipid Research</w:t>
      </w:r>
      <w:r>
        <w:t xml:space="preserve"> </w:t>
      </w:r>
      <w:r>
        <w:rPr>
          <w:bCs/>
          <w:b/>
        </w:rPr>
        <w:t xml:space="preserve">2003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 </w:t>
      </w:r>
      <w:r>
        <w:t xml:space="preserve">(4), 754–761.</w:t>
      </w:r>
    </w:p>
    <w:bookmarkEnd w:id="91"/>
    <w:bookmarkStart w:id="93" w:name="ref-2021dg"/>
    <w:p>
      <w:pPr>
        <w:pStyle w:val="189"/>
      </w:pPr>
      <w:r>
        <w:t xml:space="preserve">(43)</w:t>
      </w:r>
      <w:r>
        <w:t xml:space="preserve"> </w:t>
      </w:r>
      <w:r>
        <w:t xml:space="preserve">	</w:t>
      </w:r>
      <w:r>
        <w:t xml:space="preserve">Perino, A.; Demagny, H.; Velazquez-Villegas, L.; Schoonjans, K.</w:t>
      </w:r>
      <w:r>
        <w:t xml:space="preserve"> </w:t>
      </w:r>
      <w:hyperlink r:id="rId92">
        <w:r>
          <w:rPr>
            <w:rStyle w:val="24"/>
          </w:rPr>
          <w:t xml:space="preserve">Molecular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Physiology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of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Bile Acid Signaling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in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Health</w:t>
        </w:r>
        <w:r>
          <w:rPr>
            <w:rStyle w:val="24"/>
          </w:rPr>
          <w:t xml:space="preserve">,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Disease</w:t>
        </w:r>
        <w:r>
          <w:rPr>
            <w:rStyle w:val="24"/>
          </w:rPr>
          <w:t xml:space="preserve">, and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Aging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Physiological Reviews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101</w:t>
      </w:r>
      <w:r>
        <w:t xml:space="preserve"> </w:t>
      </w:r>
      <w:r>
        <w:t xml:space="preserve">(2), 683–731.</w:t>
      </w:r>
    </w:p>
    <w:bookmarkEnd w:id="93"/>
    <w:bookmarkStart w:id="94" w:name="ref-2018bi"/>
    <w:p>
      <w:pPr>
        <w:pStyle w:val="189"/>
      </w:pPr>
      <w:r>
        <w:t xml:space="preserve">(44)</w:t>
      </w:r>
      <w:r>
        <w:t xml:space="preserve"> </w:t>
      </w:r>
      <w:r>
        <w:t xml:space="preserve">	</w:t>
      </w:r>
      <w:r>
        <w:t xml:space="preserve">Melone, M. A. B.; Valentino, A.; Margarucci, S.; Galderisi, U.; Giordano, A.; Peluso, G. The Carnitine System and Cancer Metabolic Plasticity.</w:t>
      </w:r>
      <w:r>
        <w:t xml:space="preserve"> </w:t>
      </w:r>
      <w:r>
        <w:rPr>
          <w:iCs/>
          <w:i/>
        </w:rPr>
        <w:t xml:space="preserve">Cell Death &amp; Disease</w:t>
      </w:r>
      <w:r>
        <w:t xml:space="preserve"> </w:t>
      </w:r>
      <w:r>
        <w:rPr>
          <w:bCs/>
          <w:b/>
        </w:rPr>
        <w:t xml:space="preserve">2018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 </w:t>
      </w:r>
      <w:r>
        <w:t xml:space="preserve">(2), 228.</w:t>
      </w:r>
    </w:p>
    <w:bookmarkEnd w:id="94"/>
    <w:bookmarkStart w:id="96" w:name="ref-2018bd"/>
    <w:p>
      <w:pPr>
        <w:pStyle w:val="189"/>
      </w:pPr>
      <w:r>
        <w:t xml:space="preserve">(45)</w:t>
      </w:r>
      <w:r>
        <w:t xml:space="preserve"> </w:t>
      </w:r>
      <w:r>
        <w:t xml:space="preserve">	</w:t>
      </w:r>
      <w:r>
        <w:t xml:space="preserve">Wang, B.; Tontonoz, P.</w:t>
      </w:r>
      <w:r>
        <w:t xml:space="preserve"> </w:t>
      </w:r>
      <w:hyperlink r:id="rId95">
        <w:r>
          <w:rPr>
            <w:rStyle w:val="24"/>
          </w:rPr>
          <w:t xml:space="preserve">Liver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X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Receptors in Lipid Signalling and Membrane Homeostasis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Reviews. Endocrinology</w:t>
      </w:r>
      <w:r>
        <w:t xml:space="preserve"> </w:t>
      </w:r>
      <w:r>
        <w:rPr>
          <w:bCs/>
          <w:b/>
        </w:rPr>
        <w:t xml:space="preserve">2018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 </w:t>
      </w:r>
      <w:r>
        <w:t xml:space="preserve">(8), 452–463.</w:t>
      </w:r>
    </w:p>
    <w:bookmarkEnd w:id="96"/>
    <w:bookmarkStart w:id="98" w:name="ref-2021di"/>
    <w:p>
      <w:pPr>
        <w:pStyle w:val="189"/>
      </w:pPr>
      <w:r>
        <w:t xml:space="preserve">(46)</w:t>
      </w:r>
      <w:r>
        <w:t xml:space="preserve"> </w:t>
      </w:r>
      <w:r>
        <w:t xml:space="preserve">	</w:t>
      </w:r>
      <w:r>
        <w:t xml:space="preserve">Zhang, Q.; Yao, D.; Rao, B.; Jian, L.; Chen, Y.; Hu, K.; Xia, Y.; Li, S.; Shen, Y.; Qin, A.; Zhao, J.; Zhou, L.; Lei, M.; Jiang, X.-C.; Cao, Y.</w:t>
      </w:r>
      <w:r>
        <w:t xml:space="preserve"> </w:t>
      </w:r>
      <w:hyperlink r:id="rId97">
        <w:r>
          <w:rPr>
            <w:rStyle w:val="24"/>
          </w:rPr>
          <w:t xml:space="preserve">The Structural Basis for the Phospholipid Remodeling by Lysophosphatidylcholine Acyltransferase 3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 </w:t>
      </w:r>
      <w:r>
        <w:t xml:space="preserve">(1), 6869.</w:t>
      </w:r>
    </w:p>
    <w:bookmarkEnd w:id="98"/>
    <w:bookmarkStart w:id="99" w:name="ref-2021n"/>
    <w:p>
      <w:pPr>
        <w:pStyle w:val="189"/>
      </w:pPr>
      <w:r>
        <w:t xml:space="preserve">(47)</w:t>
      </w:r>
      <w:r>
        <w:t xml:space="preserve"> </w:t>
      </w:r>
      <w:r>
        <w:t xml:space="preserve">	</w:t>
      </w:r>
      <w:r>
        <w:t xml:space="preserve">Huang, L.; Lyu, Q.; Zheng, W.; Yang, Q.; Cao, G. Traditional Application and Modern Pharmacological Research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Oliv</w:t>
      </w:r>
      <w:r>
        <w:t xml:space="preserve">.</w:t>
      </w:r>
      <w:r>
        <w:t xml:space="preserve"> </w:t>
      </w:r>
      <w:r>
        <w:rPr>
          <w:iCs/>
          <w:i/>
        </w:rPr>
        <w:t xml:space="preserve">Chinese Medicine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 </w:t>
      </w:r>
      <w:r>
        <w:t xml:space="preserve">(1), 73.</w:t>
      </w:r>
    </w:p>
    <w:bookmarkEnd w:id="99"/>
    <w:bookmarkStart w:id="101" w:name="ref-huang_traditional_2021"/>
    <w:p>
      <w:pPr>
        <w:pStyle w:val="189"/>
      </w:pPr>
      <w:r>
        <w:t xml:space="preserve">(48)</w:t>
      </w:r>
      <w:r>
        <w:t xml:space="preserve"> </w:t>
      </w:r>
      <w:r>
        <w:t xml:space="preserve">	</w:t>
      </w:r>
      <w:r>
        <w:t xml:space="preserve">Huang, L.; Lyu, Q.; Zheng, W.; Yang, Q.; Cao, G.</w:t>
      </w:r>
      <w:r>
        <w:t xml:space="preserve"> </w:t>
      </w:r>
      <w:hyperlink r:id="rId100">
        <w:r>
          <w:rPr>
            <w:rStyle w:val="24"/>
          </w:rPr>
          <w:t xml:space="preserve">Traditional Application and Modern Pharmacological Research of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Eucommia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Ulmoides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Oliv</w:t>
        </w:r>
        <w:r>
          <w:rPr>
            <w:rStyle w:val="24"/>
          </w:rPr>
          <w:t xml:space="preserve">.</w:t>
        </w:r>
      </w:hyperlink>
      <w:r>
        <w:t xml:space="preserve"> </w:t>
      </w:r>
      <w:r>
        <w:rPr>
          <w:iCs/>
          <w:i/>
        </w:rPr>
        <w:t xml:space="preserve">Chinese medicine</w:t>
      </w:r>
      <w:r>
        <w:t xml:space="preserve"> </w:t>
      </w:r>
      <w:r>
        <w:rPr>
          <w:bCs/>
          <w:b/>
        </w:rPr>
        <w:t xml:space="preserve">2021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 </w:t>
      </w:r>
      <w:r>
        <w:t xml:space="preserve">(1), 73.</w:t>
      </w:r>
    </w:p>
    <w:bookmarkEnd w:id="101"/>
    <w:bookmarkStart w:id="103" w:name="ref-2014w"/>
    <w:p>
      <w:pPr>
        <w:pStyle w:val="189"/>
      </w:pPr>
      <w:r>
        <w:t xml:space="preserve">(49)</w:t>
      </w:r>
      <w:r>
        <w:t xml:space="preserve"> </w:t>
      </w:r>
      <w:r>
        <w:t xml:space="preserve">	</w:t>
      </w:r>
      <w:r>
        <w:t xml:space="preserve">Huang, Y.-X.; Liu, E.-W.; Wang, L.; Huo, Y.; Wang, Q.; Olaleye, O.; Wang, T.; Gao, X.-M.</w:t>
      </w:r>
      <w:r>
        <w:t xml:space="preserve"> </w:t>
      </w:r>
      <w:hyperlink r:id="rId102">
        <w:r>
          <w:rPr>
            <w:rStyle w:val="24"/>
          </w:rPr>
          <w:t xml:space="preserve">LC</w:t>
        </w:r>
        <w:r>
          <w:rPr>
            <w:rStyle w:val="24"/>
          </w:rPr>
          <w:t xml:space="preserve">/</w:t>
        </w:r>
        <w:r>
          <w:rPr>
            <w:rStyle w:val="24"/>
          </w:rPr>
          <w:t xml:space="preserve">MS</w:t>
        </w:r>
        <w:r>
          <w:rPr>
            <w:rStyle w:val="24"/>
          </w:rPr>
          <w:t xml:space="preserve">/</w:t>
        </w:r>
        <w:r>
          <w:rPr>
            <w:rStyle w:val="24"/>
          </w:rPr>
          <w:t xml:space="preserve">MS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Determination and Pharmacokinetic Studies of Six Compounds in Rat Plasma Following Oral Administration of the Single and Combined Extracts of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Eucommia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Ulmoides and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Dipsacus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Asperoides.</w:t>
        </w:r>
      </w:hyperlink>
      <w:r>
        <w:t xml:space="preserve"> </w:t>
      </w:r>
      <w:r>
        <w:rPr>
          <w:iCs/>
          <w:i/>
        </w:rPr>
        <w:t xml:space="preserve">Chinese journal of natural medicines</w:t>
      </w:r>
      <w:r>
        <w:t xml:space="preserve"> </w:t>
      </w:r>
      <w:r>
        <w:rPr>
          <w:bCs/>
          <w:b/>
        </w:rPr>
        <w:t xml:space="preserve">2014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 </w:t>
      </w:r>
      <w:r>
        <w:t xml:space="preserve">(6), 469–476.</w:t>
      </w:r>
    </w:p>
    <w:bookmarkEnd w:id="103"/>
    <w:bookmarkStart w:id="104" w:name="ref-2012ac"/>
    <w:p>
      <w:pPr>
        <w:pStyle w:val="189"/>
      </w:pPr>
      <w:r>
        <w:t xml:space="preserve">(50)</w:t>
      </w:r>
      <w:r>
        <w:t xml:space="preserve"> </w:t>
      </w:r>
      <w:r>
        <w:t xml:space="preserve">	</w:t>
      </w:r>
      <w:r>
        <w:t xml:space="preserve">Sawada, Y.; Nakabayashi, R.; Yamada, Y.; Suzuki, M.; Sato, M.; Sakata, A.; Akiyama, K.; Sakurai, T.; Matsuda, F.; Aoki, T.; Hirai, M. Y.; Saito, K.</w:t>
      </w:r>
      <w:r>
        <w:t xml:space="preserve"> </w:t>
      </w:r>
      <w:r>
        <w:t xml:space="preserve">RIKEN</w:t>
      </w:r>
      <w:r>
        <w:t xml:space="preserve"> </w:t>
      </w:r>
      <w:r>
        <w:t xml:space="preserve">Tandem Mass Spectral Database (</w:t>
      </w:r>
      <w:r>
        <w:t xml:space="preserve">ReSpect</w:t>
      </w:r>
      <w:r>
        <w:t xml:space="preserve">) for Phytochemicals:</w:t>
      </w:r>
      <w:r>
        <w:t xml:space="preserve"> </w:t>
      </w:r>
      <w:r>
        <w:t xml:space="preserve">A</w:t>
      </w:r>
      <w:r>
        <w:t xml:space="preserve"> </w:t>
      </w:r>
      <w:r>
        <w:t xml:space="preserve">Plant-Specific</w:t>
      </w:r>
      <w:r>
        <w:t xml:space="preserve"> </w:t>
      </w:r>
      <w:r>
        <w:t xml:space="preserve">MS</w:t>
      </w:r>
      <w:r>
        <w:t xml:space="preserve">/</w:t>
      </w:r>
      <w:r>
        <w:t xml:space="preserve">MS-based</w:t>
      </w:r>
      <w:r>
        <w:t xml:space="preserve"> </w:t>
      </w:r>
      <w:r>
        <w:t xml:space="preserve">Data Resource and Database.</w:t>
      </w:r>
      <w:r>
        <w:t xml:space="preserve"> </w:t>
      </w:r>
      <w:r>
        <w:rPr>
          <w:iCs/>
          <w:i/>
        </w:rPr>
        <w:t xml:space="preserve">Phytochemistry</w:t>
      </w:r>
      <w:r>
        <w:t xml:space="preserve"> </w:t>
      </w:r>
      <w:r>
        <w:rPr>
          <w:bCs/>
          <w:b/>
        </w:rPr>
        <w:t xml:space="preserve">2012</w:t>
      </w:r>
      <w:r>
        <w:t xml:space="preserve">,</w:t>
      </w:r>
      <w:r>
        <w:t xml:space="preserve"> </w:t>
      </w:r>
      <w:r>
        <w:rPr>
          <w:iCs/>
          <w:i/>
        </w:rPr>
        <w:t xml:space="preserve">82</w:t>
      </w:r>
      <w:r>
        <w:t xml:space="preserve">, 38–45.</w:t>
      </w:r>
    </w:p>
    <w:bookmarkEnd w:id="104"/>
    <w:bookmarkEnd w:id="105"/>
    <w:bookmarkEnd w:id="106"/>
    <w:sectPr>
      <w:pgSz w:h="16838" w:w="11906"/>
      <w:pgMar w:bottom="1134" w:footer="709" w:gutter="0" w:header="709" w:left="1701" w:right="850" w:top="1134"/>
      <w:cols w:num="1" w:space="1701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5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semiHidden="0" w:uiPriority="99"/>
    <w:lsdException w:name="footer" w:semiHidden="0" w:uiPriority="99"/>
    <w:lsdException w:name="index heading" w:uiPriority="99"/>
    <w:lsdException w:name="caption" w:semiHidden="0" w:uiPriority="0" w:unhideWhenUsed="0"/>
    <w:lsdException w:name="table of figures" w:semiHidden="0" w:uiPriority="99"/>
    <w:lsdException w:name="envelope address" w:uiPriority="99"/>
    <w:lsdException w:name="envelope return" w:uiPriority="99"/>
    <w:lsdException w:name="footnote reference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Theme="minorAscii" w:cstheme="minorBidi" w:eastAsiaTheme="minorEastAsia" w:hAnsiTheme="minorAscii" w:hint="default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 w:line="360" w:lineRule="auto"/>
      <w:outlineLvl w:val="0"/>
    </w:pPr>
    <w:rPr>
      <w:rFonts w:ascii="Times New Roman" w:cs="Nimbus Roman" w:eastAsia="Nimbus Roman" w:hAnsi="Times New Roman"/>
      <w:b/>
      <w:bCs/>
      <w:color w:themeColor="text1" w:val="000000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 w:line="360" w:lineRule="auto"/>
      <w:outlineLvl w:val="1"/>
    </w:pPr>
    <w:rPr>
      <w:rFonts w:ascii="Times New Roman" w:cs="Nimbus Roman" w:eastAsia="Nimbus Roman" w:hAnsi="Times New Roman"/>
      <w:b/>
      <w:bCs/>
      <w:color w:themeColor="text1" w:val="000000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outlineLvl w:val="2"/>
    </w:pPr>
    <w:rPr>
      <w:rFonts w:ascii="Times New Roman" w:cs="Nimbus Roman" w:eastAsia="Nimbus Roman" w:hAnsi="Times New Roman"/>
      <w:b/>
      <w:bCs/>
      <w:color w:themeColor="text1" w:val="000000"/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="Times New Roman" w:cs="Nimbus Roman" w:eastAsia="Nimbus Roman" w:hAnsi="Times New Roman"/>
      <w:bCs/>
      <w:i/>
      <w:color w:themeColor="text1" w:val="000000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="Times New Roman" w:cs="Nimbus Roman" w:eastAsia="Nimbus Roman" w:hAnsi="Times New Roman"/>
      <w:iCs/>
      <w:color w:themeColor="text1" w:val="000000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="Times New Roman" w:cs="Nimbus Roman" w:eastAsia="Nimbus Roman" w:hAnsi="Times New Roman"/>
      <w:color w:themeColor="text1" w:val="000000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="Times New Roman" w:cs="Nimbus Roman" w:eastAsia="Nimbus Roman" w:hAnsi="Times New Roman"/>
      <w:color w:themeColor="text1" w:val="000000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="Times New Roman" w:cs="Nimbus Roman" w:eastAsia="Nimbus Roman" w:hAnsi="Times New Roman"/>
      <w:color w:themeColor="text1" w:val="000000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="Times New Roman" w:cs="Nimbus Roman" w:eastAsia="Nimbus Roman" w:hAnsi="Times New Roman"/>
      <w:color w:themeColor="text1" w:val="000000"/>
    </w:rPr>
  </w:style>
  <w:style w:default="1" w:styleId="12" w:type="character">
    <w:name w:val="Default Paragraph Font"/>
    <w:semiHidden/>
    <w:unhideWhenUsed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Nimbus Roman" w:hAnsi="Times New Roman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</w:rPr>
  </w:style>
  <w:style w:styleId="15" w:type="paragraph">
    <w:name w:val="caption"/>
    <w:basedOn w:val="1"/>
    <w:next w:val="1"/>
    <w:uiPriority w:val="0"/>
    <w:pPr>
      <w:spacing w:after="120" w:before="0"/>
    </w:pPr>
    <w:rPr>
      <w:i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uiPriority w:val="99"/>
    <w:rPr>
      <w:vertAlign w:val="superscript"/>
    </w:rPr>
  </w:style>
  <w:style w:styleId="18" w:type="paragraph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</w:rPr>
  </w:style>
  <w:style w:styleId="19" w:type="paragraph">
    <w:name w:val="footer"/>
    <w:basedOn w:val="1"/>
    <w:link w:val="58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0" w:type="character">
    <w:name w:val="footnote reference"/>
    <w:basedOn w:val="21"/>
    <w:uiPriority w:val="0"/>
    <w:rPr>
      <w:vertAlign w:val="superscript"/>
    </w:rPr>
  </w:style>
  <w:style w:customStyle="1" w:styleId="21" w:type="character">
    <w:name w:val="Body Text Char"/>
    <w:link w:val="3"/>
    <w:uiPriority w:val="0"/>
    <w:rPr>
      <w:rFonts w:ascii="Times New Roman" w:cs="Nimbus Roman" w:eastAsia="Nimbus Roman" w:hAnsi="Times New Roman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uiPriority w:val="0"/>
    <w:rPr>
      <w:rFonts w:eastAsia="Cambria"/>
      <w:color w:themeColor="accent1" w:val="4F81BD"/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27" w:type="table">
    <w:name w:val="Table Grid"/>
    <w:basedOn w:val="13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Arial" w:hAnsi="Arial"/>
      <w:sz w:val="40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Arial" w:hAnsi="Arial"/>
      <w:sz w:val="34"/>
    </w:rPr>
  </w:style>
  <w:style w:customStyle="1" w:styleId="41" w:type="character">
    <w:name w:val="Heading 3 Char"/>
    <w:basedOn w:val="12"/>
    <w:qFormat/>
    <w:uiPriority w:val="9"/>
    <w:rPr>
      <w:rFonts w:ascii="Arial" w:cs="Arial" w:eastAsia="Arial" w:hAnsi="Arial"/>
      <w:sz w:val="30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Arial" w:hAnsi="Arial"/>
      <w:b/>
      <w:bCs/>
      <w:sz w:val="26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Arial" w:hAnsi="Arial"/>
      <w:b/>
      <w:bCs/>
      <w:sz w:val="24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Arial" w:hAnsi="Arial"/>
      <w:b/>
      <w:bCs/>
      <w:sz w:val="22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Arial" w:hAnsi="Arial"/>
      <w:i/>
      <w:iCs/>
      <w:sz w:val="22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Arial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48"/>
      <w:szCs w:val="48"/>
    </w:rPr>
  </w:style>
  <w:style w:customStyle="1" w:styleId="51" w:type="character">
    <w:name w:val="Subtitle Char"/>
    <w:basedOn w:val="12"/>
    <w:qFormat/>
    <w:uiPriority w:val="11"/>
    <w:rPr>
      <w:sz w:val="24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customStyle="1" w:styleId="53" w:type="character">
    <w:name w:val="Quote Char"/>
    <w:link w:val="52"/>
    <w:qFormat/>
    <w:uiPriority w:val="29"/>
    <w:rPr>
      <w:i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</w:rPr>
  </w:style>
  <w:style w:customStyle="1" w:styleId="55" w:type="character">
    <w:name w:val="Intense Quote Char"/>
    <w:link w:val="54"/>
    <w:qFormat/>
    <w:uiPriority w:val="30"/>
    <w:rPr>
      <w:i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Shade="95" w:themeTint="80" w:val="7E7E7E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E7E7E"/>
      </w:rPr>
    </w:tblStylePr>
    <w:tblStylePr w:type="firstCol">
      <w:rPr>
        <w:b/>
        <w:color w:themeColor="text1" w:themeShade="95" w:themeTint="80" w:val="7E7E7E"/>
      </w:rPr>
    </w:tblStylePr>
    <w:tblStylePr w:type="lastCol">
      <w:rPr>
        <w:b/>
        <w:color w:themeColor="text1" w:themeShade="95" w:themeTint="80" w:val="7E7E7E"/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1" w:type="table">
    <w:name w:val="Grid Table 6 Colorful - Accent 1"/>
    <w:basedOn w:val="13"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2" w:type="table">
    <w:name w:val="Grid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03" w:type="table">
    <w:name w:val="Grid Table 6 Colorful - Accent 3"/>
    <w:basedOn w:val="13"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Shade="95" w:themeTint="FE" w:val="9BBB59"/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BBB59"/>
      </w:rPr>
    </w:tblStylePr>
    <w:tblStylePr w:type="firstCol">
      <w:rPr>
        <w:b/>
        <w:color w:themeColor="accent3" w:themeShade="95" w:themeTint="FE" w:val="9BBB59"/>
      </w:rPr>
    </w:tblStylePr>
    <w:tblStylePr w:type="lastCol">
      <w:rPr>
        <w:b/>
        <w:color w:themeColor="accent3" w:themeShade="95" w:themeTint="FE" w:val="9BBB59"/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04" w:type="table">
    <w:name w:val="Grid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05" w:type="table">
    <w:name w:val="Grid Table 6 Colorful - Accent 5"/>
    <w:basedOn w:val="13"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6" w:type="table">
    <w:name w:val="Grid Table 6 Colorful - Accent 6"/>
    <w:basedOn w:val="13"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7" w:type="table">
    <w:name w:val="Grid Table 7 Colorful"/>
    <w:basedOn w:val="13"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8" w:type="table">
    <w:name w:val="Grid Table 7 Colorful - Accent 1"/>
    <w:basedOn w:val="13"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9" w:type="table">
    <w:name w:val="Grid Table 7 Colorful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10" w:type="table">
    <w:name w:val="Grid Table 7 Colorful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BBB59"/>
        <w:sz w:val="22"/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Shade="95" w:themeTint="FE" w:val="9BBB59"/>
        <w:sz w:val="22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11" w:type="table">
    <w:name w:val="Grid Table 7 Colorful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12" w:type="table">
    <w:name w:val="Grid Table 7 Colorful - Accent 5"/>
    <w:basedOn w:val="13"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13" w:type="table">
    <w:name w:val="Grid Table 7 Colorful - Accent 6"/>
    <w:basedOn w:val="13"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customStyle="1" w:styleId="114" w:type="table">
    <w:name w:val="List Table 1 Light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customStyle="1" w:styleId="150" w:type="table">
    <w:name w:val="List Table 6 Colorful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B71"/>
      </w:rPr>
    </w:tblStylePr>
    <w:tblStylePr w:type="lastCol">
      <w:rPr>
        <w:b/>
        <w:color w:themeColor="accent1" w:themeShade="95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1" w:type="table">
    <w:name w:val="List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2" w:type="table">
    <w:name w:val="List Table 6 Colorful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Shade="95" w:themeTint="98" w:val="C3D69C"/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C"/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C"/>
      </w:rPr>
    </w:tblStylePr>
    <w:tblStylePr w:type="lastCol">
      <w:rPr>
        <w:b/>
        <w:color w:themeColor="accent3" w:themeShade="95" w:themeTint="98" w:val="C3D69C"/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Shade="95" w:themeTint="98" w:val="C3D69C"/>
        <w:sz w:val="22"/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18"/>
    </w:rPr>
  </w:style>
  <w:style w:customStyle="1" w:styleId="185" w:type="character">
    <w:name w:val="Endnote Text Char"/>
    <w:link w:val="18"/>
    <w:uiPriority w:val="99"/>
    <w:rPr>
      <w:sz w:val="20"/>
    </w:rPr>
  </w:style>
  <w:style w:customStyle="1" w:styleId="186" w:type="paragraph">
    <w:name w:val="Compact"/>
    <w:basedOn w:val="3"/>
    <w:qFormat/>
    <w:uiPriority w:val="0"/>
    <w:pPr>
      <w:spacing w:after="36" w:before="36"/>
    </w:p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</w:rPr>
  </w:style>
  <w:style w:customStyle="1" w:styleId="192" w:type="paragraph">
    <w:name w:val="Definition"/>
    <w:basedOn w:val="1"/>
    <w:uiPriority w:val="0"/>
  </w:style>
  <w:style w:customStyle="1" w:styleId="193" w:type="paragraph">
    <w:name w:val="Table Caption"/>
    <w:basedOn w:val="15"/>
    <w:uiPriority w:val="0"/>
    <w:pPr>
      <w:keepNext/>
    </w:p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</w:style>
  <w:style w:customStyle="1" w:styleId="197" w:type="character">
    <w:name w:val="Verbatim Char"/>
    <w:basedOn w:val="21"/>
    <w:uiPriority w:val="0"/>
    <w:rPr>
      <w:rFonts w:ascii="Times New Roman" w:eastAsia="Cambria" w:hAnsi="Times New Roman"/>
      <w:sz w:val="22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prime.psc.riken.jp/compms/msdial/main.html#MSP%3E" TargetMode="External" /><Relationship Type="http://schemas.openxmlformats.org/officeDocument/2006/relationships/hyperlink" Id="rId21" Target="https://gnps.ucsd.edu/ProteoSAFe/static/gnps-splash.jsp" TargetMode="External" /><Relationship Type="http://schemas.openxmlformats.org/officeDocument/2006/relationships/hyperlink" Id="rId53" Target="https://www.ncbi.nlm.nih.gov/pmc/articles/PMC3731409" TargetMode="External" /><Relationship Type="http://schemas.openxmlformats.org/officeDocument/2006/relationships/hyperlink" Id="rId49" Target="https://www.ncbi.nlm.nih.gov/pmc/articles/PMC4732001" TargetMode="External" /><Relationship Type="http://schemas.openxmlformats.org/officeDocument/2006/relationships/hyperlink" Id="rId69" Target="https://www.ncbi.nlm.nih.gov/pmc/articles/PMC4963238" TargetMode="External" /><Relationship Type="http://schemas.openxmlformats.org/officeDocument/2006/relationships/hyperlink" Id="rId51" Target="https://www.ncbi.nlm.nih.gov/pmc/articles/PMC5445034" TargetMode="External" /><Relationship Type="http://schemas.openxmlformats.org/officeDocument/2006/relationships/hyperlink" Id="rId56" Target="https://www.ncbi.nlm.nih.gov/pmc/articles/PMC6022630" TargetMode="External" /><Relationship Type="http://schemas.openxmlformats.org/officeDocument/2006/relationships/hyperlink" Id="rId37" Target="https://www.ncbi.nlm.nih.gov/pmc/articles/PMC6030889" TargetMode="External" /><Relationship Type="http://schemas.openxmlformats.org/officeDocument/2006/relationships/hyperlink" Id="rId95" Target="https://www.ncbi.nlm.nih.gov/pmc/articles/PMC6433546" TargetMode="External" /><Relationship Type="http://schemas.openxmlformats.org/officeDocument/2006/relationships/hyperlink" Id="rId71" Target="https://www.ncbi.nlm.nih.gov/pmc/articles/PMC6433899" TargetMode="External" /><Relationship Type="http://schemas.openxmlformats.org/officeDocument/2006/relationships/hyperlink" Id="rId87" Target="https://www.ncbi.nlm.nih.gov/pmc/articles/PMC7350010" TargetMode="External" /><Relationship Type="http://schemas.openxmlformats.org/officeDocument/2006/relationships/hyperlink" Id="rId100" Target="https://www.ncbi.nlm.nih.gov/pmc/articles/PMC8349065" TargetMode="External" /><Relationship Type="http://schemas.openxmlformats.org/officeDocument/2006/relationships/hyperlink" Id="rId97" Target="https://www.ncbi.nlm.nih.gov/pmc/articles/PMC8617236" TargetMode="External" /><Relationship Type="http://schemas.openxmlformats.org/officeDocument/2006/relationships/hyperlink" Id="rId89" Target="https://www.ncbi.nlm.nih.gov/pubmed/24961965" TargetMode="External" /><Relationship Type="http://schemas.openxmlformats.org/officeDocument/2006/relationships/hyperlink" Id="rId102" Target="https://www.ncbi.nlm.nih.gov/pubmed/24969529" TargetMode="External" /><Relationship Type="http://schemas.openxmlformats.org/officeDocument/2006/relationships/hyperlink" Id="rId67" Target="https://www.ncbi.nlm.nih.gov/pubmed/26965202" TargetMode="External" /><Relationship Type="http://schemas.openxmlformats.org/officeDocument/2006/relationships/hyperlink" Id="rId85" Target="https://www.ncbi.nlm.nih.gov/pubmed/27265202" TargetMode="External" /><Relationship Type="http://schemas.openxmlformats.org/officeDocument/2006/relationships/hyperlink" Id="rId59" Target="https://www.ncbi.nlm.nih.gov/pubmed/30608141" TargetMode="External" /><Relationship Type="http://schemas.openxmlformats.org/officeDocument/2006/relationships/hyperlink" Id="rId61" Target="https://www.ncbi.nlm.nih.gov/pubmed/31174771" TargetMode="External" /><Relationship Type="http://schemas.openxmlformats.org/officeDocument/2006/relationships/hyperlink" Id="rId63" Target="https://www.ncbi.nlm.nih.gov/pubmed/31576380" TargetMode="External" /><Relationship Type="http://schemas.openxmlformats.org/officeDocument/2006/relationships/hyperlink" Id="rId92" Target="https://www.ncbi.nlm.nih.gov/pubmed/3279057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prime.psc.riken.jp/compms/msdial/main.html#MSP%3E" TargetMode="External" /><Relationship Type="http://schemas.openxmlformats.org/officeDocument/2006/relationships/hyperlink" Id="rId21" Target="https://gnps.ucsd.edu/ProteoSAFe/static/gnps-splash.jsp" TargetMode="External" /><Relationship Type="http://schemas.openxmlformats.org/officeDocument/2006/relationships/hyperlink" Id="rId53" Target="https://www.ncbi.nlm.nih.gov/pmc/articles/PMC3731409" TargetMode="External" /><Relationship Type="http://schemas.openxmlformats.org/officeDocument/2006/relationships/hyperlink" Id="rId49" Target="https://www.ncbi.nlm.nih.gov/pmc/articles/PMC4732001" TargetMode="External" /><Relationship Type="http://schemas.openxmlformats.org/officeDocument/2006/relationships/hyperlink" Id="rId69" Target="https://www.ncbi.nlm.nih.gov/pmc/articles/PMC4963238" TargetMode="External" /><Relationship Type="http://schemas.openxmlformats.org/officeDocument/2006/relationships/hyperlink" Id="rId51" Target="https://www.ncbi.nlm.nih.gov/pmc/articles/PMC5445034" TargetMode="External" /><Relationship Type="http://schemas.openxmlformats.org/officeDocument/2006/relationships/hyperlink" Id="rId56" Target="https://www.ncbi.nlm.nih.gov/pmc/articles/PMC6022630" TargetMode="External" /><Relationship Type="http://schemas.openxmlformats.org/officeDocument/2006/relationships/hyperlink" Id="rId37" Target="https://www.ncbi.nlm.nih.gov/pmc/articles/PMC6030889" TargetMode="External" /><Relationship Type="http://schemas.openxmlformats.org/officeDocument/2006/relationships/hyperlink" Id="rId95" Target="https://www.ncbi.nlm.nih.gov/pmc/articles/PMC6433546" TargetMode="External" /><Relationship Type="http://schemas.openxmlformats.org/officeDocument/2006/relationships/hyperlink" Id="rId71" Target="https://www.ncbi.nlm.nih.gov/pmc/articles/PMC6433899" TargetMode="External" /><Relationship Type="http://schemas.openxmlformats.org/officeDocument/2006/relationships/hyperlink" Id="rId87" Target="https://www.ncbi.nlm.nih.gov/pmc/articles/PMC7350010" TargetMode="External" /><Relationship Type="http://schemas.openxmlformats.org/officeDocument/2006/relationships/hyperlink" Id="rId100" Target="https://www.ncbi.nlm.nih.gov/pmc/articles/PMC8349065" TargetMode="External" /><Relationship Type="http://schemas.openxmlformats.org/officeDocument/2006/relationships/hyperlink" Id="rId97" Target="https://www.ncbi.nlm.nih.gov/pmc/articles/PMC8617236" TargetMode="External" /><Relationship Type="http://schemas.openxmlformats.org/officeDocument/2006/relationships/hyperlink" Id="rId89" Target="https://www.ncbi.nlm.nih.gov/pubmed/24961965" TargetMode="External" /><Relationship Type="http://schemas.openxmlformats.org/officeDocument/2006/relationships/hyperlink" Id="rId102" Target="https://www.ncbi.nlm.nih.gov/pubmed/24969529" TargetMode="External" /><Relationship Type="http://schemas.openxmlformats.org/officeDocument/2006/relationships/hyperlink" Id="rId67" Target="https://www.ncbi.nlm.nih.gov/pubmed/26965202" TargetMode="External" /><Relationship Type="http://schemas.openxmlformats.org/officeDocument/2006/relationships/hyperlink" Id="rId85" Target="https://www.ncbi.nlm.nih.gov/pubmed/27265202" TargetMode="External" /><Relationship Type="http://schemas.openxmlformats.org/officeDocument/2006/relationships/hyperlink" Id="rId59" Target="https://www.ncbi.nlm.nih.gov/pubmed/30608141" TargetMode="External" /><Relationship Type="http://schemas.openxmlformats.org/officeDocument/2006/relationships/hyperlink" Id="rId61" Target="https://www.ncbi.nlm.nih.gov/pubmed/31174771" TargetMode="External" /><Relationship Type="http://schemas.openxmlformats.org/officeDocument/2006/relationships/hyperlink" Id="rId63" Target="https://www.ncbi.nlm.nih.gov/pubmed/31576380" TargetMode="External" /><Relationship Type="http://schemas.openxmlformats.org/officeDocument/2006/relationships/hyperlink" Id="rId92" Target="https://www.ncbi.nlm.nih.gov/pubmed/327905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2023-04-21T03:59:52Z</dcterms:created>
  <dcterms:modified xsi:type="dcterms:W3CDTF">2023-04-21T03:59:52Z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cut.bib</vt:lpwstr>
  </property>
  <property fmtid="{D5CDD505-2E9C-101B-9397-08002B2CF9AE}" pid="3" name="csl">
    <vt:lpwstr>../styles.csl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