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figure-legend"/>
    <w:p>
      <w:pPr>
        <w:pStyle w:val="Heading1"/>
      </w:pPr>
      <w:r>
        <w:t xml:space="preserve">Figure legend</w:t>
      </w:r>
    </w:p>
    <w:bookmarkStart w:id="21" w:name="figure-1-8"/>
    <w:p>
      <w:pPr>
        <w:pStyle w:val="Heading2"/>
      </w:pPr>
      <w:r>
        <w:t xml:space="preserve">Figure 1-8</w:t>
      </w:r>
    </w:p>
    <w:p>
      <w:pPr>
        <w:pStyle w:val="FirstParagraph"/>
      </w:pPr>
      <w:r>
        <w:t xml:space="preserve">  </w:t>
      </w:r>
      <w:r>
        <w:t xml:space="preserve"> </w:t>
      </w:r>
      <w:r>
        <w:rPr>
          <w:bCs/>
          <w:b/>
        </w:rPr>
        <w:t xml:space="preserve">Fig. 1 | The overview of MCnebula visualization of serum metabolomic dataset.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Parent-nebula</w:t>
      </w:r>
      <w:r>
        <w:t xml:space="preserve">,</w:t>
      </w:r>
      <w:r>
        <w:t xml:space="preserve"> </w:t>
      </w:r>
      <w:r>
        <w:t xml:space="preserve">the nodes map all features collated by MCnebula.</w:t>
      </w:r>
      <w:r>
        <w:t xml:space="preserve"> </w:t>
      </w:r>
      <w:r>
        <w:t xml:space="preserve">The color of nodes maps the superclasses of highest posterior probability of classes prediction (PPCP).</w:t>
      </w:r>
      <w:r>
        <w:t xml:space="preserve"> </w:t>
      </w:r>
      <w:r>
        <w:t xml:space="preserve">The size of nodes maps the Tanimoto similarity of structure match.</w:t>
      </w:r>
      <w:r>
        <w:t xml:space="preserve"> </w:t>
      </w:r>
      <w:r>
        <w:t xml:space="preserve">The edges map the spectural similarity of noise filtered between features (cosine</w:t>
      </w:r>
      <w:r>
        <w:t xml:space="preserve"> </w:t>
      </w:r>
      <m:oMath>
        <m:r>
          <m:rPr>
            <m:sty m:val="p"/>
          </m:rPr>
          <m:t>≥</m:t>
        </m:r>
        <m:r>
          <m:t>0.3</m:t>
        </m:r>
      </m:oMath>
      <w:r>
        <w:t xml:space="preserve">; ZODIAC score</w:t>
      </w:r>
      <w:r>
        <w:t xml:space="preserve"> </w:t>
      </w:r>
      <m:oMath>
        <m:r>
          <m:rPr>
            <m:sty m:val="p"/>
          </m:rPr>
          <m:t>≥</m:t>
        </m:r>
        <m:r>
          <m:t>0.9</m:t>
        </m:r>
      </m:oMath>
      <w:r>
        <w:t xml:space="preserve">) and imply the identification quality (Tanimoto similarity</w:t>
      </w:r>
      <w:r>
        <w:t xml:space="preserve"> </w:t>
      </w:r>
      <m:oMath>
        <m:r>
          <m:rPr>
            <m:sty m:val="p"/>
          </m:rPr>
          <m:t>≥</m:t>
        </m:r>
        <m:r>
          <m:t>0.4</m:t>
        </m:r>
      </m:oMath>
      <w:r>
        <w:t xml:space="preserve">) of features.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Child-nebulae</w:t>
      </w:r>
      <w:r>
        <w:t xml:space="preserve">, all the classified labels map nebula-index and the nebula-name of corresponding sub-network.</w:t>
      </w:r>
      <w:r>
        <w:t xml:space="preserve"> </w:t>
      </w:r>
      <w:r>
        <w:t xml:space="preserve">The color of nodes maps the dominant or sub-structural classses of highest PPCP in priority (level 5 &gt; subclass &gt; class &gt; superclass).</w:t>
      </w:r>
    </w:p>
    <w:p>
      <w:pPr>
        <w:pStyle w:val="BodyText"/>
      </w:pPr>
      <w:r>
        <w:t xml:space="preserve">  </w:t>
      </w:r>
      <w:r>
        <w:t xml:space="preserve"> </w:t>
      </w:r>
      <w:r>
        <w:rPr>
          <w:bCs/>
          <w:b/>
        </w:rPr>
        <w:t xml:space="preserve">Fig. 2 | Workflow of MCnebula: End-to-end analysis from samples to multi-chemcial nebulae.</w:t>
      </w:r>
      <w:r>
        <w:t xml:space="preserve"> </w:t>
      </w:r>
      <w:r>
        <w:t xml:space="preserve">First, the data (.raw) of prepared sample are obtained via LC-MS instrument.</w:t>
      </w:r>
      <w:r>
        <w:t xml:space="preserve"> </w:t>
      </w:r>
      <w:r>
        <w:t xml:space="preserve">Second, the .raw is then converted to get the data of m/z extensible markup language (mzML), followed by feature detection of LC-MS processing.</w:t>
      </w:r>
      <w:r>
        <w:t xml:space="preserve"> </w:t>
      </w:r>
      <w:r>
        <w:t xml:space="preserve">Feature table and MS/MS list (MGF file) are obtained.</w:t>
      </w:r>
      <w:r>
        <w:t xml:space="preserve"> </w:t>
      </w:r>
      <w:r>
        <w:t xml:space="preserve">Third, run SIRIUS software identification workflow, involving SIRIUS, ZODIAC, CSI:fingerID, CANOPUS.</w:t>
      </w:r>
      <w:r>
        <w:t xml:space="preserve"> </w:t>
      </w:r>
      <w:r>
        <w:t xml:space="preserve">Run MCnebula in R.</w:t>
      </w:r>
      <w:r>
        <w:t xml:space="preserve"> </w:t>
      </w:r>
      <w:r>
        <w:t xml:space="preserve">MCnebula conduct data collating and integration.</w:t>
      </w:r>
      <w:r>
        <w:t xml:space="preserve"> </w:t>
      </w:r>
      <w:r>
        <w:t xml:space="preserve">Ultimately, the multi-chemical nebulae as well as other annotation file are achieved.</w:t>
      </w:r>
    </w:p>
    <w:p>
      <w:pPr>
        <w:pStyle w:val="BodyText"/>
      </w:pPr>
      <w:r>
        <w:t xml:space="preserve">  </w:t>
      </w:r>
      <w:r>
        <w:t xml:space="preserve"> </w:t>
      </w:r>
      <w:r>
        <w:rPr>
          <w:bCs/>
          <w:b/>
        </w:rPr>
        <w:t xml:space="preserve">Fig. 3 | Tracing top rank metabolites in child-nebulae to discover biomarker of serum metabolomic dataset.</w:t>
      </w:r>
      <w:r>
        <w:t xml:space="preserve"> </w:t>
      </w:r>
      <w:r>
        <w:t xml:space="preserve">According to classify of TopMs in MCnebula, the nebula-index is rebuilt (the irrelevant classes were filtered out) and lead to neo-child-nebulae.</w:t>
      </w:r>
      <w:r>
        <w:t xml:space="preserve"> </w:t>
      </w:r>
      <w:r>
        <w:t xml:space="preserve">The TopMs are maked in neo-child-nebulae.</w:t>
      </w:r>
      <w:r>
        <w:t xml:space="preserve"> </w:t>
      </w:r>
      <w:r>
        <w:t xml:space="preserve">Other mapping annotation refer to figure 1.</w:t>
      </w:r>
    </w:p>
    <w:p>
      <w:pPr>
        <w:pStyle w:val="BodyText"/>
      </w:pPr>
      <w:r>
        <w:t xml:space="preserve">  </w:t>
      </w:r>
      <w:r>
        <w:t xml:space="preserve"> </w:t>
      </w:r>
      <w:r>
        <w:rPr>
          <w:bCs/>
          <w:b/>
        </w:rPr>
        <w:t xml:space="preserve">Fig. 4 | In-depth visualization of child-nebula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Acyl carnitines</w:t>
      </w:r>
      <w:r>
        <w:rPr>
          <w:bCs/>
          <w:b/>
        </w:rPr>
        <w:t xml:space="preserve">’</w:t>
      </w:r>
      <w:r>
        <w:t xml:space="preserve"> </w:t>
      </w:r>
      <w:r>
        <w:t xml:space="preserve">The nodes of TopMs are marked with color.</w:t>
      </w:r>
      <w:r>
        <w:t xml:space="preserve"> </w:t>
      </w:r>
      <w:r>
        <w:t xml:space="preserve">The nodes of features are annotated with structures, ring diagram and bar plot of posterior probability of classes prediction (PPCP).</w:t>
      </w:r>
      <w:r>
        <w:t xml:space="preserve"> </w:t>
      </w:r>
      <w:r>
        <w:t xml:space="preserve">The top score</w:t>
      </w:r>
      <w:r>
        <w:t xml:space="preserve"> </w:t>
      </w:r>
      <w:r>
        <w:rPr>
          <w:bCs/>
          <w:b/>
        </w:rPr>
        <w:t xml:space="preserve">Structures</w:t>
      </w:r>
      <w:r>
        <w:t xml:space="preserve"> </w:t>
      </w:r>
      <w:r>
        <w:t xml:space="preserve">of features are mapped into nodes.</w:t>
      </w:r>
      <w:r>
        <w:t xml:space="preserve"> </w:t>
      </w:r>
      <w:r>
        <w:t xml:space="preserve">The atomic coordinates of molecular structures were calculated by</w:t>
      </w:r>
      <w:r>
        <w:t xml:space="preserve"> </w:t>
      </w:r>
      <w:hyperlink r:id="rId20">
        <w:r>
          <w:rPr>
            <w:rStyle w:val="Hyperlink"/>
          </w:rPr>
          <w:t xml:space="preserve">Molconvert</w:t>
        </w:r>
      </w:hyperlink>
      <w:r>
        <w:t xml:space="preserve">, since its less structural overlap (the default setting for MCnebula, ChemmineOB is performed for calculation).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Ring diagram</w:t>
      </w:r>
      <w:r>
        <w:t xml:space="preserve"> </w:t>
      </w:r>
      <w:r>
        <w:t xml:space="preserve">map relative summed peak area of per feature detected within each metadata group</w:t>
      </w:r>
      <w:r>
        <w:t xml:space="preserve"> </w:t>
      </w:r>
      <w:r>
        <w:t xml:space="preserve">(NN: non-hospital, non-infected; HN: hospital, non-infected; HS: hospital, survival; HM: hospital, mortality).</w:t>
      </w:r>
      <w:r>
        <w:t xml:space="preserve"> </w:t>
      </w:r>
      <w:r>
        <w:t xml:space="preserve">The statistic data of ring diagram was obtained from study of Wozniak et al. and aligned with our re-analyzed feature list (0.01 m/z tolerance and 0.3 min retention time tolerance).</w:t>
      </w:r>
      <w:r>
        <w:t xml:space="preserve"> </w:t>
      </w:r>
      <w:r>
        <w:t xml:space="preserve">The nodes without ring diagram indicated the features were detected in re-analysis but not found in previous study.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Bar plot</w:t>
      </w:r>
      <w:r>
        <w:t xml:space="preserve"> </w:t>
      </w:r>
      <w:r>
        <w:t xml:space="preserve">map PPCP of structural (sub-structural or dominant structural) classes for the feature.</w:t>
      </w:r>
      <w:r>
        <w:t xml:space="preserve"> </w:t>
      </w:r>
      <w:r>
        <w:t xml:space="preserve">These structural classes are in line with the classes in nebula-index.</w:t>
      </w:r>
      <w:r>
        <w:t xml:space="preserve"> </w:t>
      </w:r>
      <w:r>
        <w:t xml:space="preserve">Other mapping annotation refer to figure 1.</w:t>
      </w:r>
    </w:p>
    <w:p>
      <w:pPr>
        <w:pStyle w:val="BodyText"/>
      </w:pPr>
      <w:r>
        <w:t xml:space="preserve">  </w:t>
      </w:r>
      <w:r>
        <w:t xml:space="preserve"> </w:t>
      </w:r>
      <w:r>
        <w:rPr>
          <w:bCs/>
          <w:b/>
        </w:rPr>
        <w:t xml:space="preserve">Fig. 5 | Evaluation of classified accuracy and noise tolerance of MCnebula algorithm.</w:t>
      </w:r>
      <w:r>
        <w:t xml:space="preserve"> </w:t>
      </w:r>
      <w:r>
        <w:t xml:space="preserve">For the</w:t>
      </w:r>
      <w:r>
        <w:t xml:space="preserve"> </w:t>
      </w:r>
      <w:r>
        <w:rPr>
          <w:bCs/>
          <w:b/>
        </w:rPr>
        <w:t xml:space="preserve">Intermediate horizontal bar plot</w:t>
      </w:r>
      <w:r>
        <w:t xml:space="preserve">, three levels of assessment are assigned for evaluation of accuracy.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indicates the classified classes are in line with that of ClassyFire.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 </w:t>
      </w:r>
      <w:r>
        <w:t xml:space="preserve">indicates the classified classes are not in line with that of ClassyFire, but thier parent classes of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 </w:t>
      </w:r>
      <w:r>
        <w:t xml:space="preserve">level (illustrated by the legend of the</w:t>
      </w:r>
      <w:r>
        <w:t xml:space="preserve"> </w:t>
      </w:r>
      <w:r>
        <w:rPr>
          <w:bCs/>
          <w:b/>
        </w:rPr>
        <w:t xml:space="preserve">Left tile diagram</w:t>
      </w:r>
      <w:r>
        <w:t xml:space="preserve">) are in line with that of ClassyFire.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 </w:t>
      </w:r>
      <w:r>
        <w:t xml:space="preserve">indicates the classified classes are completely inconsistent with that of ClassyFire.</w:t>
      </w:r>
      <w:r>
        <w:t xml:space="preserve"> </w:t>
      </w:r>
      <w:r>
        <w:t xml:space="preserve">Noise is added into original dataset to evaluate the stability of MCnebula algorithm.</w:t>
      </w:r>
      <w:r>
        <w:t xml:space="preserve"> </w:t>
      </w:r>
      <w:r>
        <w:t xml:space="preserve">Both for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 </w:t>
      </w:r>
      <w:r>
        <w:t xml:space="preserve">assessment, the arrow indicates the middle noise or high noise lead to accuracy shift (increasing or decreasing).</w:t>
      </w:r>
      <w:r>
        <w:t xml:space="preserve"> </w:t>
      </w:r>
      <w:r>
        <w:t xml:space="preserve">The accuracy evaluation are only performed with the classified feature number</w:t>
      </w:r>
      <w:r>
        <w:t xml:space="preserve"> </w:t>
      </w:r>
      <m:oMath>
        <m:r>
          <m:rPr>
            <m:sty m:val="p"/>
          </m:rPr>
          <m:t>≥</m:t>
        </m:r>
        <m:r>
          <m:t>50</m:t>
        </m:r>
      </m:oMath>
      <w:r>
        <w:t xml:space="preserve">.</w:t>
      </w:r>
      <w:r>
        <w:t xml:space="preserve"> </w:t>
      </w:r>
      <w:r>
        <w:t xml:space="preserve">If the noise lead to classified number &lt; 50, the class is excluded from assessment of noise tolerance.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Right horizontal bar plot</w:t>
      </w:r>
      <w:r>
        <w:t xml:space="preserve"> </w:t>
      </w:r>
      <w:r>
        <w:t xml:space="preserve">indicates the classified amount of features.</w:t>
      </w:r>
    </w:p>
    <w:p>
      <w:pPr>
        <w:pStyle w:val="BodyText"/>
      </w:pPr>
      <w:r>
        <w:t xml:space="preserve">  </w:t>
      </w:r>
      <w:r>
        <w:t xml:space="preserve"> </w:t>
      </w:r>
      <w:r>
        <w:rPr>
          <w:bCs/>
          <w:b/>
        </w:rPr>
        <w:t xml:space="preserve">Fig. 6 | Evaluation of classified amount，identification accuracy and noise tolerance of benchmark method and MCnebula</w:t>
      </w:r>
      <w:r>
        <w:t xml:space="preserve">.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Figure 6a illustrates a comparison of classified amount and noise tolerance of MCnebula and benchmark method.</w:t>
      </w:r>
      <w:r>
        <w:t xml:space="preserve"> </w:t>
      </w:r>
      <w:r>
        <w:t xml:space="preserve">When noise is added into original dataset, some classified feature amount is occurred &lt; 50.</w:t>
      </w:r>
      <w:r>
        <w:t xml:space="preserve"> </w:t>
      </w:r>
      <w:r>
        <w:t xml:space="preserve">A cut-off (amount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50) is set to exclude these classes from assessment.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Figure 6b illustrates the identified accuracy of MCnebula.</w:t>
      </w:r>
      <w:r>
        <w:t xml:space="preserve"> </w:t>
      </w:r>
      <w:r>
        <w:t xml:space="preserve">A cut-off (Tanimoto similarity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0.5) is set to get structures of high matching score for evaluation.</w:t>
      </w:r>
    </w:p>
    <w:p>
      <w:pPr>
        <w:pStyle w:val="BodyText"/>
      </w:pPr>
      <w:r>
        <w:t xml:space="preserve">  </w:t>
      </w:r>
      <w:r>
        <w:t xml:space="preserve"> </w:t>
      </w:r>
      <w:r>
        <w:rPr>
          <w:bCs/>
          <w:b/>
        </w:rPr>
        <w:t xml:space="preserve">Fig. 7 | Heatmap and metabolomic pathway analysis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Acyl carnitines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(ACs),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Lysophosphatidylcholines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(LPCs),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Bile acids, alcohols and derivatives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(BAs) in serum metabolomic dataset.</w:t>
      </w:r>
      <w:r>
        <w:t xml:space="preserve"> </w:t>
      </w:r>
      <w:r>
        <w:t xml:space="preserve">Figure 7</w:t>
      </w:r>
      <w:r>
        <w:rPr>
          <w:bCs/>
          <w:b/>
        </w:rPr>
        <w:t xml:space="preserve">a</w:t>
      </w:r>
      <w:r>
        <w:t xml:space="preserve">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show heatmap of level of ACs, LPCs and BAs.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The carnitine system in mitochondria.</w:t>
      </w:r>
      <w:r>
        <w:t xml:space="preserve"> </w:t>
      </w:r>
      <w:r>
        <w:t xml:space="preserve">Abbreviation: CPT1, carnitine-palmitoyltransferase-1; CACT, carnitine-acylcarnitine translocase; CrAT, carnitine acetyltransferase; CPT2, carnitine-palmitoyltransferase-2.</w:t>
      </w:r>
      <w:r>
        <w:t xml:space="preserve"> </w:t>
      </w:r>
      <w:r>
        <w:rPr>
          <w:bCs/>
          <w:b/>
        </w:rPr>
        <w:t xml:space="preserve">d</w:t>
      </w:r>
      <w:r>
        <w:t xml:space="preserve">) Enrichment analysis of LPCs in pagerank algorithm with Kyoto Encyclopedia of Genes and Genomes (KEGG) metabolomic pathway.</w:t>
      </w:r>
      <w:r>
        <w:t xml:space="preserve"> </w:t>
      </w:r>
      <w:r>
        <w:t xml:space="preserve">Abbreviation: P A2, phospholipase A2; PC-Sterol O-AT, phosphatidylcholine-sterol O-acyltransferase; LP, lysophospholipase; 1-AGPC O-AT, 1-acylglycerophosphocholine O-acyltransferase;</w:t>
      </w:r>
      <w:r>
        <w:t xml:space="preserve"> </w:t>
      </w:r>
      <w:r>
        <w:rPr>
          <w:bCs/>
          <w:b/>
        </w:rPr>
        <w:t xml:space="preserve">f</w:t>
      </w:r>
      <w:r>
        <w:t xml:space="preserve">) Enrichment analysis of BAs in pagerank algorithm with KEGG metabolomic pathway.</w:t>
      </w:r>
      <w:r>
        <w:t xml:space="preserve"> </w:t>
      </w:r>
      <w:r>
        <w:t xml:space="preserve">Abbreviation: βGC, beta-glucuronidase; βGCS, beta-D-Glucuronoside; GT, glucuronosyltransferase; TCDC 6α-H, taurochenodeoxycholate 6alpha-hydroxylase; TCDC, taurochenodeoxycholate; GCC, Glycocholate; GCCDC, Glycochenodeoxycholate; Conju. BAs syn.,</w:t>
      </w:r>
      <w:r>
        <w:t xml:space="preserve"> </w:t>
      </w:r>
      <w:r>
        <w:t xml:space="preserve">‘</w:t>
      </w:r>
      <w:r>
        <w:t xml:space="preserve">Conjugated bile acid biosynthesis, cholate</w:t>
      </w:r>
      <w:r>
        <w:t xml:space="preserve">’</w:t>
      </w:r>
      <w:r>
        <w:t xml:space="preserve">; BA-CoA, bile acid-CoA:amino acid N-acyltransferase.</w:t>
      </w:r>
    </w:p>
    <w:p>
      <w:pPr>
        <w:pStyle w:val="BodyText"/>
      </w:pPr>
      <w:r>
        <w:t xml:space="preserve">  </w:t>
      </w:r>
      <w:r>
        <w:t xml:space="preserve"> </w:t>
      </w:r>
      <w:r>
        <w:rPr>
          <w:bCs/>
          <w:b/>
        </w:rPr>
        <w:t xml:space="preserve">Fig. 8 | Marking features with fold change in child-nebulae to explore chemical transformation during processing of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E. ulmoides</w:t>
      </w:r>
      <w:r>
        <w:rPr>
          <w:bCs/>
          <w:b/>
        </w:rPr>
        <w:t xml:space="preserve">.</w:t>
      </w:r>
      <w:r>
        <w:t xml:space="preserve"> </w:t>
      </w:r>
      <w:r>
        <w:t xml:space="preserve">Figure 8a illustrates the rank of variation relative abundance (VRA) of classified classes in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dataset.</w:t>
      </w:r>
      <w:r>
        <w:t xml:space="preserve"> </w:t>
      </w:r>
      <w:r>
        <w:t xml:space="preserve">The VRA is calculated as: feature amount of |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F</m:t>
        </m:r>
        <m:r>
          <m:t>C</m:t>
        </m:r>
        <m:r>
          <m:rPr>
            <m:sty m:val="p"/>
          </m:rPr>
          <m:t>)</m:t>
        </m:r>
      </m:oMath>
      <w:r>
        <w:t xml:space="preserve">| &gt; 1 divided by feature sum in classified nebula.</w:t>
      </w:r>
      <w:r>
        <w:t xml:space="preserve"> </w:t>
      </w:r>
      <w:r>
        <w:t xml:space="preserve">Those classes of VRA &gt; 0 in nebula-index are extracted to generated neo-nebula-index.</w:t>
      </w:r>
      <w:r>
        <w:t xml:space="preserve"> </w:t>
      </w:r>
      <w:r>
        <w:t xml:space="preserve">Figure 8b, the neo-child-nebulae are visualized according to neo-nebula-index and illustrates the features of |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F</m:t>
        </m:r>
        <m:r>
          <m:t>C</m:t>
        </m:r>
        <m:r>
          <m:rPr>
            <m:sty m:val="p"/>
          </m:rPr>
          <m:t>)</m:t>
        </m:r>
      </m:oMath>
      <w:r>
        <w:t xml:space="preserve">| &gt; 1 in classified nebula.</w:t>
      </w:r>
      <w:r>
        <w:t xml:space="preserve"> </w:t>
      </w:r>
      <w:r>
        <w:t xml:space="preserve">Other mapping annotation refer to figure 1.</w:t>
      </w:r>
    </w:p>
    <w:bookmarkEnd w:id="21"/>
    <w:bookmarkStart w:id="22" w:name="supplementation"/>
    <w:p>
      <w:pPr>
        <w:pStyle w:val="Heading2"/>
      </w:pPr>
      <w:r>
        <w:t xml:space="preserve">Supplementation</w:t>
      </w:r>
    </w:p>
    <w:p>
      <w:pPr>
        <w:pStyle w:val="FirstParagraph"/>
      </w:pPr>
      <w:r>
        <w:t xml:space="preserve">  </w:t>
      </w:r>
      <w:r>
        <w:t xml:space="preserve"> </w:t>
      </w:r>
      <w:r>
        <w:rPr>
          <w:bCs/>
          <w:b/>
        </w:rPr>
        <w:t xml:space="preserve">Fig. S1 | Evaluation of classified accuracy and noise tolerance of benchmark algorithm.</w:t>
      </w:r>
      <w:r>
        <w:t xml:space="preserve"> </w:t>
      </w:r>
      <w:r>
        <w:t xml:space="preserve">The illustration of this figure refer to figure 5.</w:t>
      </w:r>
    </w:p>
    <w:p>
      <w:pPr>
        <w:pStyle w:val="BodyText"/>
      </w:pPr>
      <w:r>
        <w:t xml:space="preserve">  </w:t>
      </w:r>
      <w:r>
        <w:t xml:space="preserve"> </w:t>
      </w:r>
      <w:r>
        <w:rPr>
          <w:bCs/>
          <w:b/>
        </w:rPr>
        <w:t xml:space="preserve">Fig. S2 | In-depth visualization of child-nebula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Lysophosphatidylcholines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(LPCs) and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Bile acids, alcohols and derivatives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(BAs).</w:t>
      </w:r>
      <w:r>
        <w:t xml:space="preserve"> </w:t>
      </w:r>
      <w:r>
        <w:t xml:space="preserve">The illustration of this figure refer to figure 4.</w:t>
      </w:r>
    </w:p>
    <w:p>
      <w:pPr>
        <w:pStyle w:val="BodyText"/>
      </w:pPr>
      <w:r>
        <w:t xml:space="preserve">  </w:t>
      </w:r>
      <w:r>
        <w:t xml:space="preserve"> </w:t>
      </w:r>
      <w:r>
        <w:rPr>
          <w:bCs/>
          <w:b/>
        </w:rPr>
        <w:t xml:space="preserve">Fig. S3 | In-depth visualization of child-nebula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Pyranones and derivatives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(PDs) and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Iridoid O-glycosides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(IOGs) facilitated discovery of chemical transformation in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E. ulmoides</w:t>
      </w:r>
      <w:r>
        <w:rPr>
          <w:bCs/>
          <w:b/>
        </w:rPr>
        <w:t xml:space="preserve"> </w:t>
      </w:r>
      <w:r>
        <w:rPr>
          <w:bCs/>
          <w:b/>
        </w:rPr>
        <w:t xml:space="preserve">dataset.</w:t>
      </w:r>
      <w:r>
        <w:t xml:space="preserve"> </w:t>
      </w:r>
      <w:r>
        <w:t xml:space="preserve">The illustration of this figure refer to figure 4.</w:t>
      </w:r>
    </w:p>
    <w:p>
      <w:pPr>
        <w:pStyle w:val="BodyText"/>
      </w:pPr>
      <w:r>
        <w:t xml:space="preserve">  </w:t>
      </w:r>
      <w:r>
        <w:t xml:space="preserve"> </w:t>
      </w:r>
      <w:r>
        <w:rPr>
          <w:bCs/>
          <w:b/>
        </w:rPr>
        <w:t xml:space="preserve">Fig. S4 | Mass spectrometry inspection for remarkable features of lignans and iridoids in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E. ulmoides</w:t>
      </w:r>
      <w:r>
        <w:rPr>
          <w:bCs/>
          <w:b/>
        </w:rPr>
        <w:t xml:space="preserve"> </w:t>
      </w:r>
      <w:r>
        <w:rPr>
          <w:bCs/>
          <w:b/>
        </w:rPr>
        <w:t xml:space="preserve">dataset.</w:t>
      </w:r>
      <w:r>
        <w:t xml:space="preserve"> </w:t>
      </w:r>
      <w:r>
        <w:t xml:space="preserve">The features are picked with |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F</m:t>
        </m:r>
        <m:r>
          <m:t>C</m:t>
        </m:r>
        <m:r>
          <m:rPr>
            <m:sty m:val="p"/>
          </m:rPr>
          <m:t>)</m:t>
        </m:r>
      </m:oMath>
      <w:r>
        <w:t xml:space="preserve">| &gt; 1, Tanimoto similarity &gt; 0.5, and fine peak shape.</w:t>
      </w:r>
      <w:r>
        <w:t xml:space="preserve"> </w:t>
      </w:r>
      <w:r>
        <w:t xml:space="preserve">(</w:t>
      </w:r>
      <w:r>
        <w:rPr>
          <w:bCs/>
          <w:b/>
        </w:rPr>
        <w:t xml:space="preserve">a</w:t>
      </w:r>
      <w:r>
        <w:t xml:space="preserve">)</w:t>
      </w:r>
      <w:r>
        <w:t xml:space="preserve"> </w:t>
      </w:r>
      <w:r>
        <w:t xml:space="preserve">The extracted ion chromatogram (EIC) plot illustrates the peak shape detected via Automated Data Analysis Pipeline (ADAP) algorithm.</w:t>
      </w:r>
      <w:r>
        <w:t xml:space="preserve"> </w:t>
      </w:r>
      <w:r>
        <w:t xml:space="preserve">(</w:t>
      </w:r>
      <w:r>
        <w:rPr>
          <w:bCs/>
          <w:b/>
        </w:rPr>
        <w:t xml:space="preserve">b</w:t>
      </w:r>
      <w:r>
        <w:t xml:space="preserve">)</w:t>
      </w:r>
      <w:r>
        <w:t xml:space="preserve"> </w:t>
      </w:r>
      <w:r>
        <w:t xml:space="preserve">The mirrored MS/MS spectra plots illustrated the raw MS/MS spectra (back bar) and the noise filtered MS/MS spectra (red bar) obtained via building fragmentation tree in SIRIUS workflow.</w:t>
      </w:r>
      <w:r>
        <w:t xml:space="preserve"> </w:t>
      </w:r>
      <w:r>
        <w:t xml:space="preserve">The dot above the bar implied a corresponding relation.</w:t>
      </w:r>
      <w:r>
        <w:t xml:space="preserve"> </w:t>
      </w:r>
      <w:r>
        <w:t xml:space="preserve">The top score structures were mapped into mirrored MS/MS spectra.</w:t>
      </w:r>
    </w:p>
    <w:p>
      <w:pPr>
        <w:pStyle w:val="BodyText"/>
      </w:pPr>
      <w:r>
        <w:t xml:space="preserve">  </w:t>
      </w:r>
      <w:r>
        <w:t xml:space="preserve"> </w:t>
      </w:r>
      <w:r>
        <w:rPr>
          <w:bCs/>
          <w:b/>
        </w:rPr>
        <w:t xml:space="preserve">Fig. S5 | Interrogation of classes distribution of raw spectral library collection in child-nebulae.</w:t>
      </w:r>
      <w:r>
        <w:t xml:space="preserve"> </w:t>
      </w:r>
      <w:r>
        <w:t xml:space="preserve">The illustration of this figure refer to figure 1.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chemaxon.com/display/docs/molconver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chemaxon.com/display/docs/molconver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2022-06-01T13:47:48Z</dcterms:created>
  <dcterms:modified xsi:type="dcterms:W3CDTF">2022-06-01T13:47:48Z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csl">
    <vt:lpwstr>styles.csl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