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Rollout Market + Mismatch Observatory</w:t>
      </w:r>
    </w:p>
    <w:p>
      <w:pPr>
        <w:jc w:val="center"/>
      </w:pPr>
      <w:r>
        <w:rPr>
          <w:color w:val="4B5563"/>
          <w:sz w:val="24"/>
        </w:rPr>
        <w:t>Why the place must exist, what to show first, and how to build it with long-running Claude Code and Codex agents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1FAE5"/>
            <w:vAlign w:val="center"/>
          </w:tcPr>
          <w:p>
            <w:pPr>
              <w:spacing w:after="60"/>
            </w:pPr>
            <w:r>
              <w:rPr>
                <w:b/>
                <w:sz w:val="22"/>
              </w:rPr>
              <w:t>Verdict</w:t>
            </w:r>
          </w:p>
          <w:p>
            <w:pPr>
              <w:spacing w:after="60"/>
            </w:pPr>
            <w:r>
              <w:rPr>
                <w:sz w:val="20"/>
              </w:rPr>
              <w:t>Do not stop the project if it is framed as a rollout validity layer plus public mismatch observatory. Stop or shrink it if it becomes only a generic queue for cheap GPUs. The defensible open-source contribution is not "more workers"; it is verified, policy-pinned, mismatch-accounted trajectory supply that external trainers can safely consume.</w:t>
            </w:r>
          </w:p>
        </w:tc>
      </w:tr>
    </w:tbl>
    <w:p/>
    <w:p>
      <w:pPr>
        <w:pStyle w:val="Heading1"/>
      </w:pPr>
      <w:r>
        <w:t>1. The public thing to show before the repo is mature</w:t>
      </w:r>
    </w:p>
    <w:p>
      <w:r>
        <w:t>The repository should ship with an immediately understandable demonstration called the Rollout Mismatch Observatory. The observatory is a benchmark harness, dashboard, and evidence pack that answers one question: when the trainer consumes rollouts from remote or heterogeneous inference providers, are those rollouts still materially the same behavior policy in the policy-gradient sense?</w:t>
      </w:r>
    </w:p>
    <w:p>
      <w:pPr>
        <w:pStyle w:val="ListBullet"/>
      </w:pPr>
      <w:r>
        <w:rPr>
          <w:b/>
        </w:rPr>
        <w:t xml:space="preserve">Claim to prove: </w:t>
      </w:r>
      <w:r>
        <w:t>Same model label is not enough. A trainable rollout must carry token IDs, sampled-token behavior logprobs, tokenizer hash, policy version, engine fingerprint, precision class, routing/quantization metadata, masks, and staleness telemetry.</w:t>
      </w:r>
    </w:p>
    <w:p>
      <w:pPr>
        <w:pStyle w:val="ListBullet"/>
      </w:pPr>
      <w:r>
        <w:rPr>
          <w:b/>
        </w:rPr>
        <w:t xml:space="preserve">Initial demo: </w:t>
      </w:r>
      <w:r>
        <w:t>Show that endpoint/provider/engine differences create observable logprob and token-boundary differences, then translate those differences into ESS, clipping, and gradient-concentration metrics.</w:t>
      </w:r>
    </w:p>
    <w:p>
      <w:pPr>
        <w:pStyle w:val="ListBullet"/>
      </w:pPr>
      <w:r>
        <w:rPr>
          <w:b/>
        </w:rPr>
        <w:t xml:space="preserve">Research demo: </w:t>
      </w:r>
      <w:r>
        <w:t>Use controlled local serving to isolate dense-model engine/precision mismatch, then add small MoE router replay as the wow experiment.</w:t>
      </w:r>
    </w:p>
    <w:p>
      <w:pPr>
        <w:pStyle w:val="Heading1"/>
      </w:pPr>
      <w:r>
        <w:t>2. Why this place needs to exist</w:t>
      </w:r>
    </w:p>
    <w:p>
      <w:pPr>
        <w:pStyle w:val="ListBullet"/>
      </w:pPr>
      <w:r>
        <w:t>Agentic RL rollouts are slow, long, and variable-length; adding trainer GPUs does not fix a rollout starvation problem.</w:t>
      </w:r>
    </w:p>
    <w:p>
      <w:pPr>
        <w:pStyle w:val="ListBullet"/>
      </w:pPr>
      <w:r>
        <w:t>Rollout workers will naturally be heterogeneous: on-prem GPUs, spot GPUs, community nodes, vLLM, SGLang, CUDA, ROCm, BF16, FP16, FP8, and quantized paths.</w:t>
      </w:r>
    </w:p>
    <w:p>
      <w:pPr>
        <w:pStyle w:val="ListBullet"/>
      </w:pPr>
      <w:r>
        <w:t>GRPO and related policy-gradient methods need behavior-policy identity. Sibling trajectories in a group must normally come from the same logical policy snapshot; otherwise the group baseline and advantage accounting are no longer clean.</w:t>
      </w:r>
    </w:p>
    <w:p>
      <w:pPr>
        <w:pStyle w:val="ListBullet"/>
      </w:pPr>
      <w:r>
        <w:t>Remote rollout supply without validation creates negative value: stale, missing-logprob, retokenized, wrong-tokenizer, mixed-version, or quantized-drift trajectories can be worse than no data.</w:t>
      </w:r>
    </w:p>
    <w:p>
      <w:pPr>
        <w:pStyle w:val="ListBullet"/>
      </w:pPr>
      <w:r>
        <w:t>The market should price quality-adjusted trainable experience, not raw generated tokens.</w:t>
      </w:r>
    </w:p>
    <w:p>
      <w:pPr>
        <w:pStyle w:val="Heading1"/>
      </w:pPr>
      <w:r>
        <w:t>3. Demo ladder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E5E7EB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Demo</w:t>
            </w:r>
          </w:p>
        </w:tc>
        <w:tc>
          <w:tcPr>
            <w:tcW w:type="dxa" w:w="2033"/>
            <w:shd w:fill="E5E7EB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Goal</w:t>
            </w:r>
          </w:p>
        </w:tc>
        <w:tc>
          <w:tcPr>
            <w:tcW w:type="dxa" w:w="2033"/>
            <w:shd w:fill="E5E7EB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Setup</w:t>
            </w:r>
          </w:p>
        </w:tc>
        <w:tc>
          <w:tcPr>
            <w:tcW w:type="dxa" w:w="2033"/>
            <w:shd w:fill="E5E7EB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What it proves</w:t>
            </w:r>
          </w:p>
        </w:tc>
        <w:tc>
          <w:tcPr>
            <w:tcW w:type="dxa" w:w="2033"/>
            <w:shd w:fill="E5E7EB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Ship criterion</w:t>
            </w:r>
          </w:p>
        </w:tc>
      </w:tr>
      <w:tr>
        <w:tc>
          <w:tcPr>
            <w:tcW w:type="dxa" w:w="2033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A. Endpoint identity gap</w:t>
            </w:r>
          </w:p>
        </w:tc>
        <w:tc>
          <w:tcPr>
            <w:tcW w:type="dxa" w:w="2033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Fast awareness demo</w:t>
            </w:r>
          </w:p>
        </w:tc>
        <w:tc>
          <w:tcPr>
            <w:tcW w:type="dxa" w:w="2033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Use free/cheap OpenAI-compatible endpoints where logprobs/token IDs are available; compare same model label across providers.</w:t>
            </w:r>
          </w:p>
        </w:tc>
        <w:tc>
          <w:tcPr>
            <w:tcW w:type="dxa" w:w="2033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Hosted endpoint is not a policy identity guarantee.</w:t>
            </w:r>
          </w:p>
        </w:tc>
        <w:tc>
          <w:tcPr>
            <w:tcW w:type="dxa" w:w="2033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Dashboard shows token/text/logprob divergence and contract gaps.</w:t>
            </w:r>
          </w:p>
        </w:tc>
      </w:tr>
      <w:tr>
        <w:tc>
          <w:tcPr>
            <w:tcW w:type="dxa" w:w="2033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B. Controlled dense mismatch lab</w:t>
            </w:r>
          </w:p>
        </w:tc>
        <w:tc>
          <w:tcPr>
            <w:tcW w:type="dxa" w:w="2033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Paper-quality first benchmark</w:t>
            </w:r>
          </w:p>
        </w:tc>
        <w:tc>
          <w:tcPr>
            <w:tcW w:type="dxa" w:w="2033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Same small dense model served via Transformers reference, vLLM, SGLang, BF16/FP16/FP8 where possible.</w:t>
            </w:r>
          </w:p>
        </w:tc>
        <w:tc>
          <w:tcPr>
            <w:tcW w:type="dxa" w:w="2033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Inference engine and precision choices can create policy-gradient materiality.</w:t>
            </w:r>
          </w:p>
        </w:tc>
        <w:tc>
          <w:tcPr>
            <w:tcW w:type="dxa" w:w="2033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Report ESS, E[w^2], clipped fraction, gradient concentration, and sequence log-ratio slopes.</w:t>
            </w:r>
          </w:p>
        </w:tc>
      </w:tr>
      <w:tr>
        <w:tc>
          <w:tcPr>
            <w:tcW w:type="dxa" w:w="2033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C. Small MoE router mismatch</w:t>
            </w:r>
          </w:p>
        </w:tc>
        <w:tc>
          <w:tcPr>
            <w:tcW w:type="dxa" w:w="2033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Wow demo</w:t>
            </w:r>
          </w:p>
        </w:tc>
        <w:tc>
          <w:tcPr>
            <w:tcW w:type="dxa" w:w="2033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Qwen1.5-MoE-A2.7B or another small open MoE; record expert indices in rollout and compare training replay.</w:t>
            </w:r>
          </w:p>
        </w:tc>
        <w:tc>
          <w:tcPr>
            <w:tcW w:type="dxa" w:w="2033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MoE routing makes mismatch discontinuous and harder than dense drift.</w:t>
            </w:r>
          </w:p>
        </w:tc>
        <w:tc>
          <w:tcPr>
            <w:tcW w:type="dxa" w:w="2033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Show router flip rate, tokens with expert disagreement, and IS/ESS effect before/after routing replay.</w:t>
            </w:r>
          </w:p>
        </w:tc>
      </w:tr>
      <w:tr>
        <w:tc>
          <w:tcPr>
            <w:tcW w:type="dxa" w:w="2033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D. Market simulation</w:t>
            </w:r>
          </w:p>
        </w:tc>
        <w:tc>
          <w:tcPr>
            <w:tcW w:type="dxa" w:w="2033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Product demo</w:t>
            </w:r>
          </w:p>
        </w:tc>
        <w:tc>
          <w:tcPr>
            <w:tcW w:type="dxa" w:w="2033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10-50 fake/real workers with varied lag, precision, engine, preemption, missing metadata.</w:t>
            </w:r>
          </w:p>
        </w:tc>
        <w:tc>
          <w:tcPr>
            <w:tcW w:type="dxa" w:w="2033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The market accepts useful groups and rejects/quarantines toxic supply.</w:t>
            </w:r>
          </w:p>
        </w:tc>
        <w:tc>
          <w:tcPr>
            <w:tcW w:type="dxa" w:w="2033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Trainer client pulls only accepted groups; OPBC explains every decision.</w:t>
            </w:r>
          </w:p>
        </w:tc>
      </w:tr>
    </w:tbl>
    <w:p/>
    <w:p>
      <w:pPr>
        <w:pStyle w:val="Heading1"/>
      </w:pPr>
      <w:r>
        <w:t>4. Should the first demo use a small MoE model?</w:t>
      </w:r>
    </w:p>
    <w:p>
      <w:r>
        <w:t>Recommendation: use MoE as Demo C, not as the very first proof.</w:t>
      </w:r>
    </w:p>
    <w:p>
      <w:pPr>
        <w:pStyle w:val="ListBullet"/>
      </w:pPr>
      <w:r>
        <w:rPr>
          <w:b/>
        </w:rPr>
        <w:t xml:space="preserve">Use free/cheap endpoints first only for awareness: </w:t>
      </w:r>
      <w:r>
        <w:t>They are good for showing that provider metadata, logprob semantics, and token IDs are often insufficient. But they are not rigorous enough for policy-gradient claims because you usually do not control the exact checkpoint, seed, kernel, tokenizer build, or sampled-token logprob contract.</w:t>
      </w:r>
    </w:p>
    <w:p>
      <w:pPr>
        <w:pStyle w:val="ListBullet"/>
      </w:pPr>
      <w:r>
        <w:rPr>
          <w:b/>
        </w:rPr>
        <w:t xml:space="preserve">Use a controlled dense local lab first for credibility: </w:t>
      </w:r>
      <w:r>
        <w:t>Host the same checkpoint yourself under at least two inference paths and one reference trainer forward. That isolates the mismatch source.</w:t>
      </w:r>
    </w:p>
    <w:p>
      <w:pPr>
        <w:pStyle w:val="ListBullet"/>
      </w:pPr>
      <w:r>
        <w:rPr>
          <w:b/>
        </w:rPr>
        <w:t xml:space="preserve">Then use small MoE for the wow: </w:t>
      </w:r>
      <w:r>
        <w:t>Small MoE reveals expert-routing discontinuities. It is the place where the mismatch layer becomes visibly more valuable than a normal rollout queue.</w:t>
      </w:r>
    </w:p>
    <w:p>
      <w:pPr>
        <w:pStyle w:val="Heading1"/>
      </w:pPr>
      <w:r>
        <w:t>5. Policy-gradient materiality: what to measure</w:t>
      </w:r>
    </w:p>
    <w:p>
      <w:r>
        <w:t>For every valid policy token t, store rollout behavior logprob log_mu_t and recompute trainer logprob log_pi_t. Tool-output tokens and non-policy tokens must be masked out.</w:t>
      </w:r>
    </w:p>
    <w:p>
      <w:pPr>
        <w:pStyle w:val="ListBullet"/>
      </w:pPr>
      <w:r>
        <w:t>per_token_delta_t = log_pi_t - log_mu_t</w:t>
      </w:r>
    </w:p>
    <w:p>
      <w:pPr>
        <w:pStyle w:val="ListBullet"/>
      </w:pPr>
      <w:r>
        <w:t>sequence_log_ratio = sum_t mask_t * per_token_delta_t</w:t>
      </w:r>
    </w:p>
    <w:p>
      <w:pPr>
        <w:pStyle w:val="ListBullet"/>
      </w:pPr>
      <w:r>
        <w:t>w = exp(clip(sequence_log_ratio, -C, C)) or a turn/token-level variant</w:t>
      </w:r>
    </w:p>
    <w:p>
      <w:pPr>
        <w:pStyle w:val="ListBullet"/>
      </w:pPr>
      <w:r>
        <w:t>ESS = (sum_i w_i)^2 / (n * sum_i w_i^2)</w:t>
      </w:r>
    </w:p>
    <w:p>
      <w:pPr>
        <w:pStyle w:val="ListBullet"/>
      </w:pPr>
      <w:r>
        <w:t>E[w^2], clipped_fraction, veto_fraction, max_abs_log_ratio, top_1pct_gradient_mass</w:t>
      </w:r>
    </w:p>
    <w:p>
      <w:pPr>
        <w:pStyle w:val="ListBullet"/>
      </w:pPr>
      <w:r>
        <w:t>Group-level checks: one policy_version, one tokenizer_hash, one sampling_config_hash, one precision_class by default.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EF3C7"/>
            <w:vAlign w:val="center"/>
          </w:tcPr>
          <w:p>
            <w:pPr>
              <w:spacing w:after="60"/>
            </w:pPr>
            <w:r>
              <w:rPr>
                <w:b/>
                <w:sz w:val="22"/>
              </w:rPr>
              <w:t>Materiality threshold</w:t>
            </w:r>
          </w:p>
          <w:p>
            <w:pPr>
              <w:spacing w:after="60"/>
            </w:pPr>
            <w:r>
              <w:rPr>
                <w:sz w:val="20"/>
              </w:rPr>
              <w:t>The observatory should not merely say outputs differ. It should say whether the differences would change a policy-gradient update: ESS collapse, ratio clipping, gradient concentration, or advantage sign/rank distortion inside GRPO groups.</w:t>
            </w:r>
          </w:p>
        </w:tc>
      </w:tr>
    </w:tbl>
    <w:p/>
    <w:p>
      <w:pPr>
        <w:pStyle w:val="Heading1"/>
      </w:pPr>
      <w:r>
        <w:t>6. Repository scope update</w:t>
      </w:r>
    </w:p>
    <w:p>
      <w:r>
        <w:t>The repo remains trainerless. It should expose worker and trainer clients, not implement PPO/GRPO training.</w:t>
      </w:r>
    </w:p>
    <w:p>
      <w:pPr>
        <w:pStyle w:val="ListBullet"/>
      </w:pPr>
      <w:r>
        <w:rPr>
          <w:b/>
        </w:rPr>
        <w:t xml:space="preserve">Keep: </w:t>
      </w:r>
      <w:r>
        <w:t>PolicyRegistry, LiveStore, dispatcher, worker SDK, trainer client, OPBC, verifier, mismatch observatory, contracts, examples, docs.</w:t>
      </w:r>
    </w:p>
    <w:p>
      <w:pPr>
        <w:pStyle w:val="ListBullet"/>
      </w:pPr>
      <w:r>
        <w:rPr>
          <w:b/>
        </w:rPr>
        <w:t xml:space="preserve">Exclude: </w:t>
      </w:r>
      <w:r>
        <w:t>optimizer step, FSDP/Megatron training loop, PPO/GRPO implementation, reward-model training, payment layer in v0.</w:t>
      </w:r>
    </w:p>
    <w:p>
      <w:pPr>
        <w:pStyle w:val="ListBullet"/>
      </w:pPr>
      <w:r>
        <w:rPr>
          <w:b/>
        </w:rPr>
        <w:t xml:space="preserve">Allow: </w:t>
      </w:r>
      <w:r>
        <w:t>a fake trainer/test consumer under examples or tests, only to prove the API works.</w:t>
      </w:r>
    </w:p>
    <w:p>
      <w:pPr>
        <w:pStyle w:val="Heading1"/>
      </w:pPr>
      <w:r>
        <w:t>7. Agent-executable development model</w:t>
      </w:r>
    </w:p>
    <w:p>
      <w:r>
        <w:t>Claude Code and Codex should be treated as long-running engineering agents. Tasks must look like high-quality GitHub issues: context, goal, non-goals, files to read, required changes, acceptance criteria, and verification commands.</w:t>
      </w:r>
    </w:p>
    <w:p>
      <w:pPr>
        <w:pStyle w:val="ListBullet"/>
      </w:pPr>
      <w:r>
        <w:t>Add AGENTS.md before coding starts. It must say: this repository is not a trainer.</w:t>
      </w:r>
    </w:p>
    <w:p>
      <w:pPr>
        <w:pStyle w:val="ListBullet"/>
      </w:pPr>
      <w:r>
        <w:t>Every task should include file boundaries and a test command.</w:t>
      </w:r>
    </w:p>
    <w:p>
      <w:pPr>
        <w:pStyle w:val="ListBullet"/>
      </w:pPr>
      <w:r>
        <w:t>Use small PRs with one contract surface per PR.</w:t>
      </w:r>
    </w:p>
    <w:p>
      <w:pPr>
        <w:pStyle w:val="ListBullet"/>
      </w:pPr>
      <w:r>
        <w:t>Each agent should update docs and fixtures with code changes.</w:t>
      </w:r>
    </w:p>
    <w:p>
      <w:pPr>
        <w:pStyle w:val="ListBullet"/>
      </w:pPr>
      <w:r>
        <w:t>The initial backlog should prioritize observability and validation before distributed scheduling complexity.</w:t>
      </w:r>
    </w:p>
    <w:p>
      <w:pPr>
        <w:pStyle w:val="Heading1"/>
      </w:pPr>
      <w:r>
        <w:t>8. Core OS launch plan</w:t>
      </w:r>
    </w:p>
    <w:p>
      <w:pPr>
        <w:pStyle w:val="ListNumber"/>
      </w:pPr>
      <w:r>
        <w:rPr>
          <w:b/>
        </w:rPr>
        <w:t xml:space="preserve">Week 0 - repo reset: </w:t>
      </w:r>
      <w:r>
        <w:t>README, AGENTS.md, non-goals, architecture, mismatch observatory docs, issue templates.</w:t>
      </w:r>
    </w:p>
    <w:p>
      <w:pPr>
        <w:pStyle w:val="ListNumber"/>
      </w:pPr>
      <w:r>
        <w:rPr>
          <w:b/>
        </w:rPr>
        <w:t xml:space="preserve">Week 1 - contracts: </w:t>
      </w:r>
      <w:r>
        <w:t>PolicyManifest, RolloutJob, RolloutLease, RolloutGroup, OPBCReport, JSON schemas, golden fixtures.</w:t>
      </w:r>
    </w:p>
    <w:p>
      <w:pPr>
        <w:pStyle w:val="ListNumber"/>
      </w:pPr>
      <w:r>
        <w:rPr>
          <w:b/>
        </w:rPr>
        <w:t xml:space="preserve">Week 2 - local loop: </w:t>
      </w:r>
      <w:r>
        <w:t>Local dispatcher, in-memory/SQLite LiveStore, policy registry, worker simulator, trainer client pull API.</w:t>
      </w:r>
    </w:p>
    <w:p>
      <w:pPr>
        <w:pStyle w:val="ListNumber"/>
      </w:pPr>
      <w:r>
        <w:rPr>
          <w:b/>
        </w:rPr>
        <w:t xml:space="preserve">Week 3 - Mismatch Observatory A/B: </w:t>
      </w:r>
      <w:r>
        <w:t>Free endpoint probe and controlled dense mismatch lab with metrics files and dashboard.</w:t>
      </w:r>
    </w:p>
    <w:p>
      <w:pPr>
        <w:pStyle w:val="ListNumber"/>
      </w:pPr>
      <w:r>
        <w:rPr>
          <w:b/>
        </w:rPr>
        <w:t xml:space="preserve">Week 4 - OPBC v0: </w:t>
      </w:r>
      <w:r>
        <w:t>Train/replay/quarantine/reject decisions with human-readable reasons and feedback ingestion.</w:t>
      </w:r>
    </w:p>
    <w:p>
      <w:pPr>
        <w:pStyle w:val="ListNumber"/>
      </w:pPr>
      <w:r>
        <w:rPr>
          <w:b/>
        </w:rPr>
        <w:t xml:space="preserve">Weeks 5-6 - remote workers: </w:t>
      </w:r>
      <w:r>
        <w:t>Worker registration, leases, heartbeats, policy pins, failure/retry, spot interruption simulation.</w:t>
      </w:r>
    </w:p>
    <w:p>
      <w:pPr>
        <w:pStyle w:val="ListNumber"/>
      </w:pPr>
      <w:r>
        <w:rPr>
          <w:b/>
        </w:rPr>
        <w:t xml:space="preserve">Weeks 7-8 - MoE wow: </w:t>
      </w:r>
      <w:r>
        <w:t>Router trace contract, small MoE router mismatch experiment, before/after routing replay demo.</w:t>
      </w:r>
    </w:p>
    <w:p>
      <w:pPr>
        <w:pStyle w:val="Heading1"/>
      </w:pPr>
      <w:r>
        <w:t>9. Evidence review: core pain points found</w:t>
      </w:r>
    </w:p>
    <w:p>
      <w:pPr>
        <w:pStyle w:val="ListBullet"/>
      </w:pPr>
      <w:r>
        <w:rPr>
          <w:b/>
        </w:rPr>
        <w:t xml:space="preserve">Rollout generation dominates time: </w:t>
      </w:r>
      <w:r>
        <w:t>Multiple 2026 systems papers and docs report 65-72% or up to 70% step-time share in long-output or rollout-heavy regimes.</w:t>
      </w:r>
    </w:p>
    <w:p>
      <w:pPr>
        <w:pStyle w:val="ListBullet"/>
      </w:pPr>
      <w:r>
        <w:rPr>
          <w:b/>
        </w:rPr>
        <w:t xml:space="preserve">Decoupling rollout from trainer is already happening: </w:t>
      </w:r>
      <w:r>
        <w:t>ProRL Agent and related systems are moving toward rollout-as-a-service, but not yet a public quality-scored marketplace.</w:t>
      </w:r>
    </w:p>
    <w:p>
      <w:pPr>
        <w:pStyle w:val="ListBullet"/>
      </w:pPr>
      <w:r>
        <w:rPr>
          <w:b/>
        </w:rPr>
        <w:t xml:space="preserve">Mismatch is practical, not theoretical: </w:t>
      </w:r>
      <w:r>
        <w:t>VeRL, Swift, FP16 work, and vLLM/TorchTitan all treat train-inference mismatch as an operational stability issue.</w:t>
      </w:r>
    </w:p>
    <w:p>
      <w:pPr>
        <w:pStyle w:val="ListBullet"/>
      </w:pPr>
      <w:r>
        <w:rPr>
          <w:b/>
        </w:rPr>
        <w:t xml:space="preserve">Off-policy correction must be budgeted: </w:t>
      </w:r>
      <w:r>
        <w:t>M2PO, VCPO/Stable Asynchrony, and related work point to ESS/E[w^2] and second-moment controls rather than raw freshness only.</w:t>
      </w:r>
    </w:p>
    <w:p>
      <w:pPr>
        <w:pStyle w:val="ListBullet"/>
      </w:pPr>
      <w:r>
        <w:rPr>
          <w:b/>
        </w:rPr>
        <w:t xml:space="preserve">MoE makes mismatch more dramatic: </w:t>
      </w:r>
      <w:r>
        <w:t>Router replay work indicates that expert routing can diverge between rollout and training paths, creating discontinuous mismatch.</w:t>
      </w:r>
    </w:p>
    <w:p>
      <w:pPr>
        <w:pStyle w:val="ListBullet"/>
      </w:pPr>
      <w:r>
        <w:rPr>
          <w:b/>
        </w:rPr>
        <w:t xml:space="preserve">Spot markets are cheap but hostile: </w:t>
      </w:r>
      <w:r>
        <w:t>Vast and RunPod docs show interruption/bidding behavior; rollout workers need leases, checkpointing, and idempotent commit.</w:t>
      </w:r>
    </w:p>
    <w:p>
      <w:pPr>
        <w:pStyle w:val="Heading1"/>
      </w:pPr>
      <w:r>
        <w:t>10. Evidence map: 70 sources to keep in the repo</w:t>
      </w:r>
    </w:p>
    <w:p>
      <w:r>
        <w:t>This list should live in docs/evidence_map.md and be updated continuously. Some arXiv placeholders should be replaced with exact IDs during source curation; they are included here so agents know what to verify rather than accidentally ignoring the thread.</w:t>
      </w:r>
    </w:p>
    <w:p>
      <w:pPr>
        <w:spacing w:after="40"/>
        <w:ind w:left="360" w:hanging="360"/>
      </w:pPr>
      <w:r>
        <w:rPr>
          <w:b/>
        </w:rPr>
        <w:t xml:space="preserve">1. Accelerating RL Post-Training with Speculative Decoding in NeMo RL (2026-04, rollout bottleneck). </w:t>
      </w:r>
      <w:r>
        <w:t xml:space="preserve">Reports rollout generation as the dominant RL post-training cost; 65-72% of step time in 8B workloads, with 1.5x-1.8x rollout speedups and up to 1.4x end-to-end step speedup. </w:t>
      </w:r>
      <w:r>
        <w:rPr>
          <w:color w:val="2563EB"/>
          <w:sz w:val="16"/>
        </w:rPr>
        <w:t>https://research.nvidia.com/labs/nemotron/rl-speculative-decoding/</w:t>
      </w:r>
    </w:p>
    <w:p>
      <w:pPr>
        <w:spacing w:after="40"/>
        <w:ind w:left="360" w:hanging="360"/>
      </w:pPr>
      <w:r>
        <w:rPr>
          <w:b/>
        </w:rPr>
        <w:t xml:space="preserve">2. ProRL Agent: Rollout-as-a-Service for RL Training of Multi-Turn LLM Agents (2026-03, rollout as service). </w:t>
      </w:r>
      <w:r>
        <w:t xml:space="preserve">Directly validates that rollout orchestration should be decoupled from the trainer and exposed as an API service for multi-turn agent RL. </w:t>
      </w:r>
      <w:r>
        <w:rPr>
          <w:color w:val="2563EB"/>
          <w:sz w:val="16"/>
        </w:rPr>
        <w:t>https://www.microsoft.com/en-us/research/publication/prorl-agent-rollout-as-a-service-for-rl-training-of-multi-turn-llm-agents/</w:t>
      </w:r>
    </w:p>
    <w:p>
      <w:pPr>
        <w:spacing w:after="40"/>
        <w:ind w:left="360" w:hanging="360"/>
      </w:pPr>
      <w:r>
        <w:rPr>
          <w:b/>
        </w:rPr>
        <w:t xml:space="preserve">3. SortedRL: Accelerating RL Training for LLMs through Online Length-Aware Scheduling (2026-03, rollout bottleneck). </w:t>
      </w:r>
      <w:r>
        <w:t xml:space="preserve">Reports rollout phase can account for up to 70% of training time for long trajectories and motivates scheduling plus controlled off-policy replay. </w:t>
      </w:r>
      <w:r>
        <w:rPr>
          <w:color w:val="2563EB"/>
          <w:sz w:val="16"/>
        </w:rPr>
        <w:t>https://www.microsoft.com/en-us/research/publication/sortedrl-accelerating-rl-training-for-llms-through-online-length-aware-scheduling/</w:t>
      </w:r>
    </w:p>
    <w:p>
      <w:pPr>
        <w:spacing w:after="40"/>
        <w:ind w:left="360" w:hanging="360"/>
      </w:pPr>
      <w:r>
        <w:rPr>
          <w:b/>
        </w:rPr>
        <w:t xml:space="preserve">4. Heddle: Agentic RL Training Needs Trajectory-Centric Scheduling (2026-03, rollout bottleneck). </w:t>
      </w:r>
      <w:r>
        <w:t xml:space="preserve">Post-Jan-2026 system direction: long-tailed tool calls and trajectory placement become first-class scheduling problems. Use as a search/triage placeholder if exact arXiv changes. </w:t>
      </w:r>
      <w:r>
        <w:rPr>
          <w:color w:val="2563EB"/>
          <w:sz w:val="16"/>
        </w:rPr>
        <w:t>https://arxiv.org/abs/2603.28101</w:t>
      </w:r>
    </w:p>
    <w:p>
      <w:pPr>
        <w:spacing w:after="40"/>
        <w:ind w:left="360" w:hanging="360"/>
      </w:pPr>
      <w:r>
        <w:rPr>
          <w:b/>
        </w:rPr>
        <w:t xml:space="preserve">5. Accelerating RL Post-Training Rollouts via System-Integrated Speculative Decoding (2026-04, speculative rollout). </w:t>
      </w:r>
      <w:r>
        <w:t xml:space="preserve">Formalizes lossless rollout acceleration where verifier policy semantics are preserved, distinguishing pure throughput from off-policy rollout changes. </w:t>
      </w:r>
      <w:r>
        <w:rPr>
          <w:color w:val="2563EB"/>
          <w:sz w:val="16"/>
        </w:rPr>
        <w:t>https://arxiv.org/abs/2604.26779</w:t>
      </w:r>
    </w:p>
    <w:p>
      <w:pPr>
        <w:spacing w:after="40"/>
        <w:ind w:left="360" w:hanging="360"/>
      </w:pPr>
      <w:r>
        <w:rPr>
          <w:b/>
        </w:rPr>
        <w:t xml:space="preserve">6. VeRL Rollout Importance Sampling documentation (2025-10, training-inference mismatch). </w:t>
      </w:r>
      <w:r>
        <w:t xml:space="preserve">Operationalizes rollout-vs-training mismatch metrics and rollout IS; useful blueprint for OPBC telemetry. </w:t>
      </w:r>
      <w:r>
        <w:rPr>
          <w:color w:val="2563EB"/>
          <w:sz w:val="16"/>
        </w:rPr>
        <w:t>https://verl.readthedocs.io/en/latest/advance/rollout_is.html</w:t>
      </w:r>
    </w:p>
    <w:p>
      <w:pPr>
        <w:spacing w:after="40"/>
        <w:ind w:left="360" w:hanging="360"/>
      </w:pPr>
      <w:r>
        <w:rPr>
          <w:b/>
        </w:rPr>
        <w:t xml:space="preserve">7. When Speed Kills Stability: RL Collapse from Inference-Training Mismatch (2025-10, training-inference mismatch). </w:t>
      </w:r>
      <w:r>
        <w:t xml:space="preserve">Core conceptual reference for treating inference engine mismatch as a behavior-policy mismatch. </w:t>
      </w:r>
      <w:r>
        <w:rPr>
          <w:color w:val="2563EB"/>
          <w:sz w:val="16"/>
        </w:rPr>
        <w:t>https://yingru.notion.site/When-Speed-Kills-Stability-Demystifying-RL-Collapse-from-the-Inference-Training-Mismatch-271211a558b7808d8b12d403fd15edda</w:t>
      </w:r>
    </w:p>
    <w:p>
      <w:pPr>
        <w:spacing w:after="40"/>
        <w:ind w:left="360" w:hanging="360"/>
      </w:pPr>
      <w:r>
        <w:rPr>
          <w:b/>
        </w:rPr>
        <w:t xml:space="preserve">8. Defeating the Training-Inference Mismatch via FP16 (2025-10, training-inference mismatch). </w:t>
      </w:r>
      <w:r>
        <w:t xml:space="preserve">Argues BF16 precision itself can create mismatch and that FP16 can improve RL stability; motivates precision as marketplace metadata. </w:t>
      </w:r>
      <w:r>
        <w:rPr>
          <w:color w:val="2563EB"/>
          <w:sz w:val="16"/>
        </w:rPr>
        <w:t>https://huggingface.co/papers/2510.26788</w:t>
      </w:r>
    </w:p>
    <w:p>
      <w:pPr>
        <w:spacing w:after="40"/>
        <w:ind w:left="360" w:hanging="360"/>
      </w:pPr>
      <w:r>
        <w:rPr>
          <w:b/>
        </w:rPr>
        <w:t xml:space="preserve">9. Precision-RL repository (2025-11, training-inference mismatch). </w:t>
      </w:r>
      <w:r>
        <w:t xml:space="preserve">Tracks implementation support for FP16 RL and experiments across algorithms/model families including MoE. </w:t>
      </w:r>
      <w:r>
        <w:rPr>
          <w:color w:val="2563EB"/>
          <w:sz w:val="16"/>
        </w:rPr>
        <w:t>https://github.com/sail-sg/Precision-RL</w:t>
      </w:r>
    </w:p>
    <w:p>
      <w:pPr>
        <w:spacing w:after="40"/>
        <w:ind w:left="360" w:hanging="360"/>
      </w:pPr>
      <w:r>
        <w:rPr>
          <w:b/>
        </w:rPr>
        <w:t xml:space="preserve">10. No More Train-Inference Mismatch: Bitwise Consistent On-Policy RL with vLLM and TorchTitan (2025-11, training-inference mismatch). </w:t>
      </w:r>
      <w:r>
        <w:t xml:space="preserve">Shows the ecosystem is moving from correction-only toward bitwise/numerical consistency as a systems requirement. </w:t>
      </w:r>
      <w:r>
        <w:rPr>
          <w:color w:val="2563EB"/>
          <w:sz w:val="16"/>
        </w:rPr>
        <w:t>https://blog.vllm.ai/2025/11/10/bitwise-consistent-train-inference.html</w:t>
      </w:r>
    </w:p>
    <w:p>
      <w:pPr>
        <w:spacing w:after="40"/>
        <w:ind w:left="360" w:hanging="360"/>
      </w:pPr>
      <w:r>
        <w:rPr>
          <w:b/>
        </w:rPr>
        <w:t xml:space="preserve">11. No More Retokenization Drift: Returning Token IDs via OpenAI Compatible API Matters in Agent RL (2025-10, token integrity). </w:t>
      </w:r>
      <w:r>
        <w:t xml:space="preserve">Supports the hard contract that token IDs must be returned across API boundaries to avoid retokenization drift. </w:t>
      </w:r>
      <w:r>
        <w:rPr>
          <w:color w:val="2563EB"/>
          <w:sz w:val="16"/>
        </w:rPr>
        <w:t>https://vllm.ai/blog/agent-lightning</w:t>
      </w:r>
    </w:p>
    <w:p>
      <w:pPr>
        <w:spacing w:after="40"/>
        <w:ind w:left="360" w:hanging="360"/>
      </w:pPr>
      <w:r>
        <w:rPr>
          <w:b/>
        </w:rPr>
        <w:t xml:space="preserve">12. Swift Training-Inference-Mismatch documentation (2026, training-inference mismatch). </w:t>
      </w:r>
      <w:r>
        <w:t xml:space="preserve">Explains GRPO assumptions and IS correction for rollout/training policy mismatch in practitioner documentation. </w:t>
      </w:r>
      <w:r>
        <w:rPr>
          <w:color w:val="2563EB"/>
          <w:sz w:val="16"/>
        </w:rPr>
        <w:t>https://swift.readthedocs.io/en/v4.0/Instruction/GRPO/AdvancedResearch/training_inference_mismatch.html</w:t>
      </w:r>
    </w:p>
    <w:p>
      <w:pPr>
        <w:spacing w:after="40"/>
        <w:ind w:left="360" w:hanging="360"/>
      </w:pPr>
      <w:r>
        <w:rPr>
          <w:b/>
        </w:rPr>
        <w:t xml:space="preserve">13. Router Replay R3: Why It Failed and How We Fixed It (2026-01, MoE mismatch). </w:t>
      </w:r>
      <w:r>
        <w:t xml:space="preserve">Explains MoE-specific training-inference mismatch, routing replay, and failure modes when correction discards too many samples. </w:t>
      </w:r>
      <w:r>
        <w:rPr>
          <w:color w:val="2563EB"/>
          <w:sz w:val="16"/>
        </w:rPr>
        <w:t>https://macaron.im/mindlab/research/router-replay-r3-why-it-failed-and-how-we-fixed-it</w:t>
      </w:r>
    </w:p>
    <w:p>
      <w:pPr>
        <w:spacing w:after="40"/>
        <w:ind w:left="360" w:hanging="360"/>
      </w:pPr>
      <w:r>
        <w:rPr>
          <w:b/>
        </w:rPr>
        <w:t xml:space="preserve">14. Rollout Routing Replay / R3 paper (2025-10, MoE mismatch). </w:t>
      </w:r>
      <w:r>
        <w:t xml:space="preserve">Key MoE mismatch primitive: record rollout router choices and replay them during training. </w:t>
      </w:r>
      <w:r>
        <w:rPr>
          <w:color w:val="2563EB"/>
          <w:sz w:val="16"/>
        </w:rPr>
        <w:t>https://huggingface.co/papers/2510.11370</w:t>
      </w:r>
    </w:p>
    <w:p>
      <w:pPr>
        <w:spacing w:after="40"/>
        <w:ind w:left="360" w:hanging="360"/>
      </w:pPr>
      <w:r>
        <w:rPr>
          <w:b/>
        </w:rPr>
        <w:t xml:space="preserve">15. Qwen1.5-MoE-A2.7B model card (2024-03, MoE model candidate). </w:t>
      </w:r>
      <w:r>
        <w:t xml:space="preserve">Practical small MoE candidate: 14.3B total, 2.7B activated, with vLLM support according to the model card. </w:t>
      </w:r>
      <w:r>
        <w:rPr>
          <w:color w:val="2563EB"/>
          <w:sz w:val="16"/>
        </w:rPr>
        <w:t>https://huggingface.co/Qwen/Qwen1.5-MoE-A2.7B</w:t>
      </w:r>
    </w:p>
    <w:p>
      <w:pPr>
        <w:spacing w:after="40"/>
        <w:ind w:left="360" w:hanging="360"/>
      </w:pPr>
      <w:r>
        <w:rPr>
          <w:b/>
        </w:rPr>
        <w:t xml:space="preserve">16. Qwen1.5-MoE-A2.7B-Chat model card (2024-03, MoE model candidate). </w:t>
      </w:r>
      <w:r>
        <w:t xml:space="preserve">Chat variant; model card states 14.3B total/2.7B activated and faster inference than Qwen1.5-7B. </w:t>
      </w:r>
      <w:r>
        <w:rPr>
          <w:color w:val="2563EB"/>
          <w:sz w:val="16"/>
        </w:rPr>
        <w:t>https://huggingface.co/Qwen/Qwen1.5-MoE-A2.7B-Chat</w:t>
      </w:r>
    </w:p>
    <w:p>
      <w:pPr>
        <w:spacing w:after="40"/>
        <w:ind w:left="360" w:hanging="360"/>
      </w:pPr>
      <w:r>
        <w:rPr>
          <w:b/>
        </w:rPr>
        <w:t xml:space="preserve">17. Qwen1.5-MoE blog (2024-03, MoE model candidate). </w:t>
      </w:r>
      <w:r>
        <w:t xml:space="preserve">Explains why the model is a good small MoE demo: 2.7B active parameters, 75% training cost reduction, 1.74x inference speed vs Qwen1.5-7B. </w:t>
      </w:r>
      <w:r>
        <w:rPr>
          <w:color w:val="2563EB"/>
          <w:sz w:val="16"/>
        </w:rPr>
        <w:t>https://qwenlm.github.io/blog/qwen-moe/</w:t>
      </w:r>
    </w:p>
    <w:p>
      <w:pPr>
        <w:spacing w:after="40"/>
        <w:ind w:left="360" w:hanging="360"/>
      </w:pPr>
      <w:r>
        <w:rPr>
          <w:b/>
        </w:rPr>
        <w:t xml:space="preserve">18. QuRL: Efficient Reinforcement Learning with Quantized Rollout (2026-02, quantized rollouts). </w:t>
      </w:r>
      <w:r>
        <w:t xml:space="preserve">ICLR 2026 quantized rollout work; rollout can be up to 70% of training time and quantized actors require adaptive correction. </w:t>
      </w:r>
      <w:r>
        <w:rPr>
          <w:color w:val="2563EB"/>
          <w:sz w:val="16"/>
        </w:rPr>
        <w:t>https://openreview.net/forum?id=eG0bpCwdKn</w:t>
      </w:r>
    </w:p>
    <w:p>
      <w:pPr>
        <w:spacing w:after="40"/>
        <w:ind w:left="360" w:hanging="360"/>
      </w:pPr>
      <w:r>
        <w:rPr>
          <w:b/>
        </w:rPr>
        <w:t xml:space="preserve">19. QaRL: Rollout-Aligned Quantization-Aware RL (2026-04, quantized rollouts). </w:t>
      </w:r>
      <w:r>
        <w:t xml:space="preserve">Highlights quantized rollout instability via training-inference gap and long-form error tokens, especially relevant to MoE. </w:t>
      </w:r>
      <w:r>
        <w:rPr>
          <w:color w:val="2563EB"/>
          <w:sz w:val="16"/>
        </w:rPr>
        <w:t>https://arxiv.org/abs/2604.07853</w:t>
      </w:r>
    </w:p>
    <w:p>
      <w:pPr>
        <w:spacing w:after="40"/>
        <w:ind w:left="360" w:hanging="360"/>
      </w:pPr>
      <w:r>
        <w:rPr>
          <w:b/>
        </w:rPr>
        <w:t xml:space="preserve">20. NeMo RL Quantization-Aware RL guide (2026, quantized rollouts). </w:t>
      </w:r>
      <w:r>
        <w:t xml:space="preserve">Practical evidence that quantizer state must be transferred/refit through the RL loop. </w:t>
      </w:r>
      <w:r>
        <w:rPr>
          <w:color w:val="2563EB"/>
          <w:sz w:val="16"/>
        </w:rPr>
        <w:t>https://docs.nvidia.com/nemo/rl/nightly/guides/quantization-aware-rl.html</w:t>
      </w:r>
    </w:p>
    <w:p>
      <w:pPr>
        <w:spacing w:after="40"/>
        <w:ind w:left="360" w:hanging="360"/>
      </w:pPr>
      <w:r>
        <w:rPr>
          <w:b/>
        </w:rPr>
        <w:t xml:space="preserve">21. QeRL: Quantization-enhanced Reinforcement Learning for LLMs (2025-10, quantized rollouts). </w:t>
      </w:r>
      <w:r>
        <w:t xml:space="preserve">Shows quantization is not just a speed knob; it changes exploration and policy entropy, so marketplace metadata must expose it. </w:t>
      </w:r>
      <w:r>
        <w:rPr>
          <w:color w:val="2563EB"/>
          <w:sz w:val="16"/>
        </w:rPr>
        <w:t>https://research.nvidia.com/labs/eai/publication/qerl/</w:t>
      </w:r>
    </w:p>
    <w:p>
      <w:pPr>
        <w:spacing w:after="40"/>
        <w:ind w:left="360" w:hanging="360"/>
      </w:pPr>
      <w:r>
        <w:rPr>
          <w:b/>
        </w:rPr>
        <w:t xml:space="preserve">22. VeRL FP8 rollout documentation (2026-03, quantized rollouts). </w:t>
      </w:r>
      <w:r>
        <w:t xml:space="preserve">Implementation details for BF16 training with FP8 rollout and end-to-end FP8, motivating precision-aware contracts. </w:t>
      </w:r>
      <w:r>
        <w:rPr>
          <w:color w:val="2563EB"/>
          <w:sz w:val="16"/>
        </w:rPr>
        <w:t>https://verl.readthedocs.io/en/latest/perf/fp8.html</w:t>
      </w:r>
    </w:p>
    <w:p>
      <w:pPr>
        <w:spacing w:after="40"/>
        <w:ind w:left="360" w:hanging="360"/>
      </w:pPr>
      <w:r>
        <w:rPr>
          <w:b/>
        </w:rPr>
        <w:t xml:space="preserve">23. Stable Asynchrony: Variance-Controlled Off-Policy RL for LLMs (2026-02, async staleness). </w:t>
      </w:r>
      <w:r>
        <w:t xml:space="preserve">Connects stale rollouts to heavy-tailed importance weights and ESS collapse; validates OPBC metrics. </w:t>
      </w:r>
      <w:r>
        <w:rPr>
          <w:color w:val="2563EB"/>
          <w:sz w:val="16"/>
        </w:rPr>
        <w:t>https://huggingface.co/papers/2602.17616</w:t>
      </w:r>
    </w:p>
    <w:p>
      <w:pPr>
        <w:spacing w:after="40"/>
        <w:ind w:left="360" w:hanging="360"/>
      </w:pPr>
      <w:r>
        <w:rPr>
          <w:b/>
        </w:rPr>
        <w:t xml:space="preserve">24. Stable Asynchrony emergentmind summary (2026-02, async staleness). </w:t>
      </w:r>
      <w:r>
        <w:t xml:space="preserve">Summarizes VCPO and the use of ESS to control high-asynchrony policy-gradient variance. </w:t>
      </w:r>
      <w:r>
        <w:rPr>
          <w:color w:val="2563EB"/>
          <w:sz w:val="16"/>
        </w:rPr>
        <w:t>https://www.emergentmind.com/papers/2602.17616</w:t>
      </w:r>
    </w:p>
    <w:p>
      <w:pPr>
        <w:spacing w:after="40"/>
        <w:ind w:left="360" w:hanging="360"/>
      </w:pPr>
      <w:r>
        <w:rPr>
          <w:b/>
        </w:rPr>
        <w:t xml:space="preserve">25. Prosperity before Collapse: M2PO (2025-10, async staleness). </w:t>
      </w:r>
      <w:r>
        <w:t xml:space="preserve">Shows stale rollouts can be useful if second-moment trust is controlled; motivates keeping replay but scoring it. </w:t>
      </w:r>
      <w:r>
        <w:rPr>
          <w:color w:val="2563EB"/>
          <w:sz w:val="16"/>
        </w:rPr>
        <w:t>https://infini-ai-lab.github.io/M2PO/</w:t>
      </w:r>
    </w:p>
    <w:p>
      <w:pPr>
        <w:spacing w:after="40"/>
        <w:ind w:left="360" w:hanging="360"/>
      </w:pPr>
      <w:r>
        <w:rPr>
          <w:b/>
        </w:rPr>
        <w:t xml:space="preserve">26. BAPO: Adaptive Clipping for Diverse Off-Policy Scenarios (2026, async staleness). </w:t>
      </w:r>
      <w:r>
        <w:t xml:space="preserve">Evidence that off-policy clipping should adapt to scenario rather than use one static threshold. </w:t>
      </w:r>
      <w:r>
        <w:rPr>
          <w:color w:val="2563EB"/>
          <w:sz w:val="16"/>
        </w:rPr>
        <w:t>https://openreview.net/forum?id=jIeJJqG7dz</w:t>
      </w:r>
    </w:p>
    <w:p>
      <w:pPr>
        <w:spacing w:after="40"/>
        <w:ind w:left="360" w:hanging="360"/>
      </w:pPr>
      <w:r>
        <w:rPr>
          <w:b/>
        </w:rPr>
        <w:t xml:space="preserve">27. VESPO: Variance-Enhanced Stable Policy Optimization (2026, async staleness). </w:t>
      </w:r>
      <w:r>
        <w:t xml:space="preserve">Identifies policy staleness and training-inference mismatch as behavior/current policy divergence; source to verify during implementation. </w:t>
      </w:r>
      <w:r>
        <w:rPr>
          <w:color w:val="2563EB"/>
          <w:sz w:val="16"/>
        </w:rPr>
        <w:t>https://arxiv.org/abs/2602.10693</w:t>
      </w:r>
    </w:p>
    <w:p>
      <w:pPr>
        <w:spacing w:after="40"/>
        <w:ind w:left="360" w:hanging="360"/>
      </w:pPr>
      <w:r>
        <w:rPr>
          <w:b/>
        </w:rPr>
        <w:t xml:space="preserve">28. AReaL: Asynchronous Reinforcement Learning for LLMs (2025-05, async RL framework). </w:t>
      </w:r>
      <w:r>
        <w:t xml:space="preserve">Decoupled generation/training with bounded policy lag; central baseline for async rollout systems. </w:t>
      </w:r>
      <w:r>
        <w:rPr>
          <w:color w:val="2563EB"/>
          <w:sz w:val="16"/>
        </w:rPr>
        <w:t>https://arxiv.org/abs/2505.24298</w:t>
      </w:r>
    </w:p>
    <w:p>
      <w:pPr>
        <w:spacing w:after="40"/>
        <w:ind w:left="360" w:hanging="360"/>
      </w:pPr>
      <w:r>
        <w:rPr>
          <w:b/>
        </w:rPr>
        <w:t xml:space="preserve">29. ROLL Flash: Efficient Async RL (2025-10, async RL framework). </w:t>
      </w:r>
      <w:r>
        <w:t xml:space="preserve">Async RL design with ratio scheduling and agentic task speedups; useful baseline for marketplace comparisons. </w:t>
      </w:r>
      <w:r>
        <w:rPr>
          <w:color w:val="2563EB"/>
          <w:sz w:val="16"/>
        </w:rPr>
        <w:t>https://arxiv.org/abs/2510.11345</w:t>
      </w:r>
    </w:p>
    <w:p>
      <w:pPr>
        <w:spacing w:after="40"/>
        <w:ind w:left="360" w:hanging="360"/>
      </w:pPr>
      <w:r>
        <w:rPr>
          <w:b/>
        </w:rPr>
        <w:t xml:space="preserve">30. SkyRL-Agent (2025-11, async RL framework). </w:t>
      </w:r>
      <w:r>
        <w:t xml:space="preserve">Agent training/evaluation framework with long-horizon multi-turn RL concerns and backend interoperability. </w:t>
      </w:r>
      <w:r>
        <w:rPr>
          <w:color w:val="2563EB"/>
          <w:sz w:val="16"/>
        </w:rPr>
        <w:t>https://arxiv.org/abs/2511.16108</w:t>
      </w:r>
    </w:p>
    <w:p>
      <w:pPr>
        <w:spacing w:after="40"/>
        <w:ind w:left="360" w:hanging="360"/>
      </w:pPr>
      <w:r>
        <w:rPr>
          <w:b/>
        </w:rPr>
        <w:t xml:space="preserve">31. VeRL fully_async documentation (2025, async RL framework). </w:t>
      </w:r>
      <w:r>
        <w:t xml:space="preserve">Practical async RL knobs; important for trainer-client integration examples. </w:t>
      </w:r>
      <w:r>
        <w:rPr>
          <w:color w:val="2563EB"/>
          <w:sz w:val="16"/>
        </w:rPr>
        <w:t>https://verl.readthedocs.io/en/latest/examples/config.html</w:t>
      </w:r>
    </w:p>
    <w:p>
      <w:pPr>
        <w:spacing w:after="40"/>
        <w:ind w:left="360" w:hanging="360"/>
      </w:pPr>
      <w:r>
        <w:rPr>
          <w:b/>
        </w:rPr>
        <w:t xml:space="preserve">32. Agent Lightning (2025-08, async RL framework). </w:t>
      </w:r>
      <w:r>
        <w:t xml:space="preserve">Contract-oriented transition/span store and API style relevant to streams contracts. </w:t>
      </w:r>
      <w:r>
        <w:rPr>
          <w:color w:val="2563EB"/>
          <w:sz w:val="16"/>
        </w:rPr>
        <w:t>https://arxiv.org/abs/2508.03680</w:t>
      </w:r>
    </w:p>
    <w:p>
      <w:pPr>
        <w:spacing w:after="40"/>
        <w:ind w:left="360" w:hanging="360"/>
      </w:pPr>
      <w:r>
        <w:rPr>
          <w:b/>
        </w:rPr>
        <w:t xml:space="preserve">33. INTELLECT-2 Release (2025-05, decentralized RL). </w:t>
      </w:r>
      <w:r>
        <w:t xml:space="preserve">Shows globally distributed asynchronous RL with TOPLOC rollout verification and SHARDCAST weight broadcast. </w:t>
      </w:r>
      <w:r>
        <w:rPr>
          <w:color w:val="2563EB"/>
          <w:sz w:val="16"/>
        </w:rPr>
        <w:t>https://www.primeintellect.ai/blog/intellect-2-release</w:t>
      </w:r>
    </w:p>
    <w:p>
      <w:pPr>
        <w:spacing w:after="40"/>
        <w:ind w:left="360" w:hanging="360"/>
      </w:pPr>
      <w:r>
        <w:rPr>
          <w:b/>
        </w:rPr>
        <w:t xml:space="preserve">34. Prime-RL async documentation (2026, decentralized RL). </w:t>
      </w:r>
      <w:r>
        <w:t xml:space="preserve">Practical async/decentralized RL framework with behavior-policy/current-policy corrections. </w:t>
      </w:r>
      <w:r>
        <w:rPr>
          <w:color w:val="2563EB"/>
          <w:sz w:val="16"/>
        </w:rPr>
        <w:t>https://github.com/PrimeIntellect-ai/prime-rl</w:t>
      </w:r>
    </w:p>
    <w:p>
      <w:pPr>
        <w:spacing w:after="40"/>
        <w:ind w:left="360" w:hanging="360"/>
      </w:pPr>
      <w:r>
        <w:rPr>
          <w:b/>
        </w:rPr>
        <w:t xml:space="preserve">35. INTELLECT-3 release (2026, decentralized RL). </w:t>
      </w:r>
      <w:r>
        <w:t xml:space="preserve">Demonstrates 100B+ MoE distributed RL direction, reinforcing the need for async rollout protocols. </w:t>
      </w:r>
      <w:r>
        <w:rPr>
          <w:color w:val="2563EB"/>
          <w:sz w:val="16"/>
        </w:rPr>
        <w:t>https://www.primeintellect.ai/blog/intellect-3-release</w:t>
      </w:r>
    </w:p>
    <w:p>
      <w:pPr>
        <w:spacing w:after="40"/>
        <w:ind w:left="360" w:hanging="360"/>
      </w:pPr>
      <w:r>
        <w:rPr>
          <w:b/>
        </w:rPr>
        <w:t xml:space="preserve">36. OpenDiLoCo (2024-07, decentralized training). </w:t>
      </w:r>
      <w:r>
        <w:t xml:space="preserve">Useful prior for decentralized compute utilization and intermittent synchronization, though not directly rollout-market specific. </w:t>
      </w:r>
      <w:r>
        <w:rPr>
          <w:color w:val="2563EB"/>
          <w:sz w:val="16"/>
        </w:rPr>
        <w:t>https://arxiv.org/abs/2407.07852</w:t>
      </w:r>
    </w:p>
    <w:p>
      <w:pPr>
        <w:spacing w:after="40"/>
        <w:ind w:left="360" w:hanging="360"/>
      </w:pPr>
      <w:r>
        <w:rPr>
          <w:b/>
        </w:rPr>
        <w:t xml:space="preserve">37. Streaming DiLoCo (2025-01, decentralized training). </w:t>
      </w:r>
      <w:r>
        <w:t xml:space="preserve">Bandwidth-reduction primitive relevant to weight-update propagation under churn. </w:t>
      </w:r>
      <w:r>
        <w:rPr>
          <w:color w:val="2563EB"/>
          <w:sz w:val="16"/>
        </w:rPr>
        <w:t>https://arxiv.org/abs/2501.18512</w:t>
      </w:r>
    </w:p>
    <w:p>
      <w:pPr>
        <w:spacing w:after="40"/>
        <w:ind w:left="360" w:hanging="360"/>
      </w:pPr>
      <w:r>
        <w:rPr>
          <w:b/>
        </w:rPr>
        <w:t xml:space="preserve">38. TOPLOC (2025, verification). </w:t>
      </w:r>
      <w:r>
        <w:t xml:space="preserve">Approximate verification of rollout/inference claims across devices; conceptually relevant to policy attestation. </w:t>
      </w:r>
      <w:r>
        <w:rPr>
          <w:color w:val="2563EB"/>
          <w:sz w:val="16"/>
        </w:rPr>
        <w:t>https://arxiv.org/abs/2501.16007</w:t>
      </w:r>
    </w:p>
    <w:p>
      <w:pPr>
        <w:spacing w:after="40"/>
        <w:ind w:left="360" w:hanging="360"/>
      </w:pPr>
      <w:r>
        <w:rPr>
          <w:b/>
        </w:rPr>
        <w:t xml:space="preserve">39. PULSE sparse patch broadcast (2026-02, weight sync). </w:t>
      </w:r>
      <w:r>
        <w:t xml:space="preserve">Suggests RL weight deltas may be sparse enough for frequent patch transport, a key rollout-market primitive. </w:t>
      </w:r>
      <w:r>
        <w:rPr>
          <w:color w:val="2563EB"/>
          <w:sz w:val="16"/>
        </w:rPr>
        <w:t>https://arxiv.org/abs/2602.03839</w:t>
      </w:r>
    </w:p>
    <w:p>
      <w:pPr>
        <w:spacing w:after="40"/>
        <w:ind w:left="360" w:hanging="360"/>
      </w:pPr>
      <w:r>
        <w:rPr>
          <w:b/>
        </w:rPr>
        <w:t xml:space="preserve">40. vLLM weight-sync RFC / layerwise reloading threads (2026, weight sync). </w:t>
      </w:r>
      <w:r>
        <w:t xml:space="preserve">Operational signal that production weight reload paths are non-trivial and need contracts, ACKs, and audits. </w:t>
      </w:r>
      <w:r>
        <w:rPr>
          <w:color w:val="2563EB"/>
          <w:sz w:val="16"/>
        </w:rPr>
        <w:t>https://github.com/vllm-project/vllm/issues</w:t>
      </w:r>
    </w:p>
    <w:p>
      <w:pPr>
        <w:spacing w:after="40"/>
        <w:ind w:left="360" w:hanging="360"/>
      </w:pPr>
      <w:r>
        <w:rPr>
          <w:b/>
        </w:rPr>
        <w:t xml:space="preserve">41. Vast.ai instance types documentation (2026, spot GPU marketplace). </w:t>
      </w:r>
      <w:r>
        <w:t xml:space="preserve">Defines on-demand, reserved, interruptible; interruptible instances can be paused if outbid or on-demand requested. </w:t>
      </w:r>
      <w:r>
        <w:rPr>
          <w:color w:val="2563EB"/>
          <w:sz w:val="16"/>
        </w:rPr>
        <w:t>https://docs.vast.ai/documentation/instances/choosing/instance-types</w:t>
      </w:r>
    </w:p>
    <w:p>
      <w:pPr>
        <w:spacing w:after="40"/>
        <w:ind w:left="360" w:hanging="360"/>
      </w:pPr>
      <w:r>
        <w:rPr>
          <w:b/>
        </w:rPr>
        <w:t xml:space="preserve">42. Vast.ai rental types FAQ (2026, spot GPU marketplace). </w:t>
      </w:r>
      <w:r>
        <w:t xml:space="preserve">Direct-bidding, 50-80% cost savings, and interruptions create a realistic churn model for rollout workers. </w:t>
      </w:r>
      <w:r>
        <w:rPr>
          <w:color w:val="2563EB"/>
          <w:sz w:val="16"/>
        </w:rPr>
        <w:t>https://docs.vast.ai/guides/reference/faq/rental-types</w:t>
      </w:r>
    </w:p>
    <w:p>
      <w:pPr>
        <w:spacing w:after="40"/>
        <w:ind w:left="360" w:hanging="360"/>
      </w:pPr>
      <w:r>
        <w:rPr>
          <w:b/>
        </w:rPr>
        <w:t xml:space="preserve">43. RunPod savings / spot instance documentation (2026, spot GPU marketplace). </w:t>
      </w:r>
      <w:r>
        <w:t xml:space="preserve">Spot instances may terminate with a short SIGTERM window, requiring checkpointing and trajectory commit protocols. </w:t>
      </w:r>
      <w:r>
        <w:rPr>
          <w:color w:val="2563EB"/>
          <w:sz w:val="16"/>
        </w:rPr>
        <w:t>https://docs.runpod.io/pods/savings-plans</w:t>
      </w:r>
    </w:p>
    <w:p>
      <w:pPr>
        <w:spacing w:after="40"/>
        <w:ind w:left="360" w:hanging="360"/>
      </w:pPr>
      <w:r>
        <w:rPr>
          <w:b/>
        </w:rPr>
        <w:t xml:space="preserve">44. RunPod pricing guide (2026, spot GPU marketplace). </w:t>
      </w:r>
      <w:r>
        <w:t xml:space="preserve">Pricing input for cost-per-accepted-rollout-token benchmarks. </w:t>
      </w:r>
      <w:r>
        <w:rPr>
          <w:color w:val="2563EB"/>
          <w:sz w:val="16"/>
        </w:rPr>
        <w:t>https://www.runpod.io/pricing</w:t>
      </w:r>
    </w:p>
    <w:p>
      <w:pPr>
        <w:spacing w:after="40"/>
        <w:ind w:left="360" w:hanging="360"/>
      </w:pPr>
      <w:r>
        <w:rPr>
          <w:b/>
        </w:rPr>
        <w:t xml:space="preserve">45. Fireworks completion API logprobs (2026, endpoint probe). </w:t>
      </w:r>
      <w:r>
        <w:t xml:space="preserve">Free/cheap endpoint probe candidate because completions expose sampled-token logprobs and top_logprobs. </w:t>
      </w:r>
      <w:r>
        <w:rPr>
          <w:color w:val="2563EB"/>
          <w:sz w:val="16"/>
        </w:rPr>
        <w:t>https://docs.fireworks.ai/api-reference/post-completions</w:t>
      </w:r>
    </w:p>
    <w:p>
      <w:pPr>
        <w:spacing w:after="40"/>
        <w:ind w:left="360" w:hanging="360"/>
      </w:pPr>
      <w:r>
        <w:rPr>
          <w:b/>
        </w:rPr>
        <w:t xml:space="preserve">46. Fireworks chat completion API logprobs (2026, endpoint probe). </w:t>
      </w:r>
      <w:r>
        <w:t xml:space="preserve">Useful for endpoint identity gap demo, with warnings about provider-specific logprob semantics. </w:t>
      </w:r>
      <w:r>
        <w:rPr>
          <w:color w:val="2563EB"/>
          <w:sz w:val="16"/>
        </w:rPr>
        <w:t>https://docs.fireworks.ai/api-reference/post-chatcompletions</w:t>
      </w:r>
    </w:p>
    <w:p>
      <w:pPr>
        <w:spacing w:after="40"/>
        <w:ind w:left="360" w:hanging="360"/>
      </w:pPr>
      <w:r>
        <w:rPr>
          <w:b/>
        </w:rPr>
        <w:t xml:space="preserve">47. Together AI OpenAI-compatible API docs (2026, endpoint probe). </w:t>
      </w:r>
      <w:r>
        <w:t xml:space="preserve">Endpoint probe candidate for comparing identical model labels across providers. </w:t>
      </w:r>
      <w:r>
        <w:rPr>
          <w:color w:val="2563EB"/>
          <w:sz w:val="16"/>
        </w:rPr>
        <w:t>https://docs.together.ai/docs/openai-api-compatibility</w:t>
      </w:r>
    </w:p>
    <w:p>
      <w:pPr>
        <w:spacing w:after="40"/>
        <w:ind w:left="360" w:hanging="360"/>
      </w:pPr>
      <w:r>
        <w:rPr>
          <w:b/>
        </w:rPr>
        <w:t xml:space="preserve">48. OpenRouter API docs and logprobs parameters (2026, endpoint probe). </w:t>
      </w:r>
      <w:r>
        <w:t xml:space="preserve">Router/proxy case study: great for demonstrating that model label, provider, and logprob semantics must be explicit. </w:t>
      </w:r>
      <w:r>
        <w:rPr>
          <w:color w:val="2563EB"/>
          <w:sz w:val="16"/>
        </w:rPr>
        <w:t>https://openrouter.ai/docs/api-reference/parameters</w:t>
      </w:r>
    </w:p>
    <w:p>
      <w:pPr>
        <w:spacing w:after="40"/>
        <w:ind w:left="360" w:hanging="360"/>
      </w:pPr>
      <w:r>
        <w:rPr>
          <w:b/>
        </w:rPr>
        <w:t xml:space="preserve">49. vLLM documentation (2026, inference engine). </w:t>
      </w:r>
      <w:r>
        <w:t xml:space="preserve">Primary local rollout serving engine for controlled dense/MoE experiments. </w:t>
      </w:r>
      <w:r>
        <w:rPr>
          <w:color w:val="2563EB"/>
          <w:sz w:val="16"/>
        </w:rPr>
        <w:t>https://docs.vllm.ai/</w:t>
      </w:r>
    </w:p>
    <w:p>
      <w:pPr>
        <w:spacing w:after="40"/>
        <w:ind w:left="360" w:hanging="360"/>
      </w:pPr>
      <w:r>
        <w:rPr>
          <w:b/>
        </w:rPr>
        <w:t xml:space="preserve">50. SGLang documentation (2026, inference engine). </w:t>
      </w:r>
      <w:r>
        <w:t xml:space="preserve">Second local rollout serving engine for mismatch decomposition and MoE routing experiments. </w:t>
      </w:r>
      <w:r>
        <w:rPr>
          <w:color w:val="2563EB"/>
          <w:sz w:val="16"/>
        </w:rPr>
        <w:t>https://docs.sglang.ai/</w:t>
      </w:r>
    </w:p>
    <w:p>
      <w:pPr>
        <w:spacing w:after="40"/>
        <w:ind w:left="360" w:hanging="360"/>
      </w:pPr>
      <w:r>
        <w:rPr>
          <w:b/>
        </w:rPr>
        <w:t xml:space="preserve">51. ROCm vLLM documentation / AMD blogs (2026, hardware heterogeneity). </w:t>
      </w:r>
      <w:r>
        <w:t xml:space="preserve">Supports CUDA/ROCm heterogeneity as a practical rollout-market issue. </w:t>
      </w:r>
      <w:r>
        <w:rPr>
          <w:color w:val="2563EB"/>
          <w:sz w:val="16"/>
        </w:rPr>
        <w:t>https://rocm.blogs.amd.com/artificial-intelligence/vllm-optimize/README.html</w:t>
      </w:r>
    </w:p>
    <w:p>
      <w:pPr>
        <w:spacing w:after="40"/>
        <w:ind w:left="360" w:hanging="360"/>
      </w:pPr>
      <w:r>
        <w:rPr>
          <w:b/>
        </w:rPr>
        <w:t xml:space="preserve">52. Liger Kernel ROCm support (2026, hardware heterogeneity). </w:t>
      </w:r>
      <w:r>
        <w:t xml:space="preserve">Kernel-level cross-platform support is improving, but end-to-end RL-loop numerical fidelity remains open. </w:t>
      </w:r>
      <w:r>
        <w:rPr>
          <w:color w:val="2563EB"/>
          <w:sz w:val="16"/>
        </w:rPr>
        <w:t>https://github.com/linkedin/Liger-Kernel</w:t>
      </w:r>
    </w:p>
    <w:p>
      <w:pPr>
        <w:spacing w:after="40"/>
        <w:ind w:left="360" w:hanging="360"/>
      </w:pPr>
      <w:r>
        <w:rPr>
          <w:b/>
        </w:rPr>
        <w:t xml:space="preserve">53. Helix heterogeneous inference scheduling (2025, scheduler). </w:t>
      </w:r>
      <w:r>
        <w:t xml:space="preserve">Layer placement and routing over heterogeneous GPU clusters; useful background for worker capability routing. </w:t>
      </w:r>
      <w:r>
        <w:rPr>
          <w:color w:val="2563EB"/>
          <w:sz w:val="16"/>
        </w:rPr>
        <w:t>https://arxiv.org/abs/2406.01566</w:t>
      </w:r>
    </w:p>
    <w:p>
      <w:pPr>
        <w:spacing w:after="40"/>
        <w:ind w:left="360" w:hanging="360"/>
      </w:pPr>
      <w:r>
        <w:rPr>
          <w:b/>
        </w:rPr>
        <w:t xml:space="preserve">54. HexGen-2 (2025, scheduler). </w:t>
      </w:r>
      <w:r>
        <w:t xml:space="preserve">Prefill/decode disaggregation and heterogeneous scheduling inform long-context rollout routing. </w:t>
      </w:r>
      <w:r>
        <w:rPr>
          <w:color w:val="2563EB"/>
          <w:sz w:val="16"/>
        </w:rPr>
        <w:t>https://arxiv.org/abs/2502.07903</w:t>
      </w:r>
    </w:p>
    <w:p>
      <w:pPr>
        <w:spacing w:after="40"/>
        <w:ind w:left="360" w:hanging="360"/>
      </w:pPr>
      <w:r>
        <w:rPr>
          <w:b/>
        </w:rPr>
        <w:t xml:space="preserve">55. Llumnix (2025, scheduler). </w:t>
      </w:r>
      <w:r>
        <w:t xml:space="preserve">Live KV migration concepts relevant to worker churn, though cross-vendor KV portability remains hard. </w:t>
      </w:r>
      <w:r>
        <w:rPr>
          <w:color w:val="2563EB"/>
          <w:sz w:val="16"/>
        </w:rPr>
        <w:t>https://github.com/AlibabaPAI/llumnix</w:t>
      </w:r>
    </w:p>
    <w:p>
      <w:pPr>
        <w:spacing w:after="40"/>
        <w:ind w:left="360" w:hanging="360"/>
      </w:pPr>
      <w:r>
        <w:rPr>
          <w:b/>
        </w:rPr>
        <w:t xml:space="preserve">56. NeMo Gym (2026, agent RL environment). </w:t>
      </w:r>
      <w:r>
        <w:t xml:space="preserve">External environment harness integration target; the rollout market should plug into env providers rather than own training. </w:t>
      </w:r>
      <w:r>
        <w:rPr>
          <w:color w:val="2563EB"/>
          <w:sz w:val="16"/>
        </w:rPr>
        <w:t>https://github.com/NVIDIA/NeMo-Gym</w:t>
      </w:r>
    </w:p>
    <w:p>
      <w:pPr>
        <w:spacing w:after="40"/>
        <w:ind w:left="360" w:hanging="360"/>
      </w:pPr>
      <w:r>
        <w:rPr>
          <w:b/>
        </w:rPr>
        <w:t xml:space="preserve">57. OpenHands / SWE-agent style environments (2025, agent RL environment). </w:t>
      </w:r>
      <w:r>
        <w:t xml:space="preserve">Representative long-horizon coding agent environment with tool calls and sandbox behavior. </w:t>
      </w:r>
      <w:r>
        <w:rPr>
          <w:color w:val="2563EB"/>
          <w:sz w:val="16"/>
        </w:rPr>
        <w:t>https://github.com/All-Hands-AI/OpenHands</w:t>
      </w:r>
    </w:p>
    <w:p>
      <w:pPr>
        <w:spacing w:after="40"/>
        <w:ind w:left="360" w:hanging="360"/>
      </w:pPr>
      <w:r>
        <w:rPr>
          <w:b/>
        </w:rPr>
        <w:t xml:space="preserve">58. SWE-bench Verified (2026, benchmarks). </w:t>
      </w:r>
      <w:r>
        <w:t xml:space="preserve">Target task family where rollouts can be long, tool-heavy, and variable-latency. </w:t>
      </w:r>
      <w:r>
        <w:rPr>
          <w:color w:val="2563EB"/>
          <w:sz w:val="16"/>
        </w:rPr>
        <w:t>https://www.swebench.com/</w:t>
      </w:r>
    </w:p>
    <w:p>
      <w:pPr>
        <w:spacing w:after="40"/>
        <w:ind w:left="360" w:hanging="360"/>
      </w:pPr>
      <w:r>
        <w:rPr>
          <w:b/>
        </w:rPr>
        <w:t xml:space="preserve">59. Ionides truncated importance sampling (2008, policy gradient theory). </w:t>
      </w:r>
      <w:r>
        <w:t xml:space="preserve">Foundational theory for heavy-tailed importance weights and clipping/truncation tradeoffs. </w:t>
      </w:r>
      <w:r>
        <w:rPr>
          <w:color w:val="2563EB"/>
          <w:sz w:val="16"/>
        </w:rPr>
        <w:t>https://doi.org/10.1198/106186008X320456</w:t>
      </w:r>
    </w:p>
    <w:p>
      <w:pPr>
        <w:spacing w:after="40"/>
        <w:ind w:left="360" w:hanging="360"/>
      </w:pPr>
      <w:r>
        <w:rPr>
          <w:b/>
        </w:rPr>
        <w:t xml:space="preserve">60. IMPALA / V-trace (2018, policy gradient theory). </w:t>
      </w:r>
      <w:r>
        <w:t xml:space="preserve">Actor-learner off-policy correction baseline; useful but not enough for LLM long-horizon token-level ratios. </w:t>
      </w:r>
      <w:r>
        <w:rPr>
          <w:color w:val="2563EB"/>
          <w:sz w:val="16"/>
        </w:rPr>
        <w:t>https://arxiv.org/abs/1802.01561</w:t>
      </w:r>
    </w:p>
    <w:p>
      <w:pPr>
        <w:spacing w:after="40"/>
        <w:ind w:left="360" w:hanging="360"/>
      </w:pPr>
      <w:r>
        <w:rPr>
          <w:b/>
        </w:rPr>
        <w:t xml:space="preserve">61. Decoupled PPO (2022, policy gradient theory). </w:t>
      </w:r>
      <w:r>
        <w:t xml:space="preserve">Formalizes decoupling behavior and proximal policies; relevant to async RL trainers consuming stale groups. </w:t>
      </w:r>
      <w:r>
        <w:rPr>
          <w:color w:val="2563EB"/>
          <w:sz w:val="16"/>
        </w:rPr>
        <w:t>https://arxiv.org/abs/2209.01932</w:t>
      </w:r>
    </w:p>
    <w:p>
      <w:pPr>
        <w:spacing w:after="40"/>
        <w:ind w:left="360" w:hanging="360"/>
      </w:pPr>
      <w:r>
        <w:rPr>
          <w:b/>
        </w:rPr>
        <w:t xml:space="preserve">62. GSPO (2025, policy gradient objective). </w:t>
      </w:r>
      <w:r>
        <w:t xml:space="preserve">Sequence-level ratio alternative with different variance/credit assignment tradeoffs. </w:t>
      </w:r>
      <w:r>
        <w:rPr>
          <w:color w:val="2563EB"/>
          <w:sz w:val="16"/>
        </w:rPr>
        <w:t>https://arxiv.org/abs/2507.18071</w:t>
      </w:r>
    </w:p>
    <w:p>
      <w:pPr>
        <w:spacing w:after="40"/>
        <w:ind w:left="360" w:hanging="360"/>
      </w:pPr>
      <w:r>
        <w:rPr>
          <w:b/>
        </w:rPr>
        <w:t xml:space="preserve">63. TIC-GRPO (2026, policy gradient objective). </w:t>
      </w:r>
      <w:r>
        <w:t xml:space="preserve">GRPO convergence/correction analysis; relevant to one-policy-snapshot-per-group contracts. </w:t>
      </w:r>
      <w:r>
        <w:rPr>
          <w:color w:val="2563EB"/>
          <w:sz w:val="16"/>
        </w:rPr>
        <w:t>https://arxiv.org/abs/2508.02833</w:t>
      </w:r>
    </w:p>
    <w:p>
      <w:pPr>
        <w:spacing w:after="40"/>
        <w:ind w:left="360" w:hanging="360"/>
      </w:pPr>
      <w:r>
        <w:rPr>
          <w:b/>
        </w:rPr>
        <w:t xml:space="preserve">64. SORL / turn-level IS for tool use (2025, tool RL). </w:t>
      </w:r>
      <w:r>
        <w:t xml:space="preserve">Supports per-turn or segmented IS because tool-output tokens should be masked and long trajectories explode token-level ratios. </w:t>
      </w:r>
      <w:r>
        <w:rPr>
          <w:color w:val="2563EB"/>
          <w:sz w:val="16"/>
        </w:rPr>
        <w:t>https://arxiv.org/abs/2511.20718</w:t>
      </w:r>
    </w:p>
    <w:p>
      <w:pPr>
        <w:spacing w:after="40"/>
        <w:ind w:left="360" w:hanging="360"/>
      </w:pPr>
      <w:r>
        <w:rPr>
          <w:b/>
        </w:rPr>
        <w:t xml:space="preserve">65. Turn-PPO / turn-level MDP proposals (2026, tool RL). </w:t>
      </w:r>
      <w:r>
        <w:t xml:space="preserve">Motivates a future OPBC feature: turn-level budget rather than only token-level or sequence-level metrics. </w:t>
      </w:r>
      <w:r>
        <w:rPr>
          <w:color w:val="2563EB"/>
          <w:sz w:val="16"/>
        </w:rPr>
        <w:t>https://arxiv.org/abs/2512.17008</w:t>
      </w:r>
    </w:p>
    <w:p>
      <w:pPr>
        <w:spacing w:after="40"/>
        <w:ind w:left="360" w:hanging="360"/>
      </w:pPr>
      <w:r>
        <w:rPr>
          <w:b/>
        </w:rPr>
        <w:t xml:space="preserve">66. OpenAI Codex cloud documentation (2026, agent coding). </w:t>
      </w:r>
      <w:r>
        <w:t xml:space="preserve">Confirms Codex can read, modify, and run code in sandboxed cloud containers and work on parallel tasks. </w:t>
      </w:r>
      <w:r>
        <w:rPr>
          <w:color w:val="2563EB"/>
          <w:sz w:val="16"/>
        </w:rPr>
        <w:t>https://platform.openai.com/docs/codex</w:t>
      </w:r>
    </w:p>
    <w:p>
      <w:pPr>
        <w:spacing w:after="40"/>
        <w:ind w:left="360" w:hanging="360"/>
      </w:pPr>
      <w:r>
        <w:rPr>
          <w:b/>
        </w:rPr>
        <w:t xml:space="preserve">67. Introducing Codex (2025-05, agent coding). </w:t>
      </w:r>
      <w:r>
        <w:t xml:space="preserve">Explains AGENTS.md guidance, cloud sandbox task execution, test logs, and PR-style workflows. </w:t>
      </w:r>
      <w:r>
        <w:rPr>
          <w:color w:val="2563EB"/>
          <w:sz w:val="16"/>
        </w:rPr>
        <w:t>https://openai.com/index/introducing-codex/</w:t>
      </w:r>
    </w:p>
    <w:p>
      <w:pPr>
        <w:spacing w:after="40"/>
        <w:ind w:left="360" w:hanging="360"/>
      </w:pPr>
      <w:r>
        <w:rPr>
          <w:b/>
        </w:rPr>
        <w:t xml:space="preserve">68. How OpenAI uses Codex (2026, agent coding). </w:t>
      </w:r>
      <w:r>
        <w:t xml:space="preserve">Recommends issue-like prompts, startup scripts, reliable environments, and AGENTS.md persistent context. </w:t>
      </w:r>
      <w:r>
        <w:rPr>
          <w:color w:val="2563EB"/>
          <w:sz w:val="16"/>
        </w:rPr>
        <w:t>https://openai.com/business/guides-and-resources/how-openai-uses-codex/</w:t>
      </w:r>
    </w:p>
    <w:p>
      <w:pPr>
        <w:spacing w:after="40"/>
        <w:ind w:left="360" w:hanging="360"/>
      </w:pPr>
      <w:r>
        <w:rPr>
          <w:b/>
        </w:rPr>
        <w:t xml:space="preserve">69. Claude Code Agent SDK / headless mode (2026, agent coding). </w:t>
      </w:r>
      <w:r>
        <w:t xml:space="preserve">Supports scripted long-running implementation with claude -p, tool permissions, and structured output. </w:t>
      </w:r>
      <w:r>
        <w:rPr>
          <w:color w:val="2563EB"/>
          <w:sz w:val="16"/>
        </w:rPr>
        <w:t>https://code.claude.com/docs/en/headless</w:t>
      </w:r>
    </w:p>
    <w:p>
      <w:pPr>
        <w:spacing w:after="40"/>
        <w:ind w:left="360" w:hanging="360"/>
      </w:pPr>
      <w:r>
        <w:rPr>
          <w:b/>
        </w:rPr>
        <w:t xml:space="preserve">70. Claude Code headless docs (2026, agent coding). </w:t>
      </w:r>
      <w:r>
        <w:t xml:space="preserve">Confirms non-interactive CLI execution, JSON output, resume, and allowed tools. </w:t>
      </w:r>
      <w:r>
        <w:rPr>
          <w:color w:val="2563EB"/>
          <w:sz w:val="16"/>
        </w:rPr>
        <w:t>https://docs.claude.com/en/docs/claude-code/sdk/sdk-headless</w:t>
      </w:r>
    </w:p>
    <w:p>
      <w:pPr>
        <w:pStyle w:val="Heading1"/>
      </w:pPr>
      <w:r>
        <w:t>11. Final go / no-go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BEAFE"/>
            <w:vAlign w:val="center"/>
          </w:tcPr>
          <w:p>
            <w:pPr>
              <w:spacing w:after="60"/>
            </w:pPr>
            <w:r>
              <w:rPr>
                <w:b/>
                <w:sz w:val="22"/>
              </w:rPr>
              <w:t>Go only with this scope</w:t>
            </w:r>
          </w:p>
          <w:p>
            <w:pPr>
              <w:spacing w:after="60"/>
            </w:pPr>
            <w:r>
              <w:rPr>
                <w:sz w:val="20"/>
              </w:rPr>
              <w:t>Proceed if the public project includes the Mismatch Observatory, OPBC, policy pinning, token/logprob contracts, and trainer-agnostic clients. Do not proceed as a generic distributed queue. A queue is not defensible. A rollout validity market is.</w:t>
            </w:r>
          </w:p>
        </w:tc>
      </w:tr>
    </w:tbl>
    <w:p/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