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STA309IAE — Design Thinking and Innovation</w:t>
      </w:r>
    </w:p>
    <w:p>
      <w:pPr>
        <w:jc w:val="center"/>
      </w:pPr>
      <w:r>
        <w:rPr>
          <w:b w:val="0"/>
          <w:sz w:val="26"/>
        </w:rPr>
        <w:t>SENTINEL Coursework</w:t>
      </w:r>
    </w:p>
    <w:p>
      <w:pPr>
        <w:jc w:val="center"/>
      </w:pPr>
      <w:r>
        <w:rPr>
          <w:b w:val="0"/>
          <w:sz w:val="20"/>
        </w:rPr>
      </w:r>
    </w:p>
    <w:p>
      <w:pPr>
        <w:jc w:val="center"/>
      </w:pPr>
      <w:r>
        <w:rPr>
          <w:b/>
          <w:sz w:val="44"/>
        </w:rPr>
        <w:t>Criteria 1: Business Integration</w:t>
      </w:r>
    </w:p>
    <w:p>
      <w:pPr>
        <w:jc w:val="center"/>
      </w:pPr>
      <w:r>
        <w:rPr>
          <w:b w:val="0"/>
          <w:sz w:val="22"/>
        </w:rPr>
        <w:t>Business Model Development, BPM/BPMN, Product Life Cycle,</w:t>
      </w:r>
    </w:p>
    <w:p>
      <w:pPr>
        <w:jc w:val="center"/>
      </w:pPr>
      <w:r>
        <w:rPr>
          <w:b w:val="0"/>
          <w:sz w:val="22"/>
        </w:rPr>
        <w:t>Customer Value Chain, and Stakeholder Feedback</w:t>
      </w:r>
    </w:p>
    <w:p>
      <w:pPr>
        <w:jc w:val="center"/>
      </w:pPr>
      <w:r>
        <w:rPr>
          <w:b w:val="0"/>
          <w:sz w:val="20"/>
        </w:rPr>
      </w:r>
    </w:p>
    <w:p/>
    <w:p>
      <w:pPr>
        <w:jc w:val="both"/>
      </w:pPr>
      <w:r>
        <w:rPr>
          <w:rFonts w:ascii="Calibri" w:hAnsi="Calibri"/>
          <w:sz w:val="22"/>
        </w:rPr>
        <w:t>This section describes a conceptual prototype of the SENTINEL platform from a business and operational standpoint. Instead of focusing on system architecture or low-level software design, the prototype shows how different stakeholders work together in the SENTINEL ecosystem. It highlights process feasibility, efficiency gains, and value creation within a multi-tenant, regulator-aligned framework (Pigneur, 2010).</w:t>
      </w:r>
    </w:p>
    <w:tbl>
      <w:tblPr>
        <w:tblW w:type="auto" w:w="0"/>
        <w:jc w:val="center"/>
        <w:tblLook w:firstColumn="1" w:firstRow="1" w:lastColumn="0" w:lastRow="0" w:noHBand="0" w:noVBand="1" w:val="04A0"/>
      </w:tblPr>
      <w:tblGrid>
        <w:gridCol w:w="9406"/>
      </w:tblGrid>
      <w:tr>
        <w:tc>
          <w:tcPr>
            <w:tcW w:type="dxa" w:w="7370"/>
            <w:shd w:val="clear" w:color="auto" w:fill="F2F2F2"/>
          </w:tcPr>
          <w:p>
            <w:pPr>
              <w:jc w:val="center"/>
            </w:pPr>
            <w:r>
              <w:rPr>
                <w:rFonts w:ascii="Calibri" w:hAnsi="Calibri"/>
                <w:i/>
                <w:color w:val="666666"/>
                <w:sz w:val="20"/>
              </w:rPr>
              <w:br/>
              <w:t>🎨  [ INSERT IMAGE HERE ]</w:t>
              <w:br/>
              <w:br/>
              <w:t>Phases of Business Model Development</w:t>
              <w:br/>
              <w:t>(see prompt.md #11)</w:t>
              <w:br/>
            </w:r>
          </w:p>
        </w:tc>
      </w:tr>
    </w:tbl>
    <w:p>
      <w:pPr>
        <w:jc w:val="center"/>
      </w:pPr>
      <w:r>
        <w:rPr>
          <w:rFonts w:ascii="Calibri" w:hAnsi="Calibri"/>
          <w:i/>
          <w:color w:val="2E74B5"/>
          <w:sz w:val="20"/>
        </w:rPr>
        <w:t>Figure 11: Phases of Business Model Development</w:t>
      </w:r>
    </w:p>
    <w:p/>
    <w:tbl>
      <w:tblPr>
        <w:tblW w:type="auto" w:w="0"/>
        <w:jc w:val="left"/>
        <w:tblLook w:firstColumn="1" w:firstRow="1" w:lastColumn="0" w:lastRow="0" w:noHBand="0" w:noVBand="1" w:val="04A0"/>
      </w:tblPr>
      <w:tblGrid>
        <w:gridCol w:w="9406"/>
      </w:tblGrid>
      <w:tr>
        <w:tc>
          <w:tcPr>
            <w:tcW w:type="dxa" w:w="9354"/>
            <w:shd w:val="clear" w:color="auto" w:fill="2E74B5"/>
          </w:tcPr>
          <w:p>
            <w:r>
              <w:rPr>
                <w:rFonts w:ascii="Calibri" w:hAnsi="Calibri"/>
                <w:b/>
                <w:color w:val="FFFFFF"/>
                <w:sz w:val="22"/>
              </w:rPr>
              <w:t>SENTINEL Platform Prototype Overview</w:t>
            </w:r>
          </w:p>
        </w:tc>
      </w:tr>
    </w:tbl>
    <w:p>
      <w:pPr>
        <w:jc w:val="both"/>
      </w:pPr>
      <w:r>
        <w:rPr>
          <w:rFonts w:ascii="Calibri" w:hAnsi="Calibri"/>
          <w:sz w:val="22"/>
        </w:rPr>
        <w:t>The SENTINEL platform allows a fintech development team to upload an APK once and immediately receive a complete VAPT report covering 88 agent checks, runtime evidence, CVSS scoring, MITRE ATT&amp;CK tagging, OWASP MASVS mapping, and a downloadable PoC bundle. The customer team submits the build through the dashboard, CLI, or CI/CD action, and the platform validates the build, dispatches it to the orchestrator, runs all applicable agents in parallel, suppresses false positives via the LLM triage layer, and delivers the artefacts to the requesting team.</w:t>
      </w:r>
    </w:p>
    <w:p>
      <w:pPr>
        <w:jc w:val="both"/>
      </w:pPr>
      <w:r>
        <w:rPr>
          <w:rFonts w:ascii="Calibri" w:hAnsi="Calibri"/>
          <w:sz w:val="22"/>
        </w:rPr>
        <w:t>Once verified, every finding is shared back with the developer, the security team, the compliance officer, and (via SARIF) the SOC. Authorised auditors can retrieve evidence through the JWT-protected gateway with explicit access controls and full audit trails (MITRE, 2024).</w:t>
      </w:r>
    </w:p>
    <w:tbl>
      <w:tblPr>
        <w:tblW w:type="auto" w:w="0"/>
        <w:jc w:val="center"/>
        <w:tblLook w:firstColumn="1" w:firstRow="1" w:lastColumn="0" w:lastRow="0" w:noHBand="0" w:noVBand="1" w:val="04A0"/>
      </w:tblPr>
      <w:tblGrid>
        <w:gridCol w:w="9406"/>
      </w:tblGrid>
      <w:tr>
        <w:tc>
          <w:tcPr>
            <w:tcW w:type="dxa" w:w="7370"/>
            <w:shd w:val="clear" w:color="auto" w:fill="F2F2F2"/>
          </w:tcPr>
          <w:p>
            <w:pPr>
              <w:jc w:val="center"/>
            </w:pPr>
            <w:r>
              <w:rPr>
                <w:rFonts w:ascii="Calibri" w:hAnsi="Calibri"/>
                <w:i/>
                <w:color w:val="666666"/>
                <w:sz w:val="20"/>
              </w:rPr>
              <w:br/>
              <w:t>🎨  [ INSERT IMAGE HERE ]</w:t>
              <w:br/>
              <w:br/>
              <w:t>SENTINEL Entity Relationship Diagram</w:t>
              <w:br/>
              <w:t>(see prompt.md #12)</w:t>
              <w:br/>
            </w:r>
          </w:p>
        </w:tc>
      </w:tr>
    </w:tbl>
    <w:p>
      <w:pPr>
        <w:jc w:val="center"/>
      </w:pPr>
      <w:r>
        <w:rPr>
          <w:rFonts w:ascii="Calibri" w:hAnsi="Calibri"/>
          <w:i/>
          <w:color w:val="2E74B5"/>
          <w:sz w:val="20"/>
        </w:rPr>
        <w:t>Figure 12: SENTINEL Entity Relationship Diagram</w:t>
      </w:r>
    </w:p>
    <w:p/>
    <w:tbl>
      <w:tblPr>
        <w:tblW w:type="auto" w:w="0"/>
        <w:jc w:val="left"/>
        <w:tblLook w:firstColumn="1" w:firstRow="1" w:lastColumn="0" w:lastRow="0" w:noHBand="0" w:noVBand="1" w:val="04A0"/>
      </w:tblPr>
      <w:tblGrid>
        <w:gridCol w:w="9406"/>
      </w:tblGrid>
      <w:tr>
        <w:tc>
          <w:tcPr>
            <w:tcW w:type="dxa" w:w="9354"/>
            <w:shd w:val="clear" w:color="auto" w:fill="2E74B5"/>
          </w:tcPr>
          <w:p>
            <w:r>
              <w:rPr>
                <w:rFonts w:ascii="Calibri" w:hAnsi="Calibri"/>
                <w:b/>
                <w:color w:val="FFFFFF"/>
                <w:sz w:val="22"/>
              </w:rPr>
              <w:t>Feasibility Analysis</w:t>
            </w:r>
          </w:p>
        </w:tc>
      </w:tr>
    </w:tbl>
    <w:p>
      <w:pPr>
        <w:jc w:val="both"/>
      </w:pPr>
      <w:r>
        <w:rPr>
          <w:rFonts w:ascii="Calibri" w:hAnsi="Calibri"/>
          <w:sz w:val="22"/>
        </w:rPr>
        <w:t>A feasibility study examines how useful and long-lasting the proposed SENTINEL platform would be within Nepal's fintech ecosystem. The evaluation looks at technical readiness, operational viability, legal and regulatory compliance, and the ability to remain economically sustainable.</w:t>
      </w:r>
    </w:p>
    <w:tbl>
      <w:tblPr>
        <w:tblW w:type="auto" w:w="0"/>
        <w:jc w:val="center"/>
        <w:tblLook w:firstColumn="1" w:firstRow="1" w:lastColumn="0" w:lastRow="0" w:noHBand="0" w:noVBand="1" w:val="04A0"/>
      </w:tblPr>
      <w:tblGrid>
        <w:gridCol w:w="9406"/>
      </w:tblGrid>
      <w:tr>
        <w:tc>
          <w:tcPr>
            <w:tcW w:type="dxa" w:w="7370"/>
            <w:shd w:val="clear" w:color="auto" w:fill="F2F2F2"/>
          </w:tcPr>
          <w:p>
            <w:pPr>
              <w:jc w:val="center"/>
            </w:pPr>
            <w:r>
              <w:rPr>
                <w:rFonts w:ascii="Calibri" w:hAnsi="Calibri"/>
                <w:i/>
                <w:color w:val="666666"/>
                <w:sz w:val="20"/>
              </w:rPr>
              <w:br/>
              <w:t>🎨  [ INSERT IMAGE HERE ]</w:t>
              <w:br/>
              <w:br/>
              <w:t>SENTINEL Feasibility Analysis</w:t>
              <w:br/>
              <w:t>(see prompt.md #13)</w:t>
              <w:br/>
            </w:r>
          </w:p>
        </w:tc>
      </w:tr>
    </w:tbl>
    <w:p>
      <w:pPr>
        <w:jc w:val="center"/>
      </w:pPr>
      <w:r>
        <w:rPr>
          <w:rFonts w:ascii="Calibri" w:hAnsi="Calibri"/>
          <w:i/>
          <w:color w:val="2E74B5"/>
          <w:sz w:val="20"/>
        </w:rPr>
        <w:t>Figure 13: SENTINEL Feasibility Analysis</w:t>
      </w:r>
    </w:p>
    <w:p/>
    <w:p>
      <w:pPr>
        <w:pStyle w:val="ListBullet"/>
      </w:pPr>
      <w:r/>
      <w:r>
        <w:rPr>
          <w:rFonts w:ascii="Calibri" w:hAnsi="Calibri"/>
          <w:b/>
          <w:sz w:val="22"/>
        </w:rPr>
        <w:t xml:space="preserve">Technical Feasibility: </w:t>
      </w:r>
      <w:r>
        <w:rPr>
          <w:rFonts w:ascii="Calibri" w:hAnsi="Calibri"/>
          <w:sz w:val="22"/>
        </w:rPr>
        <w:t>The SENTINEL concept is technically achievable within Nepal's current digital landscape. Most BFIs already operate on cloud-ready CI/CD systems that can call SENTINEL APIs, supported by widely available Android SDK, ADB, Frida, semgrep, and mitmproxy tooling.</w:t>
      </w:r>
    </w:p>
    <w:p>
      <w:pPr>
        <w:pStyle w:val="ListBullet"/>
      </w:pPr>
      <w:r/>
      <w:r>
        <w:rPr>
          <w:rFonts w:ascii="Calibri" w:hAnsi="Calibri"/>
          <w:b/>
          <w:sz w:val="22"/>
        </w:rPr>
        <w:t xml:space="preserve">Operational Feasibility: </w:t>
      </w:r>
      <w:r>
        <w:rPr>
          <w:rFonts w:ascii="Calibri" w:hAnsi="Calibri"/>
          <w:sz w:val="22"/>
        </w:rPr>
        <w:t>SENTINEL standardises scan submission, multi-agent execution, and report retrieval. This enhances overall efficiency, reduces parallel reinvention of detection rules, and simplifies the audit process.</w:t>
      </w:r>
    </w:p>
    <w:p>
      <w:pPr>
        <w:pStyle w:val="ListBullet"/>
      </w:pPr>
      <w:r/>
      <w:r>
        <w:rPr>
          <w:rFonts w:ascii="Calibri" w:hAnsi="Calibri"/>
          <w:b/>
          <w:sz w:val="22"/>
        </w:rPr>
        <w:t xml:space="preserve">Legal &amp; Regulatory Feasibility: </w:t>
      </w:r>
      <w:r>
        <w:rPr>
          <w:rFonts w:ascii="Calibri" w:hAnsi="Calibri"/>
          <w:sz w:val="22"/>
        </w:rPr>
        <w:t>The model aligns with existing AML/CFT obligations and supports NRB's supervisory mandate. Centralised governance enhances audit readiness and compliance reporting. Consent-based scan submission encourages responsible use of detection insights.</w:t>
      </w:r>
    </w:p>
    <w:p>
      <w:pPr>
        <w:pStyle w:val="ListBullet"/>
      </w:pPr>
      <w:r/>
      <w:r>
        <w:rPr>
          <w:rFonts w:ascii="Calibri" w:hAnsi="Calibri"/>
          <w:b/>
          <w:sz w:val="22"/>
        </w:rPr>
        <w:t xml:space="preserve">Financial Feasibility: </w:t>
      </w:r>
      <w:r>
        <w:rPr>
          <w:rFonts w:ascii="Calibri" w:hAnsi="Calibri"/>
          <w:sz w:val="22"/>
        </w:rPr>
        <w:t>Initial investment is needed for platform development and governance. Long-term costs are minimised by streamlined scanning processes and reusable agent contributions. Sustainability can be achieved through institutional participation fees and tiered SaaS pricing, without direct charges to end-customers.</w:t>
      </w:r>
    </w:p>
    <w:tbl>
      <w:tblPr>
        <w:tblW w:type="auto" w:w="0"/>
        <w:jc w:val="left"/>
        <w:tblLook w:firstColumn="1" w:firstRow="1" w:lastColumn="0" w:lastRow="0" w:noHBand="0" w:noVBand="1" w:val="04A0"/>
      </w:tblPr>
      <w:tblGrid>
        <w:gridCol w:w="9406"/>
      </w:tblGrid>
      <w:tr>
        <w:tc>
          <w:tcPr>
            <w:tcW w:type="dxa" w:w="9354"/>
            <w:shd w:val="clear" w:color="auto" w:fill="2E74B5"/>
          </w:tcPr>
          <w:p>
            <w:r>
              <w:rPr>
                <w:rFonts w:ascii="Calibri" w:hAnsi="Calibri"/>
                <w:b/>
                <w:color w:val="FFFFFF"/>
                <w:sz w:val="22"/>
              </w:rPr>
              <w:t>Applications of Business Process Management (BPM)</w:t>
            </w:r>
          </w:p>
        </w:tc>
      </w:tr>
    </w:tbl>
    <w:p>
      <w:pPr>
        <w:jc w:val="both"/>
      </w:pPr>
      <w:r>
        <w:rPr>
          <w:rFonts w:ascii="Calibri" w:hAnsi="Calibri"/>
          <w:sz w:val="22"/>
        </w:rPr>
        <w:t>Business Process Management (BPM) is used to standardise and improve SENTINEL workflows across participating institutions. BPM helps clearly define roles, responsibilities, and process handoffs between developers, the SENTINEL platform, the AI triage layer, and the compliance / reporting entities. By removing ambiguity, BPM strengthens consistency, efficiency, and accountability throughout the VAPT lifecycle.</w:t>
      </w:r>
    </w:p>
    <w:p>
      <w:pPr>
        <w:jc w:val="both"/>
      </w:pPr>
      <w:r>
        <w:rPr>
          <w:rFonts w:ascii="Calibri" w:hAnsi="Calibri"/>
          <w:sz w:val="22"/>
        </w:rPr>
        <w:t>In technologically enabled and multi-stakeholder environments like SENTINEL, BPM also supports governance by aligning operational processes with regulatory objectives and institutional responsibilities. Furthermore, BPM provides a structural foundation for continuous process improvement and adaptation as regulatory requirements, threat landscapes, and detection-rule libraries evolve over time (Mendling, 2020).</w:t>
      </w:r>
    </w:p>
    <w:tbl>
      <w:tblPr>
        <w:tblW w:type="auto" w:w="0"/>
        <w:jc w:val="left"/>
        <w:tblLook w:firstColumn="1" w:firstRow="1" w:lastColumn="0" w:lastRow="0" w:noHBand="0" w:noVBand="1" w:val="04A0"/>
      </w:tblPr>
      <w:tblGrid>
        <w:gridCol w:w="9406"/>
      </w:tblGrid>
      <w:tr>
        <w:tc>
          <w:tcPr>
            <w:tcW w:type="dxa" w:w="9354"/>
            <w:shd w:val="clear" w:color="auto" w:fill="2E74B5"/>
          </w:tcPr>
          <w:p>
            <w:r>
              <w:rPr>
                <w:rFonts w:ascii="Calibri" w:hAnsi="Calibri"/>
                <w:b/>
                <w:color w:val="FFFFFF"/>
                <w:sz w:val="22"/>
              </w:rPr>
              <w:t>Business Process Model and Notation (BPMN)</w:t>
            </w:r>
          </w:p>
        </w:tc>
      </w:tr>
    </w:tbl>
    <w:p>
      <w:pPr>
        <w:jc w:val="both"/>
      </w:pPr>
      <w:r>
        <w:rPr>
          <w:rFonts w:ascii="Calibri" w:hAnsi="Calibri"/>
          <w:sz w:val="22"/>
        </w:rPr>
        <w:t>BPMN diagrams are employed to visually document the SENTINEL process in a format that is easily understood by both technical and non-technical stakeholders. The key BPMN flows include:</w:t>
      </w:r>
    </w:p>
    <w:p>
      <w:r>
        <w:rPr>
          <w:rFonts w:ascii="Calibri" w:hAnsi="Calibri"/>
          <w:b/>
          <w:sz w:val="22"/>
        </w:rPr>
        <w:t>1. Scan Submission Workflow</w:t>
      </w:r>
    </w:p>
    <w:p>
      <w:pPr>
        <w:jc w:val="both"/>
      </w:pPr>
      <w:r>
        <w:rPr>
          <w:rFonts w:ascii="Calibri" w:hAnsi="Calibri"/>
          <w:sz w:val="22"/>
        </w:rPr>
        <w:t>The developer (or CI build job) submits the APK through the SENTINEL gateway, the gateway authenticates the user, performs tenant isolation, and queues the scan job for the orchestrator.</w:t>
      </w:r>
    </w:p>
    <w:tbl>
      <w:tblPr>
        <w:tblW w:type="auto" w:w="0"/>
        <w:jc w:val="center"/>
        <w:tblLook w:firstColumn="1" w:firstRow="1" w:lastColumn="0" w:lastRow="0" w:noHBand="0" w:noVBand="1" w:val="04A0"/>
      </w:tblPr>
      <w:tblGrid>
        <w:gridCol w:w="9406"/>
      </w:tblGrid>
      <w:tr>
        <w:tc>
          <w:tcPr>
            <w:tcW w:type="dxa" w:w="7370"/>
            <w:shd w:val="clear" w:color="auto" w:fill="F2F2F2"/>
          </w:tcPr>
          <w:p>
            <w:pPr>
              <w:jc w:val="center"/>
            </w:pPr>
            <w:r>
              <w:rPr>
                <w:rFonts w:ascii="Calibri" w:hAnsi="Calibri"/>
                <w:i/>
                <w:color w:val="666666"/>
                <w:sz w:val="20"/>
              </w:rPr>
              <w:br/>
              <w:t>🎨  [ INSERT IMAGE HERE ]</w:t>
              <w:br/>
              <w:br/>
              <w:t>Scan Submission Workflow (BPMN)</w:t>
              <w:br/>
              <w:t>(see prompt.md #14)</w:t>
              <w:br/>
            </w:r>
          </w:p>
        </w:tc>
      </w:tr>
    </w:tbl>
    <w:p>
      <w:pPr>
        <w:jc w:val="center"/>
      </w:pPr>
      <w:r>
        <w:rPr>
          <w:rFonts w:ascii="Calibri" w:hAnsi="Calibri"/>
          <w:i/>
          <w:color w:val="2E74B5"/>
          <w:sz w:val="20"/>
        </w:rPr>
        <w:t>Figure 14: Scan Submission Workflow (BPMN)</w:t>
      </w:r>
    </w:p>
    <w:p/>
    <w:p>
      <w:r>
        <w:rPr>
          <w:rFonts w:ascii="Calibri" w:hAnsi="Calibri"/>
          <w:b/>
          <w:sz w:val="22"/>
        </w:rPr>
        <w:t>2. Multi-Agent Scan Execution Workflow</w:t>
      </w:r>
    </w:p>
    <w:p>
      <w:pPr>
        <w:jc w:val="both"/>
      </w:pPr>
      <w:r>
        <w:rPr>
          <w:rFonts w:ascii="Calibri" w:hAnsi="Calibri"/>
          <w:sz w:val="22"/>
        </w:rPr>
        <w:t>The orchestrator hashes the APK, parses the manifest, decompiles the code, dispatches 88 agents across parallel workers, and writes findings back to the central scan-context. The Adaptive Planner rewrites the dynamic plan based on Phase-2 signals, and the LLM triage layer suppresses false positives before persistence.</w:t>
      </w:r>
    </w:p>
    <w:tbl>
      <w:tblPr>
        <w:tblW w:type="auto" w:w="0"/>
        <w:jc w:val="center"/>
        <w:tblLook w:firstColumn="1" w:firstRow="1" w:lastColumn="0" w:lastRow="0" w:noHBand="0" w:noVBand="1" w:val="04A0"/>
      </w:tblPr>
      <w:tblGrid>
        <w:gridCol w:w="9406"/>
      </w:tblGrid>
      <w:tr>
        <w:tc>
          <w:tcPr>
            <w:tcW w:type="dxa" w:w="7370"/>
            <w:shd w:val="clear" w:color="auto" w:fill="F2F2F2"/>
          </w:tcPr>
          <w:p>
            <w:pPr>
              <w:jc w:val="center"/>
            </w:pPr>
            <w:r>
              <w:rPr>
                <w:rFonts w:ascii="Calibri" w:hAnsi="Calibri"/>
                <w:i/>
                <w:color w:val="666666"/>
                <w:sz w:val="20"/>
              </w:rPr>
              <w:br/>
              <w:t>🎨  [ INSERT IMAGE HERE ]</w:t>
              <w:br/>
              <w:br/>
              <w:t>Multi-Agent Scan Execution Workflow (BPMN)</w:t>
              <w:br/>
              <w:t>(see prompt.md #15)</w:t>
              <w:br/>
            </w:r>
          </w:p>
        </w:tc>
      </w:tr>
    </w:tbl>
    <w:p>
      <w:pPr>
        <w:jc w:val="center"/>
      </w:pPr>
      <w:r>
        <w:rPr>
          <w:rFonts w:ascii="Calibri" w:hAnsi="Calibri"/>
          <w:i/>
          <w:color w:val="2E74B5"/>
          <w:sz w:val="20"/>
        </w:rPr>
        <w:t>Figure 15: Multi-Agent Scan Execution Workflow (BPMN)</w:t>
      </w:r>
    </w:p>
    <w:p/>
    <w:p>
      <w:r>
        <w:rPr>
          <w:rFonts w:ascii="Calibri" w:hAnsi="Calibri"/>
          <w:b/>
          <w:sz w:val="22"/>
        </w:rPr>
        <w:t>3. Report Retrieval and SIEM Export Workflow</w:t>
      </w:r>
    </w:p>
    <w:p>
      <w:pPr>
        <w:jc w:val="both"/>
      </w:pPr>
      <w:r>
        <w:rPr>
          <w:rFonts w:ascii="Calibri" w:hAnsi="Calibri"/>
          <w:sz w:val="22"/>
        </w:rPr>
        <w:t>Using the customer's session ID and JWT, the gateway streams the appropriate artefact (Markdown report, HTML report, JSON, SARIF bundle, or SIEM bundle), subject to consent, tenant isolation, and audit trail.</w:t>
      </w:r>
    </w:p>
    <w:tbl>
      <w:tblPr>
        <w:tblW w:type="auto" w:w="0"/>
        <w:jc w:val="center"/>
        <w:tblLook w:firstColumn="1" w:firstRow="1" w:lastColumn="0" w:lastRow="0" w:noHBand="0" w:noVBand="1" w:val="04A0"/>
      </w:tblPr>
      <w:tblGrid>
        <w:gridCol w:w="9406"/>
      </w:tblGrid>
      <w:tr>
        <w:tc>
          <w:tcPr>
            <w:tcW w:type="dxa" w:w="7370"/>
            <w:shd w:val="clear" w:color="auto" w:fill="F2F2F2"/>
          </w:tcPr>
          <w:p>
            <w:pPr>
              <w:jc w:val="center"/>
            </w:pPr>
            <w:r>
              <w:rPr>
                <w:rFonts w:ascii="Calibri" w:hAnsi="Calibri"/>
                <w:i/>
                <w:color w:val="666666"/>
                <w:sz w:val="20"/>
              </w:rPr>
              <w:br/>
              <w:t>🎨  [ INSERT IMAGE HERE ]</w:t>
              <w:br/>
              <w:br/>
              <w:t>Report Retrieval and SIEM Export Workflow (BPMN)</w:t>
              <w:br/>
              <w:t>(see prompt.md #16)</w:t>
              <w:br/>
            </w:r>
          </w:p>
        </w:tc>
      </w:tr>
    </w:tbl>
    <w:p>
      <w:pPr>
        <w:jc w:val="center"/>
      </w:pPr>
      <w:r>
        <w:rPr>
          <w:rFonts w:ascii="Calibri" w:hAnsi="Calibri"/>
          <w:i/>
          <w:color w:val="2E74B5"/>
          <w:sz w:val="20"/>
        </w:rPr>
        <w:t>Figure 16: Report Retrieval and SIEM Export Workflow (BPMN)</w:t>
      </w:r>
    </w:p>
    <w:p/>
    <w:tbl>
      <w:tblPr>
        <w:tblW w:type="auto" w:w="0"/>
        <w:jc w:val="left"/>
        <w:tblLook w:firstColumn="1" w:firstRow="1" w:lastColumn="0" w:lastRow="0" w:noHBand="0" w:noVBand="1" w:val="04A0"/>
      </w:tblPr>
      <w:tblGrid>
        <w:gridCol w:w="9406"/>
      </w:tblGrid>
      <w:tr>
        <w:tc>
          <w:tcPr>
            <w:tcW w:type="dxa" w:w="9354"/>
            <w:shd w:val="clear" w:color="auto" w:fill="2E74B5"/>
          </w:tcPr>
          <w:p>
            <w:r>
              <w:rPr>
                <w:rFonts w:ascii="Calibri" w:hAnsi="Calibri"/>
                <w:b/>
                <w:color w:val="FFFFFF"/>
                <w:sz w:val="22"/>
              </w:rPr>
              <w:t>SENTINEL Workflow Summary Table</w:t>
            </w:r>
          </w:p>
        </w:tc>
      </w:tr>
    </w:tbl>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
              <w:rPr>
                <w:rFonts w:ascii="Calibri" w:hAnsi="Calibri"/>
                <w:b/>
                <w:color w:val="FFFFFF"/>
                <w:sz w:val="20"/>
              </w:rPr>
              <w:t>Workflow</w:t>
            </w:r>
          </w:p>
        </w:tc>
        <w:tc>
          <w:tcPr>
            <w:tcW w:type="dxa" w:w="2351"/>
            <w:shd w:val="clear" w:color="auto" w:fill="1F4E79"/>
          </w:tcPr>
          <w:p>
            <w:r/>
            <w:r>
              <w:rPr>
                <w:rFonts w:ascii="Calibri" w:hAnsi="Calibri"/>
                <w:b/>
                <w:color w:val="FFFFFF"/>
                <w:sz w:val="20"/>
              </w:rPr>
              <w:t>Trigger</w:t>
            </w:r>
          </w:p>
        </w:tc>
        <w:tc>
          <w:tcPr>
            <w:tcW w:type="dxa" w:w="2351"/>
            <w:shd w:val="clear" w:color="auto" w:fill="1F4E79"/>
          </w:tcPr>
          <w:p>
            <w:r/>
            <w:r>
              <w:rPr>
                <w:rFonts w:ascii="Calibri" w:hAnsi="Calibri"/>
                <w:b/>
                <w:color w:val="FFFFFF"/>
                <w:sz w:val="20"/>
              </w:rPr>
              <w:t>Key Steps</w:t>
            </w:r>
          </w:p>
        </w:tc>
        <w:tc>
          <w:tcPr>
            <w:tcW w:type="dxa" w:w="2351"/>
            <w:shd w:val="clear" w:color="auto" w:fill="1F4E79"/>
          </w:tcPr>
          <w:p>
            <w:r/>
            <w:r>
              <w:rPr>
                <w:rFonts w:ascii="Calibri" w:hAnsi="Calibri"/>
                <w:b/>
                <w:color w:val="FFFFFF"/>
                <w:sz w:val="20"/>
              </w:rPr>
              <w:t>Output</w:t>
            </w:r>
          </w:p>
        </w:tc>
      </w:tr>
      <w:tr>
        <w:tc>
          <w:tcPr>
            <w:tcW w:type="dxa" w:w="2351"/>
          </w:tcPr>
          <w:p>
            <w:r/>
            <w:r>
              <w:rPr>
                <w:rFonts w:ascii="Calibri" w:hAnsi="Calibri"/>
                <w:sz w:val="20"/>
              </w:rPr>
              <w:t>Scan Submission</w:t>
            </w:r>
          </w:p>
        </w:tc>
        <w:tc>
          <w:tcPr>
            <w:tcW w:type="dxa" w:w="2351"/>
          </w:tcPr>
          <w:p>
            <w:r/>
            <w:r>
              <w:rPr>
                <w:rFonts w:ascii="Calibri" w:hAnsi="Calibri"/>
                <w:sz w:val="20"/>
              </w:rPr>
              <w:t>Developer / CI uploads APK</w:t>
            </w:r>
          </w:p>
        </w:tc>
        <w:tc>
          <w:tcPr>
            <w:tcW w:type="dxa" w:w="2351"/>
          </w:tcPr>
          <w:p>
            <w:r/>
            <w:r>
              <w:rPr>
                <w:rFonts w:ascii="Calibri" w:hAnsi="Calibri"/>
                <w:sz w:val="20"/>
              </w:rPr>
              <w:t>Gateway authenticates, validates file size and signature, applies tenant isolation, queues job</w:t>
            </w:r>
          </w:p>
        </w:tc>
        <w:tc>
          <w:tcPr>
            <w:tcW w:type="dxa" w:w="2351"/>
          </w:tcPr>
          <w:p>
            <w:r/>
            <w:r>
              <w:rPr>
                <w:rFonts w:ascii="Calibri" w:hAnsi="Calibri"/>
                <w:sz w:val="20"/>
              </w:rPr>
              <w:t>Scan job accepted, session ID returned</w:t>
            </w:r>
          </w:p>
        </w:tc>
      </w:tr>
      <w:tr>
        <w:tc>
          <w:tcPr>
            <w:tcW w:type="dxa" w:w="2351"/>
          </w:tcPr>
          <w:p>
            <w:r/>
            <w:r>
              <w:rPr>
                <w:rFonts w:ascii="Calibri" w:hAnsi="Calibri"/>
                <w:sz w:val="20"/>
              </w:rPr>
              <w:t>Multi-Agent Scan Execution</w:t>
            </w:r>
          </w:p>
        </w:tc>
        <w:tc>
          <w:tcPr>
            <w:tcW w:type="dxa" w:w="2351"/>
          </w:tcPr>
          <w:p>
            <w:r/>
            <w:r>
              <w:rPr>
                <w:rFonts w:ascii="Calibri" w:hAnsi="Calibri"/>
                <w:sz w:val="20"/>
              </w:rPr>
              <w:t>Job picked up by orchestrator</w:t>
            </w:r>
          </w:p>
        </w:tc>
        <w:tc>
          <w:tcPr>
            <w:tcW w:type="dxa" w:w="2351"/>
          </w:tcPr>
          <w:p>
            <w:r/>
            <w:r>
              <w:rPr>
                <w:rFonts w:ascii="Calibri" w:hAnsi="Calibri"/>
                <w:sz w:val="20"/>
              </w:rPr>
              <w:t>Hash + manifest parse + decompile → 88 agents in parallel → LLM triage → compliance mapping</w:t>
            </w:r>
          </w:p>
        </w:tc>
        <w:tc>
          <w:tcPr>
            <w:tcW w:type="dxa" w:w="2351"/>
          </w:tcPr>
          <w:p>
            <w:r/>
            <w:r>
              <w:rPr>
                <w:rFonts w:ascii="Calibri" w:hAnsi="Calibri"/>
                <w:sz w:val="20"/>
              </w:rPr>
              <w:t>Findings persisted, evidence written to workspace</w:t>
            </w:r>
          </w:p>
        </w:tc>
      </w:tr>
      <w:tr>
        <w:tc>
          <w:tcPr>
            <w:tcW w:type="dxa" w:w="2351"/>
          </w:tcPr>
          <w:p>
            <w:r/>
            <w:r>
              <w:rPr>
                <w:rFonts w:ascii="Calibri" w:hAnsi="Calibri"/>
                <w:sz w:val="20"/>
              </w:rPr>
              <w:t>Report Retrieval</w:t>
            </w:r>
          </w:p>
        </w:tc>
        <w:tc>
          <w:tcPr>
            <w:tcW w:type="dxa" w:w="2351"/>
          </w:tcPr>
          <w:p>
            <w:r/>
            <w:r>
              <w:rPr>
                <w:rFonts w:ascii="Calibri" w:hAnsi="Calibri"/>
                <w:sz w:val="20"/>
              </w:rPr>
              <w:t>Customer / auditor queries session</w:t>
            </w:r>
          </w:p>
        </w:tc>
        <w:tc>
          <w:tcPr>
            <w:tcW w:type="dxa" w:w="2351"/>
          </w:tcPr>
          <w:p>
            <w:r/>
            <w:r>
              <w:rPr>
                <w:rFonts w:ascii="Calibri" w:hAnsi="Calibri"/>
                <w:sz w:val="20"/>
              </w:rPr>
              <w:t>Gateway authorises, streams the requested artefact (MD / HTML / JSON / SARIF / SIEM / PoC)</w:t>
            </w:r>
          </w:p>
        </w:tc>
        <w:tc>
          <w:tcPr>
            <w:tcW w:type="dxa" w:w="2351"/>
          </w:tcPr>
          <w:p>
            <w:r/>
            <w:r>
              <w:rPr>
                <w:rFonts w:ascii="Calibri" w:hAnsi="Calibri"/>
                <w:sz w:val="20"/>
              </w:rPr>
              <w:t>Artefact delivered to the requesting client</w:t>
            </w:r>
          </w:p>
        </w:tc>
      </w:tr>
      <w:tr>
        <w:tc>
          <w:tcPr>
            <w:tcW w:type="dxa" w:w="2351"/>
          </w:tcPr>
          <w:p>
            <w:r/>
            <w:r>
              <w:rPr>
                <w:rFonts w:ascii="Calibri" w:hAnsi="Calibri"/>
                <w:sz w:val="20"/>
              </w:rPr>
              <w:t>Continuous Improvement</w:t>
            </w:r>
          </w:p>
        </w:tc>
        <w:tc>
          <w:tcPr>
            <w:tcW w:type="dxa" w:w="2351"/>
          </w:tcPr>
          <w:p>
            <w:r/>
            <w:r>
              <w:rPr>
                <w:rFonts w:ascii="Calibri" w:hAnsi="Calibri"/>
                <w:sz w:val="20"/>
              </w:rPr>
              <w:t>New agent contributed by community</w:t>
            </w:r>
          </w:p>
        </w:tc>
        <w:tc>
          <w:tcPr>
            <w:tcW w:type="dxa" w:w="2351"/>
          </w:tcPr>
          <w:p>
            <w:r/>
            <w:r>
              <w:rPr>
                <w:rFonts w:ascii="Calibri" w:hAnsi="Calibri"/>
                <w:sz w:val="20"/>
              </w:rPr>
              <w:t>Lint + unit tests + integration test against InsecureBank-class reference apps → roll-out</w:t>
            </w:r>
          </w:p>
        </w:tc>
        <w:tc>
          <w:tcPr>
            <w:tcW w:type="dxa" w:w="2351"/>
          </w:tcPr>
          <w:p>
            <w:r/>
            <w:r>
              <w:rPr>
                <w:rFonts w:ascii="Calibri" w:hAnsi="Calibri"/>
                <w:sz w:val="20"/>
              </w:rPr>
              <w:t>Updated agent library distributed to all tenants</w:t>
            </w:r>
          </w:p>
        </w:tc>
      </w:tr>
    </w:tbl>
    <w:p>
      <w:pPr>
        <w:jc w:val="center"/>
      </w:pPr>
      <w:r>
        <w:rPr>
          <w:rFonts w:ascii="Calibri" w:hAnsi="Calibri"/>
          <w:i/>
          <w:color w:val="2E74B5"/>
          <w:sz w:val="20"/>
        </w:rPr>
        <w:t>Table 4: SENTINEL Workflow Summary</w:t>
      </w:r>
    </w:p>
    <w:tbl>
      <w:tblPr>
        <w:tblW w:type="auto" w:w="0"/>
        <w:jc w:val="left"/>
        <w:tblLook w:firstColumn="1" w:firstRow="1" w:lastColumn="0" w:lastRow="0" w:noHBand="0" w:noVBand="1" w:val="04A0"/>
      </w:tblPr>
      <w:tblGrid>
        <w:gridCol w:w="9406"/>
      </w:tblGrid>
      <w:tr>
        <w:tc>
          <w:tcPr>
            <w:tcW w:type="dxa" w:w="9354"/>
            <w:shd w:val="clear" w:color="auto" w:fill="2E74B5"/>
          </w:tcPr>
          <w:p>
            <w:r>
              <w:rPr>
                <w:rFonts w:ascii="Calibri" w:hAnsi="Calibri"/>
                <w:b/>
                <w:color w:val="FFFFFF"/>
                <w:sz w:val="22"/>
              </w:rPr>
              <w:t>Product Life Cycle of the SENTINEL Platform</w:t>
            </w:r>
          </w:p>
        </w:tc>
      </w:tr>
    </w:tbl>
    <w:p>
      <w:pPr>
        <w:jc w:val="both"/>
      </w:pPr>
      <w:r>
        <w:rPr>
          <w:rFonts w:ascii="Calibri" w:hAnsi="Calibri"/>
          <w:sz w:val="22"/>
        </w:rPr>
        <w:t>The SENTINEL platform is expected to follow a phased product life cycle. The introduction phase would include pilot operations with two or three early-adopting Nepalese fintech BFIs. The growth phase would see an escalating number of institutions embracing the platform and customer awareness rising as detection-rule coverage matures. At maturity, SENTINEL functions as standard national infrastructure with stable operations and consistent NRB-aligned audit support. Ongoing enhancements ensure the platform remains effective amid regulatory and technological changes (Gowda, 2022).</w:t>
      </w:r>
    </w:p>
    <w:tbl>
      <w:tblPr>
        <w:tblW w:type="auto" w:w="0"/>
        <w:jc w:val="center"/>
        <w:tblLook w:firstColumn="1" w:firstRow="1" w:lastColumn="0" w:lastRow="0" w:noHBand="0" w:noVBand="1" w:val="04A0"/>
      </w:tblPr>
      <w:tblGrid>
        <w:gridCol w:w="9406"/>
      </w:tblGrid>
      <w:tr>
        <w:tc>
          <w:tcPr>
            <w:tcW w:type="dxa" w:w="7370"/>
            <w:shd w:val="clear" w:color="auto" w:fill="F2F2F2"/>
          </w:tcPr>
          <w:p>
            <w:pPr>
              <w:jc w:val="center"/>
            </w:pPr>
            <w:r>
              <w:rPr>
                <w:rFonts w:ascii="Calibri" w:hAnsi="Calibri"/>
                <w:i/>
                <w:color w:val="666666"/>
                <w:sz w:val="20"/>
              </w:rPr>
              <w:br/>
              <w:t>🎨  [ INSERT IMAGE HERE ]</w:t>
              <w:br/>
              <w:br/>
              <w:t>SENTINEL Platform Product Life Cycle</w:t>
              <w:br/>
              <w:t>(see prompt.md #17)</w:t>
              <w:br/>
            </w:r>
          </w:p>
        </w:tc>
      </w:tr>
    </w:tbl>
    <w:p>
      <w:pPr>
        <w:jc w:val="center"/>
      </w:pPr>
      <w:r>
        <w:rPr>
          <w:rFonts w:ascii="Calibri" w:hAnsi="Calibri"/>
          <w:i/>
          <w:color w:val="2E74B5"/>
          <w:sz w:val="20"/>
        </w:rPr>
        <w:t>Figure 17: SENTINEL Platform Product Life Cycle</w:t>
      </w:r>
    </w:p>
    <w:p/>
    <w:p>
      <w:pPr>
        <w:jc w:val="both"/>
      </w:pPr>
      <w:r>
        <w:rPr>
          <w:rFonts w:ascii="Calibri" w:hAnsi="Calibri"/>
          <w:sz w:val="22"/>
        </w:rPr>
        <w:t>Risk Management at Maturity — SENTINEL may slip toward decline if (a) a large cloud provider bundles a free competitor, (b) regulatory shifts demand new evidence categories the platform cannot capture, or (c) the agent-contribution community stalls. The contingency plan combines three strategies: mitigate (invest in differentiation — extended MITRE coverage, SOC2 / ISO 27001 certification, multi-year BFI contracts); innovate ahead of time (launch iOS scanner and embedded-firmware scanner before maturity peaks); add investment partners (cloud / SIEM vendor strategic round for distribution leverage).</w:t>
      </w:r>
    </w:p>
    <w:tbl>
      <w:tblPr>
        <w:tblW w:type="auto" w:w="0"/>
        <w:jc w:val="left"/>
        <w:tblLook w:firstColumn="1" w:firstRow="1" w:lastColumn="0" w:lastRow="0" w:noHBand="0" w:noVBand="1" w:val="04A0"/>
      </w:tblPr>
      <w:tblGrid>
        <w:gridCol w:w="9406"/>
      </w:tblGrid>
      <w:tr>
        <w:tc>
          <w:tcPr>
            <w:tcW w:type="dxa" w:w="9354"/>
            <w:shd w:val="clear" w:color="auto" w:fill="2E74B5"/>
          </w:tcPr>
          <w:p>
            <w:r>
              <w:rPr>
                <w:rFonts w:ascii="Calibri" w:hAnsi="Calibri"/>
                <w:b/>
                <w:color w:val="FFFFFF"/>
                <w:sz w:val="22"/>
              </w:rPr>
              <w:t>SENTINEL Customer Value Chain</w:t>
            </w:r>
          </w:p>
        </w:tc>
      </w:tr>
    </w:tbl>
    <w:p>
      <w:pPr>
        <w:jc w:val="both"/>
      </w:pPr>
      <w:r>
        <w:rPr>
          <w:rFonts w:ascii="Calibri" w:hAnsi="Calibri"/>
          <w:sz w:val="22"/>
        </w:rPr>
        <w:t>The SENTINEL value chain shows how value is added at every step of the customer journey, from APK submission to evidence consumption. Developers experience faster feedback and fewer late-stage remediation cycles, while BFIs benefit from improved efficiency, consistent detection coverage, and reduced compliance burden. Regulators gain enhanced visibility across the financial system and improved capabilities for risk-based supervision (CERSAI, 2023).</w:t>
      </w:r>
    </w:p>
    <w:tbl>
      <w:tblPr>
        <w:tblW w:type="auto" w:w="0"/>
        <w:jc w:val="center"/>
        <w:tblLook w:firstColumn="1" w:firstRow="1" w:lastColumn="0" w:lastRow="0" w:noHBand="0" w:noVBand="1" w:val="04A0"/>
      </w:tblPr>
      <w:tblGrid>
        <w:gridCol w:w="9406"/>
      </w:tblGrid>
      <w:tr>
        <w:tc>
          <w:tcPr>
            <w:tcW w:type="dxa" w:w="7370"/>
            <w:shd w:val="clear" w:color="auto" w:fill="F2F2F2"/>
          </w:tcPr>
          <w:p>
            <w:pPr>
              <w:jc w:val="center"/>
            </w:pPr>
            <w:r>
              <w:rPr>
                <w:rFonts w:ascii="Calibri" w:hAnsi="Calibri"/>
                <w:i/>
                <w:color w:val="666666"/>
                <w:sz w:val="20"/>
              </w:rPr>
              <w:br/>
              <w:t>🎨  [ INSERT IMAGE HERE ]</w:t>
              <w:br/>
              <w:br/>
              <w:t>SENTINEL Customer Value Chain</w:t>
              <w:br/>
              <w:t>(see prompt.md #18)</w:t>
              <w:br/>
            </w:r>
          </w:p>
        </w:tc>
      </w:tr>
    </w:tbl>
    <w:p>
      <w:pPr>
        <w:jc w:val="center"/>
      </w:pPr>
      <w:r>
        <w:rPr>
          <w:rFonts w:ascii="Calibri" w:hAnsi="Calibri"/>
          <w:i/>
          <w:color w:val="2E74B5"/>
          <w:sz w:val="20"/>
        </w:rPr>
        <w:t>Figure 18: SENTINEL Customer Value Chain</w:t>
      </w:r>
    </w:p>
    <w:p/>
    <w:tbl>
      <w:tblPr>
        <w:tblW w:type="auto" w:w="0"/>
        <w:jc w:val="left"/>
        <w:tblLayout w:type="fixed"/>
        <w:tblLook w:firstColumn="1" w:firstRow="1" w:lastColumn="0" w:lastRow="0" w:noHBand="0" w:noVBand="1" w:val="04A0"/>
      </w:tblPr>
      <w:tblGrid>
        <w:gridCol w:w="9406"/>
      </w:tblGrid>
      <w:tr>
        <w:tc>
          <w:tcPr>
            <w:tcW w:type="dxa" w:w="9354"/>
            <w:shd w:val="clear" w:color="auto" w:fill="1F4E79"/>
          </w:tcPr>
          <w:p>
            <w:pPr>
              <w:jc w:val="left"/>
            </w:pPr>
            <w:r>
              <w:rPr>
                <w:rFonts w:ascii="Calibri" w:hAnsi="Calibri"/>
                <w:b/>
                <w:color w:val="FFFFFF"/>
                <w:sz w:val="26"/>
              </w:rPr>
              <w:t>FEEDBACK AND ANALYSIS</w:t>
            </w:r>
          </w:p>
        </w:tc>
      </w:tr>
    </w:tbl>
    <w:p>
      <w:pPr>
        <w:jc w:val="both"/>
      </w:pPr>
      <w:r>
        <w:rPr>
          <w:rFonts w:ascii="Calibri" w:hAnsi="Calibri"/>
          <w:sz w:val="22"/>
        </w:rPr>
        <w:t>This section examines the proposed SENTINEL prototype by considering how key stakeholders are likely to react and what risks could get in the way of implementation. The goal is to see if the solution is realistic, acceptable, and sustainable for Nepal's fintech ecosystem.</w:t>
      </w:r>
    </w:p>
    <w:tbl>
      <w:tblPr>
        <w:tblW w:type="auto" w:w="0"/>
        <w:jc w:val="center"/>
        <w:tblLook w:firstColumn="1" w:firstRow="1" w:lastColumn="0" w:lastRow="0" w:noHBand="0" w:noVBand="1" w:val="04A0"/>
      </w:tblPr>
      <w:tblGrid>
        <w:gridCol w:w="9406"/>
      </w:tblGrid>
      <w:tr>
        <w:tc>
          <w:tcPr>
            <w:tcW w:type="dxa" w:w="7370"/>
            <w:shd w:val="clear" w:color="auto" w:fill="F2F2F2"/>
          </w:tcPr>
          <w:p>
            <w:pPr>
              <w:jc w:val="center"/>
            </w:pPr>
            <w:r>
              <w:rPr>
                <w:rFonts w:ascii="Calibri" w:hAnsi="Calibri"/>
                <w:i/>
                <w:color w:val="666666"/>
                <w:sz w:val="20"/>
              </w:rPr>
              <w:br/>
              <w:t>🎨  [ INSERT IMAGE HERE ]</w:t>
              <w:br/>
              <w:br/>
              <w:t>SENTINEL Prototype Review — Feedback &amp; Analysis</w:t>
              <w:br/>
              <w:t>(see prompt.md #19)</w:t>
              <w:br/>
            </w:r>
          </w:p>
        </w:tc>
      </w:tr>
    </w:tbl>
    <w:p>
      <w:pPr>
        <w:jc w:val="center"/>
      </w:pPr>
      <w:r>
        <w:rPr>
          <w:rFonts w:ascii="Calibri" w:hAnsi="Calibri"/>
          <w:i/>
          <w:color w:val="2E74B5"/>
          <w:sz w:val="20"/>
        </w:rPr>
        <w:t>Figure 19: SENTINEL Prototype Review — Feedback &amp; Analysis</w:t>
      </w:r>
    </w:p>
    <w:p/>
    <w:tbl>
      <w:tblPr>
        <w:tblW w:type="auto" w:w="0"/>
        <w:jc w:val="left"/>
        <w:tblLook w:firstColumn="1" w:firstRow="1" w:lastColumn="0" w:lastRow="0" w:noHBand="0" w:noVBand="1" w:val="04A0"/>
      </w:tblPr>
      <w:tblGrid>
        <w:gridCol w:w="9406"/>
      </w:tblGrid>
      <w:tr>
        <w:tc>
          <w:tcPr>
            <w:tcW w:type="dxa" w:w="9354"/>
            <w:shd w:val="clear" w:color="auto" w:fill="2E74B5"/>
          </w:tcPr>
          <w:p>
            <w:r>
              <w:rPr>
                <w:rFonts w:ascii="Calibri" w:hAnsi="Calibri"/>
                <w:b/>
                <w:color w:val="FFFFFF"/>
                <w:sz w:val="22"/>
              </w:rPr>
              <w:t>Stakeholder Feedback</w:t>
            </w:r>
          </w:p>
        </w:tc>
      </w:tr>
    </w:tbl>
    <w:p>
      <w:pPr>
        <w:pStyle w:val="ListBullet"/>
      </w:pPr>
      <w:r/>
      <w:r>
        <w:rPr>
          <w:rFonts w:ascii="Calibri" w:hAnsi="Calibri"/>
          <w:b/>
          <w:sz w:val="22"/>
        </w:rPr>
        <w:t xml:space="preserve">Developers </w:t>
      </w:r>
      <w:r>
        <w:rPr>
          <w:rFonts w:ascii="Calibri" w:hAnsi="Calibri"/>
          <w:sz w:val="22"/>
        </w:rPr>
        <w:t>would welcome SENTINEL because it integrates directly with CI, provides feedback within the development loop, and exposes precise code locations for every finding.</w:t>
      </w:r>
    </w:p>
    <w:p>
      <w:pPr>
        <w:pStyle w:val="ListBullet"/>
      </w:pPr>
      <w:r/>
      <w:r>
        <w:rPr>
          <w:rFonts w:ascii="Calibri" w:hAnsi="Calibri"/>
          <w:b/>
          <w:sz w:val="22"/>
        </w:rPr>
        <w:t xml:space="preserve">Security Engineers </w:t>
      </w:r>
      <w:r>
        <w:rPr>
          <w:rFonts w:ascii="Calibri" w:hAnsi="Calibri"/>
          <w:sz w:val="22"/>
        </w:rPr>
        <w:t>can derive significant value from automated runtime instrumentation, consistent evidence capture, and reduced manual hook authoring. They may be cautious about agent quality, false-negative rate, and the operational overhead of agent contribution.</w:t>
      </w:r>
    </w:p>
    <w:p>
      <w:pPr>
        <w:pStyle w:val="ListBullet"/>
      </w:pPr>
      <w:r/>
      <w:r>
        <w:rPr>
          <w:rFonts w:ascii="Calibri" w:hAnsi="Calibri"/>
          <w:b/>
          <w:sz w:val="22"/>
        </w:rPr>
        <w:t xml:space="preserve">Compliance Officers </w:t>
      </w:r>
      <w:r>
        <w:rPr>
          <w:rFonts w:ascii="Calibri" w:hAnsi="Calibri"/>
          <w:sz w:val="22"/>
        </w:rPr>
        <w:t>will likely support SENTINEL because it provides automatic OWASP MASVS, NRB, and AML/CFT mapping per finding, eliminating the late-mapping pain that currently dominates audit preparation.</w:t>
      </w:r>
    </w:p>
    <w:p>
      <w:pPr>
        <w:pStyle w:val="ListBullet"/>
      </w:pPr>
      <w:r/>
      <w:r>
        <w:rPr>
          <w:rFonts w:ascii="Calibri" w:hAnsi="Calibri"/>
          <w:b/>
          <w:sz w:val="22"/>
        </w:rPr>
        <w:t xml:space="preserve">Regulators </w:t>
      </w:r>
      <w:r>
        <w:rPr>
          <w:rFonts w:ascii="Calibri" w:hAnsi="Calibri"/>
          <w:sz w:val="22"/>
        </w:rPr>
        <w:t>are expected to support SENTINEL due to stronger supervisory visibility, clearer governance, and better AML/CFT monitoring (FATF, 2025). Centralised audit trails and controlled tenant isolation can also improve confidence in compliance outcomes.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shd w:val="clear" w:color="auto" w:fill="1F4E79"/>
          </w:tcPr>
          <w:p>
            <w:r/>
            <w:r>
              <w:rPr>
                <w:rFonts w:ascii="Calibri" w:hAnsi="Calibri"/>
                <w:b/>
                <w:color w:val="FFFFFF"/>
                <w:sz w:val="20"/>
              </w:rPr>
              <w:t>Stakeholder</w:t>
            </w:r>
          </w:p>
        </w:tc>
        <w:tc>
          <w:tcPr>
            <w:tcW w:type="dxa" w:w="2351"/>
            <w:shd w:val="clear" w:color="auto" w:fill="1F4E79"/>
          </w:tcPr>
          <w:p>
            <w:r/>
            <w:r>
              <w:rPr>
                <w:rFonts w:ascii="Calibri" w:hAnsi="Calibri"/>
                <w:b/>
                <w:color w:val="FFFFFF"/>
                <w:sz w:val="20"/>
              </w:rPr>
              <w:t>Key Needs</w:t>
            </w:r>
          </w:p>
        </w:tc>
        <w:tc>
          <w:tcPr>
            <w:tcW w:type="dxa" w:w="2351"/>
            <w:shd w:val="clear" w:color="auto" w:fill="1F4E79"/>
          </w:tcPr>
          <w:p>
            <w:r/>
            <w:r>
              <w:rPr>
                <w:rFonts w:ascii="Calibri" w:hAnsi="Calibri"/>
                <w:b/>
                <w:color w:val="FFFFFF"/>
                <w:sz w:val="20"/>
              </w:rPr>
              <w:t>Current Pain Points</w:t>
            </w:r>
          </w:p>
        </w:tc>
        <w:tc>
          <w:tcPr>
            <w:tcW w:type="dxa" w:w="2351"/>
            <w:shd w:val="clear" w:color="auto" w:fill="1F4E79"/>
          </w:tcPr>
          <w:p>
            <w:r/>
            <w:r>
              <w:rPr>
                <w:rFonts w:ascii="Calibri" w:hAnsi="Calibri"/>
                <w:b/>
                <w:color w:val="FFFFFF"/>
                <w:sz w:val="20"/>
              </w:rPr>
              <w:t>SENTINEL Value Delivered</w:t>
            </w:r>
          </w:p>
        </w:tc>
      </w:tr>
      <w:tr>
        <w:tc>
          <w:tcPr>
            <w:tcW w:type="dxa" w:w="2351"/>
          </w:tcPr>
          <w:p>
            <w:r/>
            <w:r>
              <w:rPr>
                <w:rFonts w:ascii="Calibri" w:hAnsi="Calibri"/>
                <w:sz w:val="20"/>
              </w:rPr>
              <w:t>Developers</w:t>
            </w:r>
          </w:p>
        </w:tc>
        <w:tc>
          <w:tcPr>
            <w:tcW w:type="dxa" w:w="2351"/>
          </w:tcPr>
          <w:p>
            <w:r/>
            <w:r>
              <w:rPr>
                <w:rFonts w:ascii="Calibri" w:hAnsi="Calibri"/>
                <w:sz w:val="20"/>
              </w:rPr>
              <w:t>Fast, in-CI security feedback</w:t>
            </w:r>
          </w:p>
        </w:tc>
        <w:tc>
          <w:tcPr>
            <w:tcW w:type="dxa" w:w="2351"/>
          </w:tcPr>
          <w:p>
            <w:r/>
            <w:r>
              <w:rPr>
                <w:rFonts w:ascii="Calibri" w:hAnsi="Calibri"/>
                <w:sz w:val="20"/>
              </w:rPr>
              <w:t>Late pen-test arrival, opaque PDFs</w:t>
            </w:r>
          </w:p>
        </w:tc>
        <w:tc>
          <w:tcPr>
            <w:tcW w:type="dxa" w:w="2351"/>
          </w:tcPr>
          <w:p>
            <w:r/>
            <w:r>
              <w:rPr>
                <w:rFonts w:ascii="Calibri" w:hAnsi="Calibri"/>
                <w:sz w:val="20"/>
              </w:rPr>
              <w:t>Inline code findings, CI-gated build, MASVS-mapped remediation</w:t>
            </w:r>
          </w:p>
        </w:tc>
      </w:tr>
      <w:tr>
        <w:tc>
          <w:tcPr>
            <w:tcW w:type="dxa" w:w="2351"/>
          </w:tcPr>
          <w:p>
            <w:r/>
            <w:r>
              <w:rPr>
                <w:rFonts w:ascii="Calibri" w:hAnsi="Calibri"/>
                <w:sz w:val="20"/>
              </w:rPr>
              <w:t>Security Engineers</w:t>
            </w:r>
          </w:p>
        </w:tc>
        <w:tc>
          <w:tcPr>
            <w:tcW w:type="dxa" w:w="2351"/>
          </w:tcPr>
          <w:p>
            <w:r/>
            <w:r>
              <w:rPr>
                <w:rFonts w:ascii="Calibri" w:hAnsi="Calibri"/>
                <w:sz w:val="20"/>
              </w:rPr>
              <w:t>Coverage + runtime evidence with low effort</w:t>
            </w:r>
          </w:p>
        </w:tc>
        <w:tc>
          <w:tcPr>
            <w:tcW w:type="dxa" w:w="2351"/>
          </w:tcPr>
          <w:p>
            <w:r/>
            <w:r>
              <w:rPr>
                <w:rFonts w:ascii="Calibri" w:hAnsi="Calibri"/>
                <w:sz w:val="20"/>
              </w:rPr>
              <w:t>Manual Frida scripting, inconsistent hooks</w:t>
            </w:r>
          </w:p>
        </w:tc>
        <w:tc>
          <w:tcPr>
            <w:tcW w:type="dxa" w:w="2351"/>
          </w:tcPr>
          <w:p>
            <w:r/>
            <w:r>
              <w:rPr>
                <w:rFonts w:ascii="Calibri" w:hAnsi="Calibri"/>
                <w:sz w:val="20"/>
              </w:rPr>
              <w:t>88 agents in parallel, automatic Frida hooks, screenshot evidence</w:t>
            </w:r>
          </w:p>
        </w:tc>
      </w:tr>
      <w:tr>
        <w:tc>
          <w:tcPr>
            <w:tcW w:type="dxa" w:w="2351"/>
          </w:tcPr>
          <w:p>
            <w:r/>
            <w:r>
              <w:rPr>
                <w:rFonts w:ascii="Calibri" w:hAnsi="Calibri"/>
                <w:sz w:val="20"/>
              </w:rPr>
              <w:t>Compliance Officers</w:t>
            </w:r>
          </w:p>
        </w:tc>
        <w:tc>
          <w:tcPr>
            <w:tcW w:type="dxa" w:w="2351"/>
          </w:tcPr>
          <w:p>
            <w:r/>
            <w:r>
              <w:rPr>
                <w:rFonts w:ascii="Calibri" w:hAnsi="Calibri"/>
                <w:sz w:val="20"/>
              </w:rPr>
              <w:t>Regulation-mapped findings on submission</w:t>
            </w:r>
          </w:p>
        </w:tc>
        <w:tc>
          <w:tcPr>
            <w:tcW w:type="dxa" w:w="2351"/>
          </w:tcPr>
          <w:p>
            <w:r/>
            <w:r>
              <w:rPr>
                <w:rFonts w:ascii="Calibri" w:hAnsi="Calibri"/>
                <w:sz w:val="20"/>
              </w:rPr>
              <w:t>Late evidence mapping, brittle PDF mapping</w:t>
            </w:r>
          </w:p>
        </w:tc>
        <w:tc>
          <w:tcPr>
            <w:tcW w:type="dxa" w:w="2351"/>
          </w:tcPr>
          <w:p>
            <w:r/>
            <w:r>
              <w:rPr>
                <w:rFonts w:ascii="Calibri" w:hAnsi="Calibri"/>
                <w:sz w:val="20"/>
              </w:rPr>
              <w:t>Auto OWASP / NRB / AML tags per finding</w:t>
            </w:r>
          </w:p>
        </w:tc>
      </w:tr>
      <w:tr>
        <w:tc>
          <w:tcPr>
            <w:tcW w:type="dxa" w:w="2351"/>
          </w:tcPr>
          <w:p>
            <w:r/>
            <w:r>
              <w:rPr>
                <w:rFonts w:ascii="Calibri" w:hAnsi="Calibri"/>
                <w:sz w:val="20"/>
              </w:rPr>
              <w:t>NRB / Regulators</w:t>
            </w:r>
          </w:p>
        </w:tc>
        <w:tc>
          <w:tcPr>
            <w:tcW w:type="dxa" w:w="2351"/>
          </w:tcPr>
          <w:p>
            <w:r/>
            <w:r>
              <w:rPr>
                <w:rFonts w:ascii="Calibri" w:hAnsi="Calibri"/>
                <w:sz w:val="20"/>
              </w:rPr>
              <w:t>Supervisory visibility, control of detection corpus</w:t>
            </w:r>
          </w:p>
        </w:tc>
        <w:tc>
          <w:tcPr>
            <w:tcW w:type="dxa" w:w="2351"/>
          </w:tcPr>
          <w:p>
            <w:r/>
            <w:r>
              <w:rPr>
                <w:rFonts w:ascii="Calibri" w:hAnsi="Calibri"/>
                <w:sz w:val="20"/>
              </w:rPr>
              <w:t>Limited cross-BFI insight, weak audit trails</w:t>
            </w:r>
          </w:p>
        </w:tc>
        <w:tc>
          <w:tcPr>
            <w:tcW w:type="dxa" w:w="2351"/>
          </w:tcPr>
          <w:p>
            <w:r/>
            <w:r>
              <w:rPr>
                <w:rFonts w:ascii="Calibri" w:hAnsi="Calibri"/>
                <w:sz w:val="20"/>
              </w:rPr>
              <w:t>Tenant-isolated dashboard, central detection-rule governance</w:t>
            </w:r>
          </w:p>
        </w:tc>
      </w:tr>
    </w:tbl>
    <w:p>
      <w:pPr>
        <w:jc w:val="center"/>
      </w:pPr>
      <w:r>
        <w:rPr>
          <w:rFonts w:ascii="Calibri" w:hAnsi="Calibri"/>
          <w:i/>
          <w:color w:val="2E74B5"/>
          <w:sz w:val="20"/>
        </w:rPr>
        <w:t>Table 5: Stakeholder Feedback Summary</w:t>
      </w:r>
    </w:p>
    <w:tbl>
      <w:tblPr>
        <w:tblW w:type="auto" w:w="0"/>
        <w:jc w:val="left"/>
        <w:tblLook w:firstColumn="1" w:firstRow="1" w:lastColumn="0" w:lastRow="0" w:noHBand="0" w:noVBand="1" w:val="04A0"/>
      </w:tblPr>
      <w:tblGrid>
        <w:gridCol w:w="9406"/>
      </w:tblGrid>
      <w:tr>
        <w:tc>
          <w:tcPr>
            <w:tcW w:type="dxa" w:w="9354"/>
            <w:shd w:val="clear" w:color="auto" w:fill="2E74B5"/>
          </w:tcPr>
          <w:p>
            <w:r>
              <w:rPr>
                <w:rFonts w:ascii="Calibri" w:hAnsi="Calibri"/>
                <w:b/>
                <w:color w:val="FFFFFF"/>
                <w:sz w:val="22"/>
              </w:rPr>
              <w:t>Key Findings</w:t>
            </w:r>
          </w:p>
        </w:tc>
      </w:tr>
    </w:tbl>
    <w:p>
      <w:pPr>
        <w:jc w:val="both"/>
      </w:pPr>
      <w:r>
        <w:rPr>
          <w:rFonts w:ascii="Calibri" w:hAnsi="Calibri"/>
          <w:sz w:val="22"/>
        </w:rPr>
        <w:t>Standardised multi-agent procedures enhance uniformity across institutions, and reusable detection rules minimise operational work. LLM triage facilitates restricted human review while maintaining a small but high-signal manual queue. The prototype demonstrates that preparation for implementation and governance is just as important as detection technology. Adoption is more likely to be successful if stakeholders remain involved during implementation and BFIs are onboarded progressively.</w:t>
      </w:r>
    </w:p>
    <w:tbl>
      <w:tblPr>
        <w:tblW w:type="auto" w:w="0"/>
        <w:jc w:val="left"/>
        <w:tblLook w:firstColumn="1" w:firstRow="1" w:lastColumn="0" w:lastRow="0" w:noHBand="0" w:noVBand="1" w:val="04A0"/>
      </w:tblPr>
      <w:tblGrid>
        <w:gridCol w:w="9406"/>
      </w:tblGrid>
      <w:tr>
        <w:tc>
          <w:tcPr>
            <w:tcW w:type="dxa" w:w="9354"/>
            <w:shd w:val="clear" w:color="auto" w:fill="2E74B5"/>
          </w:tcPr>
          <w:p>
            <w:r>
              <w:rPr>
                <w:rFonts w:ascii="Calibri" w:hAnsi="Calibri"/>
                <w:b/>
                <w:color w:val="FFFFFF"/>
                <w:sz w:val="22"/>
              </w:rPr>
              <w:t>Risks and Improvement Areas</w:t>
            </w:r>
          </w:p>
        </w:tc>
      </w:tr>
    </w:tbl>
    <w:p>
      <w:pPr>
        <w:jc w:val="both"/>
      </w:pPr>
      <w:r>
        <w:rPr>
          <w:rFonts w:ascii="Calibri" w:hAnsi="Calibri"/>
          <w:sz w:val="22"/>
        </w:rPr>
        <w:t>The key risks would be resistance to change, perceived loss of vendor-pen-test revenue, initial setup cost, and technical integration challenges. LLM cost inflation may also be difficult for smaller BFIs. These challenges may slow adoption during early phases and affect user confidence if not properly managed (World Bank, 2014).</w:t>
      </w:r>
    </w:p>
    <w:p>
      <w:pPr>
        <w:jc w:val="both"/>
      </w:pPr>
      <w:r>
        <w:rPr>
          <w:rFonts w:ascii="Calibri" w:hAnsi="Calibri"/>
          <w:sz w:val="22"/>
        </w:rPr>
        <w:t>Phased rollout, raising developer awareness, practical training, and strong data-protection policies can all help reduce these problems. Future versions of the plan may focus on better handling of agent-contribution licensing, support for on-device iOS scanning, and tighter integration with the SOC tooling already deployed within Nepalese BFIs.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