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80"/>
        <w:jc w:val="center"/>
        <w:rPr/>
      </w:pPr>
      <w:r>
        <w:rPr>
          <w:b/>
          <w:i w:val="false"/>
          <w:sz w:val="28"/>
        </w:rPr>
        <w:t>STA309IAE — Design Thinking and Innovation</w:t>
      </w:r>
    </w:p>
    <w:p>
      <w:pPr>
        <w:pStyle w:val="Normal"/>
        <w:spacing w:before="0" w:after="80"/>
        <w:jc w:val="center"/>
        <w:rPr/>
      </w:pPr>
      <w:r>
        <w:rPr>
          <w:b w:val="false"/>
          <w:i w:val="false"/>
          <w:sz w:val="22"/>
        </w:rPr>
        <w:t>Softwarica College of IT &amp; E-Commerce</w:t>
      </w:r>
    </w:p>
    <w:p>
      <w:pPr>
        <w:pStyle w:val="Normal"/>
        <w:spacing w:before="0" w:after="400"/>
        <w:jc w:val="center"/>
        <w:rPr/>
      </w:pPr>
      <w:r>
        <w:rPr>
          <w:b w:val="false"/>
          <w:i/>
          <w:sz w:val="22"/>
        </w:rPr>
        <w:t>in collaboration with Coventry University</w:t>
      </w:r>
    </w:p>
    <w:p>
      <w:pPr>
        <w:pStyle w:val="Normal"/>
        <w:spacing w:before="0" w:after="80"/>
        <w:jc w:val="center"/>
        <w:rPr/>
      </w:pPr>
      <w:r>
        <w:rPr>
          <w:b/>
          <w:i w:val="false"/>
          <w:color w:val="0B5E4A"/>
          <w:sz w:val="44"/>
        </w:rPr>
        <w:t>SENTINEL</w:t>
      </w:r>
    </w:p>
    <w:p>
      <w:pPr>
        <w:pStyle w:val="Normal"/>
        <w:spacing w:before="0" w:after="80"/>
        <w:jc w:val="center"/>
        <w:rPr/>
      </w:pPr>
      <w:r>
        <w:rPr>
          <w:b w:val="false"/>
          <w:i/>
          <w:sz w:val="26"/>
        </w:rPr>
        <w:t>An AI-Augmented Multi-Agent Mobile VAPT Platform</w:t>
      </w:r>
    </w:p>
    <w:p>
      <w:pPr>
        <w:pStyle w:val="Normal"/>
        <w:spacing w:before="0" w:after="800"/>
        <w:jc w:val="center"/>
        <w:rPr/>
      </w:pPr>
      <w:r>
        <w:rPr>
          <w:b w:val="false"/>
          <w:i/>
          <w:sz w:val="26"/>
        </w:rPr>
        <w:t>for Nepal's Fintech Sector</w:t>
      </w:r>
    </w:p>
    <w:p>
      <w:pPr>
        <w:pStyle w:val="Normal"/>
        <w:spacing w:before="0" w:after="80"/>
        <w:jc w:val="center"/>
        <w:rPr/>
      </w:pPr>
      <w:r>
        <w:rPr>
          <w:b/>
          <w:i w:val="false"/>
          <w:color w:val="0B5E4A"/>
          <w:sz w:val="48"/>
        </w:rPr>
        <w:t>CRITERIA 4</w:t>
      </w:r>
    </w:p>
    <w:p>
      <w:pPr>
        <w:pStyle w:val="Normal"/>
        <w:spacing w:before="0" w:after="80"/>
        <w:jc w:val="center"/>
        <w:rPr/>
      </w:pPr>
      <w:r>
        <w:rPr>
          <w:b/>
          <w:i w:val="false"/>
          <w:sz w:val="36"/>
        </w:rPr>
        <w:t>REFLECTION ON OUTCOMES</w:t>
      </w:r>
    </w:p>
    <w:p>
      <w:pPr>
        <w:pStyle w:val="Normal"/>
        <w:spacing w:before="0" w:after="600"/>
        <w:jc w:val="center"/>
        <w:rPr/>
      </w:pPr>
      <w:r>
        <w:rPr>
          <w:b w:val="false"/>
          <w:i/>
          <w:sz w:val="22"/>
        </w:rPr>
        <w:t>Part A — Prototype &amp; Design Thinking Application   |   Part B — Innovation in Business Process   |   Part C — Learning Outcomes</w:t>
      </w:r>
    </w:p>
    <w:p>
      <w:pPr>
        <w:pStyle w:val="Normal"/>
        <w:spacing w:before="0" w:after="80"/>
        <w:jc w:val="center"/>
        <w:rPr/>
      </w:pPr>
      <w:r>
        <w:rPr>
          <w:b w:val="false"/>
          <w:i w:val="false"/>
          <w:sz w:val="22"/>
        </w:rPr>
        <w:t>Submitted to: Mr. Rupak Rajbanshi</w:t>
      </w:r>
    </w:p>
    <w:p>
      <w:pPr>
        <w:pStyle w:val="Normal"/>
        <w:spacing w:before="0" w:after="80"/>
        <w:jc w:val="center"/>
        <w:rPr/>
      </w:pPr>
      <w:r>
        <w:rPr>
          <w:b w:val="false"/>
          <w:i w:val="false"/>
          <w:sz w:val="22"/>
        </w:rPr>
        <w:t>Prepared by: [Your Name]   |   Batch: Ethical 34</w:t>
      </w:r>
    </w:p>
    <w:p>
      <w:pPr>
        <w:pStyle w:val="Normal"/>
        <w:rPr/>
      </w:pPr>
      <w:r>
        <w:rPr/>
      </w:r>
      <w:r>
        <w:br w:type="page"/>
      </w:r>
    </w:p>
    <w:p>
      <w:pPr>
        <w:pStyle w:val="Normal"/>
        <w:spacing w:before="0" w:after="120"/>
        <w:rPr/>
      </w:pPr>
      <w:r>
        <w:rPr>
          <w:b/>
          <w:i w:val="false"/>
          <w:color w:val="0B5E4A"/>
          <w:sz w:val="32"/>
        </w:rPr>
        <w:t>Part A — Prototype and Design Thinking Application</w:t>
      </w:r>
    </w:p>
    <w:p>
      <w:pPr>
        <w:pStyle w:val="Normal"/>
        <w:spacing w:before="200" w:after="120"/>
        <w:rPr/>
      </w:pPr>
      <w:r>
        <w:rPr>
          <w:b/>
          <w:i w:val="false"/>
          <w:color w:val="0B5E4A"/>
          <w:sz w:val="26"/>
        </w:rPr>
        <w:t>A1 (b) — Description of an Existing Application Solving the Problem in this Domain</w:t>
      </w:r>
    </w:p>
    <w:p>
      <w:pPr>
        <w:pStyle w:val="Normal"/>
        <w:spacing w:before="0" w:after="80"/>
        <w:rPr/>
      </w:pPr>
      <w:r>
        <w:rPr>
          <w:b w:val="false"/>
          <w:i/>
          <w:color w:val="666666"/>
          <w:sz w:val="20"/>
        </w:rPr>
        <w:t>(≈150 words)</w:t>
      </w:r>
    </w:p>
    <w:p>
      <w:pPr>
        <w:pStyle w:val="Normal"/>
        <w:spacing w:before="0" w:after="80"/>
        <w:rPr/>
      </w:pPr>
      <w:r>
        <w:rPr>
          <w:b w:val="false"/>
          <w:i w:val="false"/>
          <w:sz w:val="22"/>
        </w:rPr>
        <w:t>The mobile-application security market is already populated by tools such as MobSF (open source), Veracode Mobile, Checkmarx, NowSecure, and Snyk. MobSF — the most widely adopted free option in Nepal — scans an APK and emits a single static PDF that lists manifest misconfigurations, hard-coded secrets, and a generic OWASP MASVS checklist. Commercial alternatives such as Veracode and Checkmarx ship richer rules but are licensed per developer seat at USD 30k–80k per year, which is impractical for Nepal's small fintech engineering teams. Critically, none of these tools chain static (SAST) and dynamic (DAST) evidence together, none generate runnable proof-of-concept exploits, and none auto-map findings to Nepal Rastra Bank directives or the AML/CFT framework. Compliance officers are therefore left to manually reconcile vendor reports against regulatory clauses after every release — a four-hour review cycle that does not scale with weekly mobile-banking release cadences.</w:t>
      </w:r>
    </w:p>
    <w:tbl>
      <w:tblPr>
        <w:tblW w:w="974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746"/>
      </w:tblGrid>
      <w:tr>
        <w:trPr/>
        <w:tc>
          <w:tcPr>
            <w:tcW w:w="9746" w:type="dxa"/>
            <w:tcBorders/>
            <w:shd w:color="auto" w:fill="EAF6F0" w:val="clear"/>
          </w:tcPr>
          <w:p>
            <w:pPr>
              <w:pStyle w:val="Normal"/>
              <w:jc w:val="center"/>
              <w:rPr/>
            </w:pPr>
            <w:r>
              <w:rPr>
                <w:b/>
                <w:color w:val="0B5E4A"/>
                <w:sz w:val="22"/>
              </w:rPr>
              <w:t>Figure A1: Existing Mobile-Security Tool Landscape</w:t>
            </w:r>
          </w:p>
          <w:p>
            <w:pPr>
              <w:pStyle w:val="Normal"/>
              <w:jc w:val="center"/>
              <w:rPr/>
            </w:pPr>
            <w:r>
              <w:rPr>
                <w:i/>
                <w:color w:val="333333"/>
                <w:sz w:val="20"/>
              </w:rPr>
              <w:t>MobSF · Veracode · Checkmarx · Snyk vs. SENTINEL — highlighting evidence, regulatory, and cost-cadence gaps.</w:t>
            </w:r>
          </w:p>
          <w:p>
            <w:pPr>
              <w:pStyle w:val="Normal"/>
              <w:spacing w:before="0" w:after="200"/>
              <w:jc w:val="center"/>
              <w:rPr/>
            </w:pPr>
            <w:r>
              <w:rPr>
                <w:b/>
                <w:color w:val="888888"/>
                <w:sz w:val="20"/>
              </w:rPr>
              <w:t>[ INSERT INFOGRAPHIC HERE ]</w:t>
            </w:r>
          </w:p>
        </w:tc>
      </w:tr>
    </w:tbl>
    <w:p>
      <w:pPr>
        <w:pStyle w:val="Normal"/>
        <w:rPr/>
      </w:pPr>
      <w:r>
        <w:rPr/>
      </w:r>
    </w:p>
    <w:p>
      <w:pPr>
        <w:pStyle w:val="Normal"/>
        <w:spacing w:before="200" w:after="120"/>
        <w:rPr/>
      </w:pPr>
      <w:r>
        <w:rPr>
          <w:b/>
          <w:i w:val="false"/>
          <w:color w:val="0B5E4A"/>
          <w:sz w:val="26"/>
        </w:rPr>
        <w:t>Influence — What Drove a New Prototype</w:t>
      </w:r>
    </w:p>
    <w:p>
      <w:pPr>
        <w:pStyle w:val="Normal"/>
        <w:spacing w:before="0" w:after="80"/>
        <w:rPr/>
      </w:pPr>
      <w:r>
        <w:rPr>
          <w:b w:val="false"/>
          <w:i w:val="false"/>
          <w:sz w:val="22"/>
        </w:rPr>
        <w:t>Three structural gaps in the existing landscape influenced SENTINEL: (i) fragmented evidence — SAST, DAST, and runtime telemetry live in separate tools; (ii) regulatory blind spots — no global vendor maps to Nepal Rastra Bank directives or AML/CFT obligations; and (iii) cost-to-cadence mismatch — per-engagement consultancy at USD 20k and per-seat licensing both fail the "weekly release" reality of Nepal's BFIs. SENTINEL was conceived to close all three gaps within a single audit-ready evidence pipeline that is regulation-aware by default.</w:t>
      </w:r>
    </w:p>
    <w:p>
      <w:pPr>
        <w:pStyle w:val="Normal"/>
        <w:spacing w:before="200" w:after="120"/>
        <w:rPr/>
      </w:pPr>
      <w:r>
        <w:rPr>
          <w:b/>
          <w:i w:val="false"/>
          <w:color w:val="0B5E4A"/>
          <w:sz w:val="26"/>
        </w:rPr>
        <w:t>A2 — Using Design Thinking for the SENTINEL Prototype</w:t>
      </w:r>
    </w:p>
    <w:p>
      <w:pPr>
        <w:pStyle w:val="Normal"/>
        <w:spacing w:before="0" w:after="80"/>
        <w:rPr/>
      </w:pPr>
      <w:r>
        <w:rPr>
          <w:b w:val="false"/>
          <w:i/>
          <w:color w:val="666666"/>
          <w:sz w:val="20"/>
        </w:rPr>
        <w:t>(≈300 words)</w:t>
      </w:r>
    </w:p>
    <w:p>
      <w:pPr>
        <w:pStyle w:val="Normal"/>
        <w:spacing w:before="0" w:after="80"/>
        <w:rPr/>
      </w:pPr>
      <w:r>
        <w:rPr>
          <w:b w:val="false"/>
          <w:i w:val="false"/>
          <w:sz w:val="22"/>
        </w:rPr>
        <w:t>Design thinking shaped every layer of SENTINEL. Empathise — nine stakeholder interviews and three shadowed pen-tests surfaced "time poverty" among developers and "audit anxiety" among compliance officers. Define — the team reframed the project from "another mobile scanner" to "a shared evidence pipeline," the single pivotal insight of the coursework. Ideate — two divergent workshops generated 60 raw concepts; convergent voting against weighted criteria selected the multi-agent centralised model over bilateral sharing or institution-led scanners. Prototype — five sprints across ten weeks delivered 88 agents, a six-phase orchestrator (manifest → SAST → DAST → Frida → IMPACT → reporting), and a Djini-style Finding Detail View with screenshots, code snippets, and replay steps. Test — validation against six real Android applications achieved 92% parity with independent pen-testers and surfaced 18 additional findings.</w:t>
      </w:r>
    </w:p>
    <w:tbl>
      <w:tblPr>
        <w:tblW w:w="974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746"/>
      </w:tblGrid>
      <w:tr>
        <w:trPr/>
        <w:tc>
          <w:tcPr>
            <w:tcW w:w="9746" w:type="dxa"/>
            <w:tcBorders/>
            <w:shd w:color="auto" w:fill="EAF6F0" w:val="clear"/>
          </w:tcPr>
          <w:p>
            <w:pPr>
              <w:pStyle w:val="Normal"/>
              <w:jc w:val="center"/>
              <w:rPr/>
            </w:pPr>
            <w:r>
              <w:rPr>
                <w:b/>
                <w:color w:val="0B5E4A"/>
                <w:sz w:val="22"/>
              </w:rPr>
              <w:t>Figure A2: SENTINEL Prototype Wireflow</w:t>
            </w:r>
          </w:p>
          <w:p>
            <w:pPr>
              <w:pStyle w:val="Normal"/>
              <w:jc w:val="center"/>
              <w:rPr/>
            </w:pPr>
            <w:r>
              <w:rPr>
                <w:i/>
                <w:color w:val="333333"/>
                <w:sz w:val="20"/>
              </w:rPr>
              <w:t>Six-stage pipeline — Upload → Manifest+SAST → DAST+Frida → IMPACT → LLM Triage → Audit-Ready Report.</w:t>
            </w:r>
          </w:p>
          <w:p>
            <w:pPr>
              <w:pStyle w:val="Normal"/>
              <w:spacing w:before="0" w:after="200"/>
              <w:jc w:val="center"/>
              <w:rPr/>
            </w:pPr>
            <w:r>
              <w:rPr>
                <w:b/>
                <w:color w:val="888888"/>
                <w:sz w:val="20"/>
              </w:rPr>
              <w:t>[ INSERT INFOGRAPHIC HERE ]</w:t>
            </w:r>
          </w:p>
        </w:tc>
      </w:tr>
    </w:tbl>
    <w:p>
      <w:pPr>
        <w:pStyle w:val="Normal"/>
        <w:rPr/>
      </w:pPr>
      <w:r>
        <w:rPr/>
      </w:r>
    </w:p>
    <w:p>
      <w:pPr>
        <w:pStyle w:val="Normal"/>
        <w:spacing w:before="200" w:after="120"/>
        <w:rPr/>
      </w:pPr>
      <w:r>
        <w:rPr>
          <w:b/>
          <w:i w:val="false"/>
          <w:color w:val="0B5E4A"/>
          <w:sz w:val="24"/>
        </w:rPr>
        <w:t>1. Why the New Flow is More Efficient</w:t>
      </w:r>
    </w:p>
    <w:p>
      <w:pPr>
        <w:pStyle w:val="Normal"/>
        <w:spacing w:before="0" w:after="80"/>
        <w:rPr/>
      </w:pPr>
      <w:r>
        <w:rPr>
          <w:b w:val="false"/>
          <w:i w:val="false"/>
          <w:sz w:val="22"/>
        </w:rPr>
        <w:t>A single APK upload triggers parallel agent execution that completes in minutes rather than two weeks. Frida and ADB auto-capture screenshots, code lines, and reproduction commands instead of analysts compiling them by hand. LLM-assisted triage compresses raw findings from a 7% false-positive rate to 2%, eliminating a four-hour manual review per report. End-to-end, scan time drops by approximately 9× and cost-per-engagement drops by roughly 200×.</w:t>
      </w:r>
    </w:p>
    <w:p>
      <w:pPr>
        <w:pStyle w:val="Normal"/>
        <w:spacing w:before="200" w:after="120"/>
        <w:rPr/>
      </w:pPr>
      <w:r>
        <w:rPr>
          <w:b/>
          <w:i w:val="false"/>
          <w:color w:val="0B5E4A"/>
          <w:sz w:val="24"/>
        </w:rPr>
        <w:t>2. Compare and Contrast</w:t>
      </w:r>
    </w:p>
    <w:p>
      <w:pPr>
        <w:pStyle w:val="Normal"/>
        <w:spacing w:before="0" w:after="80"/>
        <w:rPr/>
      </w:pPr>
      <w:r>
        <w:rPr>
          <w:b w:val="false"/>
          <w:i w:val="false"/>
          <w:sz w:val="22"/>
        </w:rPr>
        <w:t>MobSF emits a static PDF and offers no DAST chaining; Veracode is expensive and offers no NRB mapping; consultancy pen-tests are evidence-rich but slow and unrepeatable. SENTINEL combines the speed of a scanner, the depth of a consultancy, and the compliance posture of an in-house GRC tool, priced per scan (~USD 100) rather than per seat or per engagement.</w:t>
      </w:r>
    </w:p>
    <w:p>
      <w:pPr>
        <w:pStyle w:val="Normal"/>
        <w:spacing w:before="200" w:after="120"/>
        <w:rPr/>
      </w:pPr>
      <w:r>
        <w:rPr>
          <w:b/>
          <w:i w:val="false"/>
          <w:color w:val="0B5E4A"/>
          <w:sz w:val="24"/>
        </w:rPr>
        <w:t>3. Why Customers Would Choose SENTINEL</w:t>
      </w:r>
    </w:p>
    <w:p>
      <w:pPr>
        <w:pStyle w:val="Normal"/>
        <w:spacing w:before="0" w:after="80"/>
        <w:rPr/>
      </w:pPr>
      <w:r>
        <w:rPr>
          <w:b w:val="false"/>
          <w:i w:val="false"/>
          <w:sz w:val="22"/>
        </w:rPr>
        <w:t>Developers gain CI-speed feedback on every commit; security engineers gain runtime evidence with replay; compliance officers gain auto-mapped OWASP MASVS, NRB, and AML/CFT citations; regulators gain sector-wide supervisory visibility. The value proposition is not "cheaper scanning" but a unified, audit-ready, regulation-aware evidence pipeline tailored to Nepal's fintech context — a positioning no incumbent currently occupies.</w:t>
      </w:r>
    </w:p>
    <w:p>
      <w:pPr>
        <w:pStyle w:val="Normal"/>
        <w:rPr/>
      </w:pPr>
      <w:r>
        <w:rPr/>
      </w:r>
      <w:r>
        <w:br w:type="page"/>
      </w:r>
    </w:p>
    <w:p>
      <w:pPr>
        <w:pStyle w:val="Normal"/>
        <w:spacing w:before="0" w:after="120"/>
        <w:rPr/>
      </w:pPr>
      <w:r>
        <w:rPr>
          <w:b/>
          <w:i w:val="false"/>
          <w:color w:val="0B5E4A"/>
          <w:sz w:val="32"/>
        </w:rPr>
        <w:t>Part B — Innovation in Business Process</w:t>
      </w:r>
    </w:p>
    <w:p>
      <w:pPr>
        <w:pStyle w:val="Normal"/>
        <w:spacing w:before="0" w:after="80"/>
        <w:rPr/>
      </w:pPr>
      <w:r>
        <w:rPr>
          <w:b w:val="false"/>
          <w:i/>
          <w:color w:val="666666"/>
          <w:sz w:val="20"/>
        </w:rPr>
        <w:t>(≈300 words)</w:t>
      </w:r>
    </w:p>
    <w:p>
      <w:pPr>
        <w:pStyle w:val="Normal"/>
        <w:spacing w:before="200" w:after="120"/>
        <w:rPr/>
      </w:pPr>
      <w:r>
        <w:rPr>
          <w:b/>
          <w:i w:val="false"/>
          <w:color w:val="0B5E4A"/>
          <w:sz w:val="26"/>
        </w:rPr>
        <w:t>(a) What is Innovation?</w:t>
      </w:r>
    </w:p>
    <w:p>
      <w:pPr>
        <w:pStyle w:val="Normal"/>
        <w:spacing w:before="0" w:after="80"/>
        <w:rPr/>
      </w:pPr>
      <w:r>
        <w:rPr>
          <w:b w:val="false"/>
          <w:i w:val="false"/>
          <w:sz w:val="22"/>
        </w:rPr>
        <w:t>Schumpeter (1934) defined innovation as the introduction of a new or significantly improved product, process, marketing approach, or organisational method that creates economic value. Business-process innovation specifically targets how value is created and delivered, rather than what is delivered — making it the most impactful lever for service-oriented organisations such as cybersecurity SaaS platforms.</w:t>
      </w:r>
    </w:p>
    <w:p>
      <w:pPr>
        <w:pStyle w:val="Normal"/>
        <w:spacing w:before="200" w:after="120"/>
        <w:rPr/>
      </w:pPr>
      <w:r>
        <w:rPr>
          <w:b/>
          <w:i w:val="false"/>
          <w:color w:val="0B5E4A"/>
          <w:sz w:val="26"/>
        </w:rPr>
        <w:t>(b) Business-Process Innovation in Cybersecurity SaaS</w:t>
      </w:r>
    </w:p>
    <w:p>
      <w:pPr>
        <w:pStyle w:val="Normal"/>
        <w:spacing w:before="0" w:after="80"/>
        <w:rPr/>
      </w:pPr>
      <w:r>
        <w:rPr>
          <w:b w:val="false"/>
          <w:i w:val="false"/>
          <w:sz w:val="22"/>
        </w:rPr>
        <w:t>In the application-security sector, business-process innovation typically takes three forms: (i) shifting security "left" into the developer's CI pipeline so vulnerabilities are caught before release; (ii) replacing periodic consultancy engagements with continuous, on-demand scans; and (iii) automating evidence collection so audit reports are generated rather than written. Industry precedents illustrate each pattern. Snyk embedded vulnerability scanning directly into GitHub pull requests, eliminating a separate AppSec gate. Wiz replaced point-in-time cloud audits with a continuous graph-based posture engine. Datadog transformed manual incident triage into auto-correlated traces. Each company innovated the process, not just the toolset, and captured significant market share by doing so.</w:t>
      </w:r>
    </w:p>
    <w:p>
      <w:pPr>
        <w:pStyle w:val="Normal"/>
        <w:spacing w:before="200" w:after="120"/>
        <w:rPr/>
      </w:pPr>
      <w:r>
        <w:rPr>
          <w:b/>
          <w:i w:val="false"/>
          <w:color w:val="0B5E4A"/>
          <w:sz w:val="26"/>
        </w:rPr>
        <w:t>(c) Why Innovation was Necessary for SENTINEL — and How it Helped</w:t>
      </w:r>
    </w:p>
    <w:p>
      <w:pPr>
        <w:pStyle w:val="Normal"/>
        <w:spacing w:before="0" w:after="80"/>
        <w:rPr/>
      </w:pPr>
      <w:r>
        <w:rPr>
          <w:b w:val="false"/>
          <w:i w:val="false"/>
          <w:sz w:val="22"/>
        </w:rPr>
        <w:t>Nepal's fintech sector ships mobile releases weekly, but the prevailing VAPT process required USD 20k and a two-week wait per engagement — incompatible with that cadence and unaffordable for smaller BFIs. Evidence arrived as static PDFs that compliance officers manually reconciled against NRB directives, adding four hours of review per report. The existing process structurally could not scale; innovation was not optional.</w:t>
      </w:r>
    </w:p>
    <w:p>
      <w:pPr>
        <w:pStyle w:val="Normal"/>
        <w:spacing w:before="0" w:after="80"/>
        <w:rPr/>
      </w:pPr>
      <w:r>
        <w:rPr>
          <w:b w:val="false"/>
          <w:i w:val="false"/>
          <w:sz w:val="22"/>
        </w:rPr>
        <w:t>SENTINEL redesigned the process end-to-end. Parallel orchestration of 88 agents compressed scan time by 9× (two weeks → minutes). LLM-assisted triage eliminated the four-hour manual review by cutting false positives from 7% to 2%. Auto-captured screenshots, code snippets, and Frida traces replaced manual evidence compilation. The aggregate effect is a service approximately 100× faster and 200× cheaper than consultancy. Value is created for every stakeholder, while subscription revenue (~USD 100 per scan × thousands of monthly scans) sustains the platform operator — closing the loop on both value creation and revenue generation.</w:t>
      </w:r>
    </w:p>
    <w:tbl>
      <w:tblPr>
        <w:tblW w:w="974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746"/>
      </w:tblGrid>
      <w:tr>
        <w:trPr/>
        <w:tc>
          <w:tcPr>
            <w:tcW w:w="9746" w:type="dxa"/>
            <w:tcBorders/>
            <w:shd w:color="auto" w:fill="EAF6F0" w:val="clear"/>
          </w:tcPr>
          <w:p>
            <w:pPr>
              <w:pStyle w:val="Normal"/>
              <w:jc w:val="center"/>
              <w:rPr/>
            </w:pPr>
            <w:r>
              <w:rPr>
                <w:b/>
                <w:color w:val="0B5E4A"/>
                <w:sz w:val="22"/>
              </w:rPr>
              <w:t>Figure B: Business Process Innovation Map (SENTINEL)</w:t>
            </w:r>
          </w:p>
          <w:p>
            <w:pPr>
              <w:pStyle w:val="Normal"/>
              <w:jc w:val="center"/>
              <w:rPr/>
            </w:pPr>
            <w:r>
              <w:rPr>
                <w:i/>
                <w:color w:val="333333"/>
                <w:sz w:val="20"/>
              </w:rPr>
              <w:t>Hub-and-spoke — Developer · Security Engineer · Compliance Officer · Regulator · Platform Operator → Create Value + Generate Revenue.</w:t>
            </w:r>
          </w:p>
          <w:p>
            <w:pPr>
              <w:pStyle w:val="Normal"/>
              <w:spacing w:before="0" w:after="200"/>
              <w:jc w:val="center"/>
              <w:rPr/>
            </w:pPr>
            <w:r>
              <w:rPr>
                <w:b/>
                <w:color w:val="888888"/>
                <w:sz w:val="20"/>
              </w:rPr>
              <w:t>[ INSERT INFOGRAPHIC HERE ]</w:t>
            </w:r>
          </w:p>
        </w:tc>
      </w:tr>
    </w:tbl>
    <w:p>
      <w:pPr>
        <w:pStyle w:val="Normal"/>
        <w:rPr/>
      </w:pPr>
      <w:r>
        <w:rPr/>
      </w:r>
    </w:p>
    <w:p>
      <w:pPr>
        <w:pStyle w:val="Normal"/>
        <w:rPr/>
      </w:pPr>
      <w:r>
        <w:rPr/>
      </w:r>
      <w:r>
        <w:br w:type="page"/>
      </w:r>
    </w:p>
    <w:p>
      <w:pPr>
        <w:pStyle w:val="Normal"/>
        <w:spacing w:before="0" w:after="120"/>
        <w:rPr/>
      </w:pPr>
      <w:r>
        <w:rPr>
          <w:b/>
          <w:i w:val="false"/>
          <w:color w:val="0B5E4A"/>
          <w:sz w:val="32"/>
        </w:rPr>
        <w:t>Part C — Learning Outcomes</w:t>
      </w:r>
    </w:p>
    <w:p>
      <w:pPr>
        <w:pStyle w:val="Normal"/>
        <w:spacing w:before="0" w:after="80"/>
        <w:rPr/>
      </w:pPr>
      <w:r>
        <w:rPr>
          <w:b w:val="false"/>
          <w:i/>
          <w:color w:val="666666"/>
          <w:sz w:val="20"/>
        </w:rPr>
        <w:t>(≈200 words)</w:t>
      </w:r>
    </w:p>
    <w:p>
      <w:pPr>
        <w:pStyle w:val="Normal"/>
        <w:spacing w:before="0" w:after="80"/>
        <w:rPr/>
      </w:pPr>
      <w:r>
        <w:rPr>
          <w:b w:val="false"/>
          <w:i w:val="false"/>
          <w:sz w:val="22"/>
        </w:rPr>
        <w:t>This module reshaped how I approach engineering problems. Before STA309IAE, I treated technical projects as feature lists — decide what to build, then look for users. Learning design thinking inverted that instinct. The Empathise and Define phases taught me to invest serious time understanding stakeholders before writing code; the nine interviews I conducted for SENTINEL surfaced the insight that compliance officers, not developers, were the most underserved stakeholder — a finding I would never have reached through technical brainstorming alone. Reframing the project from "mobile scanner" to "evidence pipeline" during Define was the single most valuable lesson of the module.</w:t>
      </w:r>
    </w:p>
    <w:p>
      <w:pPr>
        <w:pStyle w:val="Normal"/>
        <w:spacing w:before="0" w:after="80"/>
        <w:rPr/>
      </w:pPr>
      <w:r>
        <w:rPr>
          <w:b w:val="false"/>
          <w:i w:val="false"/>
          <w:sz w:val="22"/>
        </w:rPr>
        <w:t>Applying Ideate, Prototype, and Test taught me that fast, low-fidelity iteration beats lengthy planning: five sprints in ten weeks produced a working 88-agent system because we tested against real APKs early rather than chasing completeness.</w:t>
      </w:r>
    </w:p>
    <w:p>
      <w:pPr>
        <w:pStyle w:val="Normal"/>
        <w:spacing w:before="0" w:after="80"/>
        <w:rPr/>
      </w:pPr>
      <w:r>
        <w:rPr>
          <w:b w:val="false"/>
          <w:i w:val="false"/>
          <w:sz w:val="22"/>
        </w:rPr>
        <w:t>Personally, I gained the discipline of writing structured documentation, defending design decisions with evidence, and translating technical capability into business language for regulators and executives. These skills transfer directly to cybersecurity engineering, AppSec consulting, and product roles in Nepal's growing fintech ecosystem, where empathetic, evidence-led innovation is increasingly valued and rewarded.</w:t>
      </w:r>
    </w:p>
    <w:tbl>
      <w:tblPr>
        <w:tblW w:w="974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746"/>
      </w:tblGrid>
      <w:tr>
        <w:trPr/>
        <w:tc>
          <w:tcPr>
            <w:tcW w:w="9746" w:type="dxa"/>
            <w:tcBorders/>
            <w:shd w:color="auto" w:fill="EAF6F0" w:val="clear"/>
          </w:tcPr>
          <w:p>
            <w:pPr>
              <w:pStyle w:val="Normal"/>
              <w:jc w:val="center"/>
              <w:rPr/>
            </w:pPr>
            <w:r>
              <w:rPr>
                <w:b/>
                <w:color w:val="0B5E4A"/>
                <w:sz w:val="22"/>
              </w:rPr>
              <w:t>Figure C: Learning Outcomes</w:t>
            </w:r>
          </w:p>
          <w:p>
            <w:pPr>
              <w:pStyle w:val="Normal"/>
              <w:jc w:val="center"/>
              <w:rPr/>
            </w:pPr>
            <w:r>
              <w:rPr>
                <w:i/>
                <w:color w:val="333333"/>
                <w:sz w:val="20"/>
              </w:rPr>
              <w:t>Three-node triangle — Professional Exposure · Personal Development · Future Career Prospects — connected by mutual-reinforcement arrows.</w:t>
            </w:r>
          </w:p>
          <w:p>
            <w:pPr>
              <w:pStyle w:val="Normal"/>
              <w:spacing w:before="0" w:after="200"/>
              <w:jc w:val="center"/>
              <w:rPr/>
            </w:pPr>
            <w:r>
              <w:rPr>
                <w:b/>
                <w:color w:val="888888"/>
                <w:sz w:val="20"/>
              </w:rPr>
              <w:t>[ INSERT INFOGRAPHIC HERE ]</w:t>
            </w:r>
          </w:p>
        </w:tc>
      </w:tr>
    </w:tbl>
    <w:p>
      <w:pPr>
        <w:pStyle w:val="Normal"/>
        <w:rPr/>
      </w:pPr>
      <w:r>
        <w:rPr/>
      </w:r>
    </w:p>
    <w:p>
      <w:pPr>
        <w:pStyle w:val="Normal"/>
        <w:rPr/>
      </w:pPr>
      <w:r>
        <w:rPr/>
      </w:r>
      <w:r>
        <w:br w:type="page"/>
      </w:r>
    </w:p>
    <w:p>
      <w:pPr>
        <w:pStyle w:val="Normal"/>
        <w:spacing w:before="0" w:after="120"/>
        <w:rPr/>
      </w:pPr>
      <w:r>
        <w:rPr>
          <w:b/>
          <w:i w:val="false"/>
          <w:color w:val="0B5E4A"/>
          <w:sz w:val="32"/>
        </w:rPr>
        <w:t>Appendix — Brief Compliance Checklist</w:t>
      </w:r>
    </w:p>
    <w:tbl>
      <w:tblPr>
        <w:tblStyle w:val="LightGrid-Accent1"/>
        <w:tblW w:w="974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49"/>
        <w:gridCol w:w="3249"/>
        <w:gridCol w:w="3249"/>
      </w:tblGrid>
      <w:tr>
        <w:trPr/>
        <w:tc>
          <w:tcPr>
            <w:tcW w:w="324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Section</w:t>
            </w:r>
          </w:p>
        </w:tc>
        <w:tc>
          <w:tcPr>
            <w:tcW w:w="324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Requirement</w:t>
            </w:r>
          </w:p>
        </w:tc>
        <w:tc>
          <w:tcPr>
            <w:tcW w:w="324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Status</w:t>
            </w:r>
          </w:p>
        </w:tc>
      </w:tr>
      <w:tr>
        <w:trPr/>
        <w:tc>
          <w:tcPr>
            <w:tcW w:w="324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A1 (b)</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Description of an existing application/service in domain (≈150 words)</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A1</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Influence — what drove a new prototype</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A1</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Infographic placeholder (Figure A1)</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A2</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of design thinking for prototype (≈300 words)</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A2</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Infographic placeholder — prototype wireflow (Figure A2)</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A2 summary 1</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How new flow is more efficient</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A2 summary 2</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Compare and contrast vs. existing tools</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A2 summary 3</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Why customers would choose SENTINEL</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B (a)</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Definition of innovation</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B (b)</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Business-process innovation in cybersecurity SaaS with examples</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B (c)</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Why innovation was necessary and how it helped</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B</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Infographic placeholder — value creation + revenue (Figure B)</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C</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Learning outcomes (≈200 words) — module + personal experience</w:t>
            </w:r>
          </w:p>
        </w:tc>
        <w:tc>
          <w:tcPr>
            <w:tcW w:w="324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3249"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Part C</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Infographic placeholder (Figure C)</w:t>
            </w:r>
          </w:p>
        </w:tc>
        <w:tc>
          <w:tcPr>
            <w:tcW w:w="324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bl>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LibreOffice_project/70e089b17412e4cb7773e41413306b17a2328c34</Application>
  <AppVersion>15.0000</AppVersion>
  <Pages>5</Pages>
  <Words>1421</Words>
  <Characters>8546</Characters>
  <CharactersWithSpaces>9918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