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44"/>
        </w:rPr>
        <w:t>CRITERIA 4</w:t>
      </w:r>
    </w:p>
    <w:p>
      <w:pPr>
        <w:jc w:val="center"/>
      </w:pPr>
      <w:r>
        <w:rPr>
          <w:b/>
          <w:color w:val="222222"/>
          <w:sz w:val="32"/>
        </w:rPr>
        <w:t>REFLECTION ON OUTCOMES</w:t>
      </w:r>
    </w:p>
    <w:p>
      <w:pPr>
        <w:jc w:val="center"/>
      </w:pPr>
      <w:r>
        <w:rPr>
          <w:i/>
          <w:color w:val="555555"/>
          <w:sz w:val="22"/>
        </w:rPr>
        <w:t>Part A — Learning Outcomes  |  Part B — Innovation in Business Process  |  Part C — Conclusion</w:t>
      </w:r>
    </w:p>
    <w:p/>
    <w:p>
      <w:pPr>
        <w:spacing w:before="280" w:after="120"/>
      </w:pPr>
      <w:r>
        <w:rPr>
          <w:b/>
          <w:color w:val="0B3D91"/>
          <w:sz w:val="36"/>
        </w:rPr>
        <w:t>PART A — LEARNING OUTCOMES</w:t>
      </w:r>
    </w:p>
    <w:tbl>
      <w:tblPr>
        <w:tblW w:type="auto" w:w="0"/>
        <w:tblLayout w:type="fixed"/>
        <w:tblLook w:firstColumn="1" w:firstRow="1" w:lastColumn="0" w:lastRow="0" w:noHBand="0" w:noVBand="1" w:val="04A0"/>
      </w:tblPr>
      <w:tblGrid>
        <w:gridCol w:w="9746"/>
      </w:tblGrid>
      <w:tr>
        <w:tc>
          <w:tcPr>
            <w:tcW w:type="dxa" w:w="9746"/>
            <w:shd w:val="clear" w:color="auto" w:fill="E8F0FE"/>
          </w:tcPr>
          <w:p>
            <w:pPr>
              <w:spacing w:before="400" w:after="80"/>
              <w:jc w:val="center"/>
            </w:pPr>
            <w:r/>
            <w:r>
              <w:rPr>
                <w:b/>
                <w:sz w:val="26"/>
              </w:rPr>
              <w:t>🎨   [ INSERT IMAGE HERE ]</w:t>
            </w:r>
          </w:p>
          <w:p>
            <w:pPr>
              <w:jc w:val="center"/>
            </w:pPr>
            <w:r>
              <w:rPr>
                <w:b/>
                <w:sz w:val="22"/>
              </w:rPr>
              <w:t>Learning Outcomes</w:t>
            </w:r>
          </w:p>
          <w:p>
            <w:pPr>
              <w:spacing w:after="400"/>
              <w:jc w:val="center"/>
            </w:pPr>
            <w:r>
              <w:rPr>
                <w:i/>
                <w:color w:val="555555"/>
                <w:sz w:val="20"/>
              </w:rPr>
              <w:t>(see prompt.md #20)</w:t>
            </w:r>
          </w:p>
        </w:tc>
      </w:tr>
      <w:tr>
        <w:tc>
          <w:tcPr>
            <w:tcW w:type="dxa" w:w="9746"/>
            <w:shd w:val="clear" w:color="auto" w:fill="F5F5F5"/>
          </w:tcPr>
          <w:p>
            <w:pPr>
              <w:jc w:val="center"/>
            </w:pPr>
            <w:r/>
            <w:r>
              <w:rPr>
                <w:i/>
                <w:color w:val="333333"/>
                <w:sz w:val="20"/>
              </w:rPr>
              <w:t>Figure 20: Learning Outcomes</w:t>
            </w:r>
          </w:p>
        </w:tc>
      </w:tr>
    </w:tbl>
    <w:p/>
    <w:p>
      <w:pPr>
        <w:spacing w:before="200" w:after="80"/>
      </w:pPr>
      <w:r>
        <w:rPr>
          <w:b/>
          <w:color w:val="0B3D91"/>
          <w:sz w:val="28"/>
        </w:rPr>
        <w:t>Professional Exposure</w:t>
      </w:r>
    </w:p>
    <w:p>
      <w:pPr>
        <w:spacing w:after="120"/>
      </w:pPr>
      <w:r>
        <w:rPr>
          <w:b w:val="0"/>
          <w:i w:val="0"/>
        </w:rPr>
        <w:t>Working on the SENTINEL platform gave me a clearer picture of how large, multi-stakeholder digital systems are planned, designed, and assessed. It also showed how developers, security engineers, compliance officers, and regulators each interpret the same artefact (an APK) through very different lenses. Using design thinking, BPM/BPMN workflows, feasibility checks, and value-chain analysis improved my ability to map processes, spot bottlenecks, and propose practical improvements within regulatory limits.</w:t>
      </w:r>
    </w:p>
    <w:p>
      <w:pPr>
        <w:spacing w:before="200" w:after="80"/>
      </w:pPr>
      <w:r>
        <w:rPr>
          <w:b/>
          <w:color w:val="0B3D91"/>
          <w:sz w:val="28"/>
        </w:rPr>
        <w:t>Personal Development</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B3D91"/>
          </w:tcPr>
          <w:p>
            <w:pPr>
              <w:jc w:val="center"/>
            </w:pPr>
            <w:r/>
            <w:r>
              <w:rPr>
                <w:b/>
                <w:color w:val="FFFFFF"/>
                <w:sz w:val="22"/>
              </w:rPr>
              <w:t>Critical Development</w:t>
            </w:r>
          </w:p>
        </w:tc>
        <w:tc>
          <w:tcPr>
            <w:tcW w:type="dxa" w:w="3249"/>
            <w:shd w:val="clear" w:color="auto" w:fill="0B3D91"/>
          </w:tcPr>
          <w:p>
            <w:pPr>
              <w:jc w:val="center"/>
            </w:pPr>
            <w:r/>
            <w:r>
              <w:rPr>
                <w:b/>
                <w:color w:val="FFFFFF"/>
                <w:sz w:val="22"/>
              </w:rPr>
              <w:t>Analytical Thinking</w:t>
            </w:r>
          </w:p>
        </w:tc>
        <w:tc>
          <w:tcPr>
            <w:tcW w:type="dxa" w:w="3249"/>
            <w:shd w:val="clear" w:color="auto" w:fill="0B3D91"/>
          </w:tcPr>
          <w:p>
            <w:pPr>
              <w:jc w:val="center"/>
            </w:pPr>
            <w:r/>
            <w:r>
              <w:rPr>
                <w:b/>
                <w:color w:val="FFFFFF"/>
                <w:sz w:val="22"/>
              </w:rPr>
              <w:t>Creative Thinking</w:t>
            </w:r>
          </w:p>
        </w:tc>
      </w:tr>
      <w:tr>
        <w:tc>
          <w:tcPr>
            <w:tcW w:type="dxa" w:w="3249"/>
            <w:vAlign w:val="top"/>
          </w:tcPr>
          <w:p>
            <w:r/>
            <w:r>
              <w:rPr>
                <w:sz w:val="20"/>
              </w:rPr>
              <w:t>I learned to question existing penetration-testing practices, identify what is not working, and defend why an automated multi-agent approach is necessary.</w:t>
            </w:r>
          </w:p>
        </w:tc>
        <w:tc>
          <w:tcPr>
            <w:tcW w:type="dxa" w:w="3249"/>
            <w:vAlign w:val="top"/>
          </w:tcPr>
          <w:p>
            <w:r/>
            <w:r>
              <w:rPr>
                <w:sz w:val="20"/>
              </w:rPr>
              <w:t>I became more capable of analysing complex multi-system workflows and seeing how each change cascades, by breaking down complicated processes into discrete steps.</w:t>
            </w:r>
          </w:p>
        </w:tc>
        <w:tc>
          <w:tcPr>
            <w:tcW w:type="dxa" w:w="3249"/>
            <w:vAlign w:val="top"/>
          </w:tcPr>
          <w:p>
            <w:r/>
            <w:r>
              <w:rPr>
                <w:sz w:val="20"/>
              </w:rPr>
              <w:t>During ideation, I explored multiple VAPT models and synthesised them into a more elegant final flow. This showed that novel ideas are possible even in heavily regulated environments.</w:t>
            </w:r>
          </w:p>
        </w:tc>
      </w:tr>
    </w:tbl>
    <w:p>
      <w:pPr>
        <w:jc w:val="center"/>
      </w:pPr>
      <w:r>
        <w:rPr>
          <w:i/>
          <w:color w:val="555555"/>
          <w:sz w:val="20"/>
        </w:rPr>
        <w:t>Table 6: Personal Development Summary</w:t>
      </w:r>
    </w:p>
    <w:p>
      <w:pPr>
        <w:spacing w:before="200" w:after="80"/>
      </w:pPr>
      <w:r>
        <w:rPr>
          <w:b/>
          <w:color w:val="0B3D91"/>
          <w:sz w:val="28"/>
        </w:rPr>
        <w:t>Future Career Prospects</w:t>
      </w:r>
    </w:p>
    <w:p>
      <w:pPr>
        <w:spacing w:after="120"/>
      </w:pPr>
      <w:r>
        <w:rPr>
          <w:b w:val="0"/>
          <w:i w:val="0"/>
        </w:rPr>
        <w:t>These lessons are directly applicable to positions in cybersecurity engineering, application-security consulting, mobile platform engineering, digital governance, and regulatory technology (RegTech). Learning about multi-agent automation, process optimisation, and stakeholder-driven design has given me a strong base for professional roles that must balance user experience, operational efficiency, and compliance.</w:t>
      </w:r>
    </w:p>
    <w:p>
      <w:pPr>
        <w:spacing w:after="120"/>
      </w:pPr>
      <w:r>
        <w:rPr>
          <w:b w:val="0"/>
          <w:i w:val="0"/>
        </w:rPr>
        <w:t>These skills also help in working effectively with regulators, technology vendors, and BFIs to build safe digital infrastructure. They make it easier to assess risk, follow ethical data-governance practices, and adapt to changing rules and technology in the financial industry.</w:t>
      </w:r>
    </w:p>
    <w:p>
      <w:r>
        <w:br w:type="page"/>
      </w:r>
    </w:p>
    <w:p>
      <w:pPr>
        <w:spacing w:before="280" w:after="120"/>
      </w:pPr>
      <w:r>
        <w:rPr>
          <w:b/>
          <w:color w:val="0B3D91"/>
          <w:sz w:val="36"/>
        </w:rPr>
        <w:t>PART B — INNOVATION IN BUSINESS PROCESS</w:t>
      </w:r>
    </w:p>
    <w:p>
      <w:pPr>
        <w:spacing w:before="200" w:after="80"/>
      </w:pPr>
      <w:r>
        <w:rPr>
          <w:b/>
          <w:color w:val="0B3D91"/>
          <w:sz w:val="28"/>
        </w:rPr>
        <w:t>a) What is innovation?</w:t>
      </w:r>
    </w:p>
    <w:p>
      <w:pPr>
        <w:spacing w:after="120"/>
      </w:pPr>
      <w:r>
        <w:rPr>
          <w:b w:val="0"/>
          <w:i w:val="0"/>
        </w:rPr>
        <w:t>Innovation is the introduction of a new or significantly improved product, process, marketing, or organisational method that produces measurable value. Joseph Schumpeter framed innovation as "creative destruction" — replacing old ways of working with something materially better. Innovation is not invention: an invention without adoption is curiosity; an innovation, by definition, reaches the market and changes how value is created.</w:t>
      </w:r>
    </w:p>
    <w:p>
      <w:pPr>
        <w:spacing w:before="200" w:after="80"/>
      </w:pPr>
      <w:r>
        <w:rPr>
          <w:b/>
          <w:color w:val="0B3D91"/>
          <w:sz w:val="28"/>
        </w:rPr>
        <w:t>b) Business-process innovation in the cybersecurity SaaS sector</w:t>
      </w:r>
    </w:p>
    <w:p>
      <w:pPr>
        <w:spacing w:after="120"/>
      </w:pPr>
      <w:r>
        <w:rPr>
          <w:b w:val="0"/>
          <w:i w:val="0"/>
        </w:rPr>
        <w:t>In a SaaS cybersecurity organisation, business-process innovation means redesigning how value is created and delivered — replacing manual, expert-mediated workflows with automated, evidence-rich pipelines. Three concrete examples: Snyk innovated by moving dependency scanning from a periodic security review into the developer's IDE; Wiz innovated by treating cloud security as a single queryable graph rather than per-account scans; Datadog innovated by unifying observability, security, and APM into one ingestion plane. In each case the underlying detection technology was not radically new — but the flow of work changed, and that change created billions of dollars of new value.</w:t>
      </w:r>
    </w:p>
    <w:p>
      <w:pPr>
        <w:spacing w:before="200" w:after="80"/>
      </w:pPr>
      <w:r>
        <w:rPr>
          <w:b/>
          <w:color w:val="0B3D91"/>
          <w:sz w:val="28"/>
        </w:rPr>
        <w:t>c) Why SENTINEL had to innovate, and how it helped</w:t>
      </w:r>
    </w:p>
    <w:p>
      <w:pPr>
        <w:spacing w:after="120"/>
      </w:pPr>
      <w:r>
        <w:rPr>
          <w:b w:val="0"/>
          <w:i w:val="0"/>
        </w:rPr>
        <w:t>For SENTINEL, innovation was necessary because the existing process — pay USD 20k, wait two weeks, receive a PDF — does not scale to Nepalese fintech's weekly-release cadence. We innovated the scan process (parallel multi-agent orchestration cut scan time 9×), the triage process (LLM suppression removed the 4-hour manual review step), the delivery process (SARIF + CLI + dashboard + PDF replaces a single PDF), and the evidence process (auto-captured screenshots and taint traces replace manual screenshot collection). The result is the dual mandate of business-process innovation: (1) create value for customers by solving their problem 100× faster and 200× cheaper, and (2) generate revenue by converting that value into a recurring SaaS subscription with high margin and high net retention.</w:t>
      </w:r>
    </w:p>
    <w:tbl>
      <w:tblPr>
        <w:tblW w:type="auto" w:w="0"/>
        <w:tblLayout w:type="fixed"/>
        <w:tblLook w:firstColumn="1" w:firstRow="1" w:lastColumn="0" w:lastRow="0" w:noHBand="0" w:noVBand="1" w:val="04A0"/>
      </w:tblPr>
      <w:tblGrid>
        <w:gridCol w:w="9746"/>
      </w:tblGrid>
      <w:tr>
        <w:tc>
          <w:tcPr>
            <w:tcW w:type="dxa" w:w="9746"/>
            <w:shd w:val="clear" w:color="auto" w:fill="E8F0FE"/>
          </w:tcPr>
          <w:p>
            <w:pPr>
              <w:spacing w:before="400" w:after="80"/>
              <w:jc w:val="center"/>
            </w:pPr>
            <w:r/>
            <w:r>
              <w:rPr>
                <w:b/>
                <w:sz w:val="26"/>
              </w:rPr>
              <w:t>🎨   [ INSERT IMAGE HERE ]</w:t>
            </w:r>
          </w:p>
          <w:p>
            <w:pPr>
              <w:jc w:val="center"/>
            </w:pPr>
            <w:r>
              <w:rPr>
                <w:b/>
                <w:sz w:val="22"/>
              </w:rPr>
              <w:t>Business Process Innovation Map (Before vs After)</w:t>
            </w:r>
          </w:p>
          <w:p>
            <w:pPr>
              <w:spacing w:after="400"/>
              <w:jc w:val="center"/>
            </w:pPr>
            <w:r>
              <w:rPr>
                <w:i/>
                <w:color w:val="555555"/>
                <w:sz w:val="20"/>
              </w:rPr>
              <w:t>(see prompt.md #22)</w:t>
            </w:r>
          </w:p>
        </w:tc>
      </w:tr>
      <w:tr>
        <w:tc>
          <w:tcPr>
            <w:tcW w:type="dxa" w:w="9746"/>
            <w:shd w:val="clear" w:color="auto" w:fill="F5F5F5"/>
          </w:tcPr>
          <w:p>
            <w:pPr>
              <w:jc w:val="center"/>
            </w:pPr>
            <w:r/>
            <w:r>
              <w:rPr>
                <w:i/>
                <w:color w:val="333333"/>
                <w:sz w:val="20"/>
              </w:rPr>
              <w:t>Figure 22b: Business Process Innovation Map (Before vs After)</w:t>
            </w:r>
          </w:p>
        </w:tc>
      </w:tr>
    </w:tbl>
    <w:p/>
    <w:p>
      <w:r>
        <w:br w:type="page"/>
      </w:r>
    </w:p>
    <w:p>
      <w:pPr>
        <w:spacing w:before="280" w:after="120"/>
      </w:pPr>
      <w:r>
        <w:rPr>
          <w:b/>
          <w:color w:val="0B3D91"/>
          <w:sz w:val="36"/>
        </w:rPr>
        <w:t>PART C — CONCLUSION</w:t>
      </w:r>
    </w:p>
    <w:p>
      <w:pPr>
        <w:spacing w:after="120"/>
      </w:pPr>
      <w:r>
        <w:rPr>
          <w:b w:val="0"/>
          <w:i w:val="0"/>
        </w:rPr>
        <w:t>The project explored the challenges of existing mobile-application VAPT practices in Nepal and examined how an automated multi-agent approach could improve efficiency, consistency, and user experience across the fintech sector. The study showed that institution-specific, consultancy-led penetration-testing creates unnecessary delays for developers, inflates operational workload for security engineers, and complicates compliance reporting for regulators. By analysing stakeholder needs and applying design-thinking principles, the project identified that these issues are not isolated problems but systemic gaps caused by fragmented processes and the absence of a shared detection-rule and evidence framework.</w:t>
      </w:r>
    </w:p>
    <w:p>
      <w:pPr>
        <w:spacing w:after="120"/>
      </w:pPr>
      <w:r>
        <w:rPr>
          <w:b w:val="0"/>
          <w:i w:val="0"/>
        </w:rPr>
        <w:t>The SENTINEL multi-agent VAPT platform provides an operational solution by making possible a single-submission scan, automatic LLM-driven triage, standardised evidence capture, and SARIF / SIEM interoperability, all under regulator-aligned governance and in compliance with NRB and AML/CFT obligations. The feasibility study shows the solution can be deployed within the existing technological and regulatory environment in Nepal.</w:t>
      </w:r>
    </w:p>
    <w:p>
      <w:pPr>
        <w:spacing w:after="120"/>
      </w:pPr>
      <w:r>
        <w:rPr>
          <w:b w:val="0"/>
          <w:i w:val="0"/>
        </w:rPr>
        <w:t>SENTINEL enhances developer feedback, strengthens detection consistency, and aligns with the broader objectives of Nepal's digital-financial inclusion strategy. Moreover, the framework lays a foundation for future integration with iOS and on-device firmware scanning, providing room for the platform to mature alongside the financial-technology ecosystem.</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