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Capex &amp; Infrastructure Tactical Portfolio</w:t>
      </w:r>
    </w:p>
    <w:p>
      <w:pPr>
        <w:spacing w:after="240"/>
        <w:jc w:val="center"/>
      </w:pPr>
      <w:r>
        <w:rPr>
          <w:color w:val="404040"/>
          <w:sz w:val="30"/>
          <w:szCs w:val="30"/>
        </w:rPr>
        <w:t xml:space="preserve">Defence Brief: why these stocks, and how we answer every question</w:t>
      </w:r>
    </w:p>
    <w:p>
      <w:pPr>
        <w:spacing w:after="120"/>
        <w:jc w:val="center"/>
      </w:pPr>
      <w:r>
        <w:rPr>
          <w:sz w:val="22"/>
          <w:szCs w:val="22"/>
        </w:rPr>
        <w:t xml:space="preserve">Security Analysis &amp; Portfolio Management / Derivatives  ·  IIM Bodh Gaya</w:t>
      </w:r>
    </w:p>
    <w:p>
      <w:pPr>
        <w:spacing w:after="120"/>
        <w:jc w:val="center"/>
      </w:pPr>
      <w:r>
        <w:rPr>
          <w:sz w:val="22"/>
          <w:szCs w:val="22"/>
        </w:rPr>
        <w:t xml:space="preserve">Prepared for the review with Prof. Sabyasachi</w:t>
      </w:r>
    </w:p>
    <w:p>
      <w:pPr>
        <w:spacing w:after="1200"/>
        <w:jc w:val="center"/>
      </w:pPr>
      <w:r>
        <w:rPr>
          <w:color w:val="606060"/>
          <w:sz w:val="20"/>
          <w:szCs w:val="20"/>
        </w:rPr>
        <w:t xml:space="preserve">Data as of the NSE close of Friday 25-Sep-2026  ·  List frozen on that ranking  ·  Snapshot 28-Sep-2026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CE6F2" w:color="auto" w:val="clear"/>
            <w:tcMar>
              <w:top w:type="dxa" w:w="120"/>
              <w:left w:type="dxa" w:w="160"/>
              <w:bottom w:type="dxa" w:w="120"/>
              <w:right w:type="dxa" w:w="160"/>
            </w:tcMar>
          </w:tcPr>
          <w:p>
            <w:pPr>
              <w:spacing w:after="80"/>
            </w:pPr>
            <w:r>
              <w:rPr>
                <w:b/>
                <w:bCs/>
                <w:color w:val="1F3864"/>
              </w:rPr>
              <w:t xml:space="preserve">How to use this brief</w:t>
            </w:r>
          </w:p>
          <w:p>
            <w:pPr>
              <w:spacing w:after="60" w:line="264"/>
            </w:pPr>
            <w:r>
              <w:t xml:space="preserve">Section 1 is the two-minute answer: if you only read one page, read that.</w:t>
            </w:r>
          </w:p>
          <w:p>
            <w:pPr>
              <w:spacing w:after="60" w:line="264"/>
            </w:pPr>
            <w:r>
              <w:t xml:space="preserve">Sections 2 to 9 are the reasoning behind every decision, in the order the professor is likely to probe: mandate, theme, universe, selection rules, evidence, the 15 stocks, rejected names, weights, risk and hedging.</w:t>
            </w:r>
          </w:p>
          <w:p>
            <w:pPr>
              <w:spacing w:after="60" w:line="264"/>
            </w:pPr>
            <w:r>
              <w:t xml:space="preserve">Section 10 lists our genuine weaknesses with the honest answer to each. Do not get caught defending something indefensible: concede the limitation, then explain how the process handles it.</w:t>
            </w:r>
          </w:p>
          <w:p>
            <w:pPr>
              <w:spacing w:after="60" w:line="264"/>
            </w:pPr>
            <w:r>
              <w:t xml:space="preserve">Section 11 is a bank of likely questions with model answers. Section 12 is a glossary. Appendices give the full ranking and the numbers.</w:t>
            </w:r>
          </w:p>
          <w:p>
            <w:pPr>
              <w:spacing w:after="60" w:line="264"/>
            </w:pPr>
            <w:r>
              <w:t xml:space="preserve">Every figure here comes from the pipeline outputs in the GitHub repository (output/ and research/) and the dashboard, so any number can be shown live.</w:t>
            </w:r>
          </w:p>
        </w:tc>
      </w:tr>
    </w:tbl>
    <w:p>
      <w:pPr>
        <w:spacing w:after="120"/>
      </w:pP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The two-minute answer</w:t>
      </w:r>
    </w:p>
    <w:p>
      <w:pPr>
        <w:spacing w:after="120" w:line="276"/>
      </w:pPr>
      <w:r>
        <w:rPr>
          <w:b/>
          <w:bCs/>
        </w:rPr>
        <w:t xml:space="preserve">Mandate.</w:t>
      </w:r>
      <w:r>
        <w:t xml:space="preserve"> A tactical, theme-based equity portfolio of ₹1 crore, benchmarked against the Nifty 500, for three months (first snapshot 28-Sep-2026, evaluation to 28-Dec-2026). The brief asks for 7-10 'multibaggers', no more than 15 stocks tracked, a 4-5% minimum weight with a maximum cap, the four technical indicators (ADX, RS, RSI, support/resistance), a stop-loss, volatility, expected return and weight for every stock, performance measures (Sharpe, Treynor, XIRR, compounding), a CML/global-portfolio view, beta and explained/unexplained risk, a multifactor model, and a tail-risk hedge.</w:t>
      </w:r>
    </w:p>
    <w:p>
      <w:pPr>
        <w:spacing w:after="120" w:line="276"/>
      </w:pPr>
      <w:r>
        <w:rPr>
          <w:b/>
          <w:bCs/>
        </w:rPr>
        <w:t xml:space="preserve">Theme.</w:t>
      </w:r>
      <w:r>
        <w:t xml:space="preserve"> Indian capital expenditure and infrastructure: capital goods (electrical and industrial equipment, cables, pipes, construction and rail equipment), power (generation, transmission) and cement. It is a single, clear theme with complementary sub-themes, as the professor asked.</w:t>
      </w:r>
    </w:p>
    <w:p>
      <w:pPr>
        <w:spacing w:after="120" w:line="276"/>
      </w:pPr>
      <w:r>
        <w:rPr>
          <w:b/>
          <w:bCs/>
        </w:rPr>
        <w:t xml:space="preserve">Method in one sentence.</w:t>
      </w:r>
      <w:r>
        <w:t xml:space="preserve"> From 157 in-theme NSE stocks, keep only those that are safe (no heavy pledging or debt), tradable (₹5 cr+ a day), growing profits into results season and in a confirmed uptrend with a year of history; rank them by 6-month relative strength against the Nifty 500 skipping the latest month; invest in the top 8 and hold the next 7 as a reserve that replaces any stock that hits its stop-loss.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1F3864" w:color="auto" w:val="clear"/>
            <w:tcMar>
              <w:top w:type="dxa" w:w="60"/>
              <w:left w:type="dxa" w:w="90"/>
              <w:bottom w:type="dxa" w:w="60"/>
              <w:right w:type="dxa" w:w="90"/>
            </w:tcMar>
          </w:tcPr>
          <w:p>
            <w:pPr>
              <w:spacing w:after="0"/>
              <w:jc w:val="left"/>
            </w:pPr>
          </w:p>
        </w:tc>
        <w:tc>
          <w:tcPr>
            <w:tcW w:type="dxa" w:w="7710"/>
            <w:shd w:fill="1F3864" w:color="auto" w:val="clear"/>
            <w:tcMar>
              <w:top w:type="dxa" w:w="60"/>
              <w:left w:type="dxa" w:w="90"/>
              <w:bottom w:type="dxa" w:w="60"/>
              <w:right w:type="dxa" w:w="90"/>
            </w:tcMar>
          </w:tcPr>
          <w:p>
            <w:pPr>
              <w:spacing w:after="0"/>
              <w:jc w:val="left"/>
            </w:pPr>
            <w:r>
              <w:rPr>
                <w:b/>
                <w:bCs/>
                <w:color w:val="FFFFFF"/>
                <w:sz w:val="18"/>
                <w:szCs w:val="18"/>
              </w:rPr>
              <w:t xml:space="preserve">Stocks</w:t>
            </w:r>
          </w:p>
        </w:tc>
      </w:tr>
      <w:tr>
        <w:tc>
          <w:tcPr>
            <w:tcW w:type="dxa" w:w="1928"/>
            <w:tcMar>
              <w:top w:type="dxa" w:w="60"/>
              <w:left w:type="dxa" w:w="90"/>
              <w:bottom w:type="dxa" w:w="60"/>
              <w:right w:type="dxa" w:w="90"/>
            </w:tcMar>
          </w:tcPr>
          <w:p>
            <w:pPr>
              <w:spacing w:after="0"/>
              <w:jc w:val="left"/>
            </w:pPr>
            <w:r>
              <w:rPr>
                <w:b w:val="false"/>
                <w:bCs w:val="false"/>
                <w:sz w:val="18"/>
                <w:szCs w:val="18"/>
              </w:rPr>
              <w:t xml:space="preserve">Invested (8)</w:t>
            </w:r>
          </w:p>
        </w:tc>
        <w:tc>
          <w:tcPr>
            <w:tcW w:type="dxa" w:w="7710"/>
            <w:tcMar>
              <w:top w:type="dxa" w:w="60"/>
              <w:left w:type="dxa" w:w="90"/>
              <w:bottom w:type="dxa" w:w="60"/>
              <w:right w:type="dxa" w:w="90"/>
            </w:tcMar>
          </w:tcPr>
          <w:p>
            <w:pPr>
              <w:spacing w:after="0"/>
              <w:jc w:val="left"/>
            </w:pPr>
            <w:r>
              <w:rPr>
                <w:b w:val="false"/>
                <w:bCs w:val="false"/>
                <w:sz w:val="18"/>
                <w:szCs w:val="18"/>
              </w:rPr>
              <w:t xml:space="preserve">WELCORP 13.8%, RPEL 11.2%, SBCL 12.7%, AEROFLEX 9.2%, TDPOWERSYS 11.3%, RAMRAT 14.3%, APARINDS 12.4%, ACMESOLAR 15.0%</w:t>
            </w:r>
          </w:p>
        </w:tc>
      </w:tr>
      <w:tr>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Reserve (7, in order)</w:t>
            </w:r>
          </w:p>
        </w:tc>
        <w:tc>
          <w:tcPr>
            <w:tcW w:type="dxa" w:w="7710"/>
            <w:shd w:fill="F2F2F2" w:color="auto" w:val="clear"/>
            <w:tcMar>
              <w:top w:type="dxa" w:w="60"/>
              <w:left w:type="dxa" w:w="90"/>
              <w:bottom w:type="dxa" w:w="60"/>
              <w:right w:type="dxa" w:w="90"/>
            </w:tcMar>
          </w:tcPr>
          <w:p>
            <w:pPr>
              <w:spacing w:after="0"/>
              <w:jc w:val="left"/>
            </w:pPr>
            <w:r>
              <w:rPr>
                <w:b w:val="false"/>
                <w:bCs w:val="false"/>
                <w:sz w:val="18"/>
                <w:szCs w:val="18"/>
              </w:rPr>
              <w:t xml:space="preserve">QPOWER, FINCABLES, GRINDWELL, ACE, CARBORUNIV, GOODLUCK, ENGINERSIN</w:t>
            </w:r>
          </w:p>
        </w:tc>
      </w:tr>
    </w:tbl>
    <w:p>
      <w:pPr>
        <w:spacing w:after="120"/>
      </w:pPr>
    </w:p>
    <w:p>
      <w:pPr>
        <w:spacing w:after="120" w:line="276"/>
      </w:pPr>
      <w:r>
        <w:rPr>
          <w:b/>
          <w:bCs/>
        </w:rPr>
        <w:t xml:space="preserve">Why the professor should believe it.</w:t>
      </w:r>
      <w:r>
        <w:t xml:space="preserve"> Every rule is written down and applied mechanically; the list is exactly the rule's output on the 25-Sep close, frozen in the repository. We tested more than 25 alternative signals and filters in four pre-registered studies; none beat plain 6-month momentum, so we kept the simplest rule. We say openly where the evidence is weak.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2EFDA" w:color="auto" w:val="clear"/>
            <w:tcMar>
              <w:top w:type="dxa" w:w="120"/>
              <w:left w:type="dxa" w:w="160"/>
              <w:bottom w:type="dxa" w:w="120"/>
              <w:right w:type="dxa" w:w="160"/>
            </w:tcMar>
          </w:tcPr>
          <w:p>
            <w:pPr>
              <w:spacing w:after="80"/>
            </w:pPr>
            <w:r>
              <w:rPr>
                <w:b/>
                <w:bCs/>
                <w:color w:val="1F3864"/>
              </w:rPr>
              <w:t xml:space="preserve">The three things to say if you are short of time</w:t>
            </w:r>
          </w:p>
          <w:p>
            <w:pPr>
              <w:spacing w:after="60" w:line="264"/>
            </w:pPr>
            <w:r>
              <w:t xml:space="preserve">1. </w:t>
            </w:r>
            <w:r>
              <w:rPr>
                <w:b/>
                <w:bCs/>
              </w:rPr>
              <w:t xml:space="preserve">One theme, one rule.</w:t>
            </w:r>
            <w:r>
              <w:t xml:space="preserve"> Capex/infra stocks, ranked by 6-month momentum after safety, liquidity and profit-growth screens: no hand-picking.</w:t>
            </w:r>
          </w:p>
          <w:p>
            <w:pPr>
              <w:spacing w:after="60" w:line="264"/>
            </w:pPr>
            <w:r>
              <w:t xml:space="preserve">2. </w:t>
            </w:r>
            <w:r>
              <w:rPr>
                <w:b/>
                <w:bCs/>
              </w:rPr>
              <w:t xml:space="preserve">Risk is managed at every level.</w:t>
            </w:r>
            <w:r>
              <w:t xml:space="preserve"> Equal-risk weights (5-15%), a volatility-based stop-loss on every stock that only ever rises, a reserve list so cash never sits idle, and Nifty puts against a crash with a profit-lock roll at +10%.</w:t>
            </w:r>
          </w:p>
          <w:p>
            <w:pPr>
              <w:spacing w:after="60" w:line="264"/>
            </w:pPr>
            <w:r>
              <w:t xml:space="preserve">3. </w:t>
            </w:r>
            <w:r>
              <w:rPr>
                <w:b/>
                <w:bCs/>
              </w:rPr>
              <w:t xml:space="preserve">We tested our own assumptions.</w:t>
            </w:r>
            <w:r>
              <w:t xml:space="preserve"> Four pre-registered backtests; we dropped a filter we liked (RRG conviction) because the data said it hurt.</w:t>
            </w:r>
          </w:p>
        </w:tc>
      </w:tr>
    </w:tbl>
    <w:p>
      <w:pPr>
        <w:spacing w:after="120"/>
      </w:pPr>
    </w:p>
    <w:p>
      <w:pPr>
        <w:pStyle w:val="Heading1"/>
        <w:pageBreakBefore/>
      </w:pPr>
      <w:r>
        <w:t xml:space="preserve">2. The brief, point by point</w:t>
      </w:r>
    </w:p>
    <w:p>
      <w:pPr>
        <w:spacing w:after="120" w:line="276"/>
      </w:pPr>
      <w:r>
        <w:t xml:space="preserve">The professor's brief (from the data-dump notes) and exactly where each requirement is met. Keep this table in mind: most questions map to one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tblHeader/>
        </w:trPr>
        <w:tc>
          <w:tcPr>
            <w:tcW w:type="dxa" w:w="2891"/>
            <w:shd w:fill="1F3864" w:color="auto" w:val="clear"/>
            <w:tcMar>
              <w:top w:type="dxa" w:w="60"/>
              <w:left w:type="dxa" w:w="90"/>
              <w:bottom w:type="dxa" w:w="60"/>
              <w:right w:type="dxa" w:w="90"/>
            </w:tcMar>
          </w:tcPr>
          <w:p>
            <w:pPr>
              <w:spacing w:after="0"/>
              <w:jc w:val="left"/>
            </w:pPr>
            <w:r>
              <w:rPr>
                <w:b/>
                <w:bCs/>
                <w:color w:val="FFFFFF"/>
                <w:sz w:val="18"/>
                <w:szCs w:val="18"/>
              </w:rPr>
              <w:t xml:space="preserve">Requirement (brief)</w:t>
            </w:r>
          </w:p>
        </w:tc>
        <w:tc>
          <w:tcPr>
            <w:tcW w:type="dxa" w:w="4819"/>
            <w:shd w:fill="1F3864" w:color="auto" w:val="clear"/>
            <w:tcMar>
              <w:top w:type="dxa" w:w="60"/>
              <w:left w:type="dxa" w:w="90"/>
              <w:bottom w:type="dxa" w:w="60"/>
              <w:right w:type="dxa" w:w="90"/>
            </w:tcMar>
          </w:tcPr>
          <w:p>
            <w:pPr>
              <w:spacing w:after="0"/>
              <w:jc w:val="left"/>
            </w:pPr>
            <w:r>
              <w:rPr>
                <w:b/>
                <w:bCs/>
                <w:color w:val="FFFFFF"/>
                <w:sz w:val="18"/>
                <w:szCs w:val="18"/>
              </w:rPr>
              <w:t xml:space="preserve">What we did</w:t>
            </w:r>
          </w:p>
        </w:tc>
        <w:tc>
          <w:tcPr>
            <w:tcW w:type="dxa" w:w="1928"/>
            <w:shd w:fill="1F3864" w:color="auto" w:val="clear"/>
            <w:tcMar>
              <w:top w:type="dxa" w:w="60"/>
              <w:left w:type="dxa" w:w="90"/>
              <w:bottom w:type="dxa" w:w="60"/>
              <w:right w:type="dxa" w:w="90"/>
            </w:tcMar>
          </w:tcPr>
          <w:p>
            <w:pPr>
              <w:spacing w:after="0"/>
              <w:jc w:val="left"/>
            </w:pPr>
            <w:r>
              <w:rPr>
                <w:b/>
                <w:bCs/>
                <w:color w:val="FFFFFF"/>
                <w:sz w:val="18"/>
                <w:szCs w:val="18"/>
              </w:rPr>
              <w:t xml:space="preserve">Where to show it</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Pick a theme; sub-themes allowed; theme 'crystal clear'</w:t>
            </w:r>
          </w:p>
        </w:tc>
        <w:tc>
          <w:tcPr>
            <w:tcW w:type="dxa" w:w="4819"/>
            <w:tcMar>
              <w:top w:type="dxa" w:w="60"/>
              <w:left w:type="dxa" w:w="90"/>
              <w:bottom w:type="dxa" w:w="60"/>
              <w:right w:type="dxa" w:w="90"/>
            </w:tcMar>
          </w:tcPr>
          <w:p>
            <w:pPr>
              <w:spacing w:after="0"/>
              <w:jc w:val="left"/>
            </w:pPr>
            <w:r>
              <w:rPr>
                <w:b w:val="false"/>
                <w:bCs w:val="false"/>
                <w:sz w:val="18"/>
                <w:szCs w:val="18"/>
              </w:rPr>
              <w:t xml:space="preserve">Capex &amp; infrastructure: capital goods &amp; EPC, power, cement. Every stock's revenue mix checked (business-focus audit).</w:t>
            </w:r>
          </w:p>
        </w:tc>
        <w:tc>
          <w:tcPr>
            <w:tcW w:type="dxa" w:w="1928"/>
            <w:tcMar>
              <w:top w:type="dxa" w:w="60"/>
              <w:left w:type="dxa" w:w="90"/>
              <w:bottom w:type="dxa" w:w="60"/>
              <w:right w:type="dxa" w:w="90"/>
            </w:tcMar>
          </w:tcPr>
          <w:p>
            <w:pPr>
              <w:spacing w:after="0"/>
              <w:jc w:val="left"/>
            </w:pPr>
            <w:r>
              <w:rPr>
                <w:b w:val="false"/>
                <w:bCs w:val="false"/>
                <w:sz w:val="18"/>
                <w:szCs w:val="18"/>
              </w:rPr>
              <w:t xml:space="preserve">Sections 3, 6; dashboard notes</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Benchmark Nifty 400/500 ('I'm a PMS manager')</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Nifty 500 (price index for RS; Total Return Index for performance).</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Dashboard header</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Principal ₹1 crore; return in 3 months</w:t>
            </w:r>
          </w:p>
        </w:tc>
        <w:tc>
          <w:tcPr>
            <w:tcW w:type="dxa" w:w="4819"/>
            <w:tcMar>
              <w:top w:type="dxa" w:w="60"/>
              <w:left w:type="dxa" w:w="90"/>
              <w:bottom w:type="dxa" w:w="60"/>
              <w:right w:type="dxa" w:w="90"/>
            </w:tcMar>
          </w:tcPr>
          <w:p>
            <w:pPr>
              <w:spacing w:after="0"/>
              <w:jc w:val="left"/>
            </w:pPr>
            <w:r>
              <w:rPr>
                <w:b w:val="false"/>
                <w:bCs w:val="false"/>
                <w:sz w:val="18"/>
                <w:szCs w:val="18"/>
              </w:rPr>
              <w:t xml:space="preserve">₹97 L in stocks, ₹3 L hedge budget in a liquid ETF; live P&amp;L vs Nifty 500 TRI and a liquid fund.</w:t>
            </w:r>
          </w:p>
        </w:tc>
        <w:tc>
          <w:tcPr>
            <w:tcW w:type="dxa" w:w="1928"/>
            <w:tcMar>
              <w:top w:type="dxa" w:w="60"/>
              <w:left w:type="dxa" w:w="90"/>
              <w:bottom w:type="dxa" w:w="60"/>
              <w:right w:type="dxa" w:w="90"/>
            </w:tcMar>
          </w:tcPr>
          <w:p>
            <w:pPr>
              <w:spacing w:after="0"/>
              <w:jc w:val="left"/>
            </w:pPr>
            <w:r>
              <w:rPr>
                <w:b w:val="false"/>
                <w:bCs w:val="false"/>
                <w:sz w:val="18"/>
                <w:szCs w:val="18"/>
              </w:rPr>
              <w:t xml:space="preserve">Overview tab</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7-10 multibaggers, not above 15; track stocks too</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8 invested, 15 tracked (7 in reserve).</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Section 8</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4-5% minimum weight, max capping, weighted variance</w:t>
            </w:r>
          </w:p>
        </w:tc>
        <w:tc>
          <w:tcPr>
            <w:tcW w:type="dxa" w:w="4819"/>
            <w:tcMar>
              <w:top w:type="dxa" w:w="60"/>
              <w:left w:type="dxa" w:w="90"/>
              <w:bottom w:type="dxa" w:w="60"/>
              <w:right w:type="dxa" w:w="90"/>
            </w:tcMar>
          </w:tcPr>
          <w:p>
            <w:pPr>
              <w:spacing w:after="0"/>
              <w:jc w:val="left"/>
            </w:pPr>
            <w:r>
              <w:rPr>
                <w:b w:val="false"/>
                <w:bCs w:val="false"/>
                <w:sz w:val="18"/>
                <w:szCs w:val="18"/>
              </w:rPr>
              <w:t xml:space="preserve">Equal risk contribution within 5-15%: each stock carries an equal share of portfolio variance.</w:t>
            </w:r>
          </w:p>
        </w:tc>
        <w:tc>
          <w:tcPr>
            <w:tcW w:type="dxa" w:w="1928"/>
            <w:tcMar>
              <w:top w:type="dxa" w:w="60"/>
              <w:left w:type="dxa" w:w="90"/>
              <w:bottom w:type="dxa" w:w="60"/>
              <w:right w:type="dxa" w:w="90"/>
            </w:tcMar>
          </w:tcPr>
          <w:p>
            <w:pPr>
              <w:spacing w:after="0"/>
              <w:jc w:val="left"/>
            </w:pPr>
            <w:r>
              <w:rPr>
                <w:b w:val="false"/>
                <w:bCs w:val="false"/>
                <w:sz w:val="18"/>
                <w:szCs w:val="18"/>
              </w:rPr>
              <w:t xml:space="preserve">Section 8</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Four indicators: ADX, RS, RSI, support/resistance</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All four computed for every stock (Wilder smoothing); ADX/DI and RS drive selection, RSI and S/R inform stops and risk-reward.</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Technicals tab; Pine script</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Stop-loss; volatility, expected return, weight per stock</w:t>
            </w:r>
          </w:p>
        </w:tc>
        <w:tc>
          <w:tcPr>
            <w:tcW w:type="dxa" w:w="4819"/>
            <w:tcMar>
              <w:top w:type="dxa" w:w="60"/>
              <w:left w:type="dxa" w:w="90"/>
              <w:bottom w:type="dxa" w:w="60"/>
              <w:right w:type="dxa" w:w="90"/>
            </w:tcMar>
          </w:tcPr>
          <w:p>
            <w:pPr>
              <w:spacing w:after="0"/>
              <w:jc w:val="left"/>
            </w:pPr>
            <w:r>
              <w:rPr>
                <w:b w:val="false"/>
                <w:bCs w:val="false"/>
                <w:sz w:val="18"/>
                <w:szCs w:val="18"/>
              </w:rPr>
              <w:t xml:space="preserve">3x ATR stop adjusted to support, trailed; annualised volatility; CAPM expected return; ERC weight.</w:t>
            </w:r>
          </w:p>
        </w:tc>
        <w:tc>
          <w:tcPr>
            <w:tcW w:type="dxa" w:w="1928"/>
            <w:tcMar>
              <w:top w:type="dxa" w:w="60"/>
              <w:left w:type="dxa" w:w="90"/>
              <w:bottom w:type="dxa" w:w="60"/>
              <w:right w:type="dxa" w:w="90"/>
            </w:tcMar>
          </w:tcPr>
          <w:p>
            <w:pPr>
              <w:spacing w:after="0"/>
              <w:jc w:val="left"/>
            </w:pPr>
            <w:r>
              <w:rPr>
                <w:b w:val="false"/>
                <w:bCs w:val="false"/>
                <w:sz w:val="18"/>
                <w:szCs w:val="18"/>
              </w:rPr>
              <w:t xml:space="preserve">Section 9</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Sharpe, Treynor, XIRR, compounding effect, risk-reward for 3 months</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Computed for last quarter and year (and live from day 20); risk-reward table per stock.</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Performance tab</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Global portfolio with these stocks; CML</w:t>
            </w:r>
          </w:p>
        </w:tc>
        <w:tc>
          <w:tcPr>
            <w:tcW w:type="dxa" w:w="4819"/>
            <w:tcMar>
              <w:top w:type="dxa" w:w="60"/>
              <w:left w:type="dxa" w:w="90"/>
              <w:bottom w:type="dxa" w:w="60"/>
              <w:right w:type="dxa" w:w="90"/>
            </w:tcMar>
          </w:tcPr>
          <w:p>
            <w:pPr>
              <w:spacing w:after="0"/>
              <w:jc w:val="left"/>
            </w:pPr>
            <w:r>
              <w:rPr>
                <w:b w:val="false"/>
                <w:bCs w:val="false"/>
                <w:sz w:val="18"/>
                <w:szCs w:val="18"/>
              </w:rPr>
              <w:t xml:space="preserve">Efficient frontier, tangency portfolio, GMVP (long-only and within 5-15%), CML through the Nifty 500 TRI.</w:t>
            </w:r>
          </w:p>
        </w:tc>
        <w:tc>
          <w:tcPr>
            <w:tcW w:type="dxa" w:w="1928"/>
            <w:tcMar>
              <w:top w:type="dxa" w:w="60"/>
              <w:left w:type="dxa" w:w="90"/>
              <w:bottom w:type="dxa" w:w="60"/>
              <w:right w:type="dxa" w:w="90"/>
            </w:tcMar>
          </w:tcPr>
          <w:p>
            <w:pPr>
              <w:spacing w:after="0"/>
              <w:jc w:val="left"/>
            </w:pPr>
            <w:r>
              <w:rPr>
                <w:b w:val="false"/>
                <w:bCs w:val="false"/>
                <w:sz w:val="18"/>
                <w:szCs w:val="18"/>
              </w:rPr>
              <w:t xml:space="preserve">Section 8.3</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Beta: explained and unexplained risk; regression</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Single-index regression per stock and portfolio; explained vs unexplained risk.</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Section 9.2</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Multifactor model (crude, interest rates)</w:t>
            </w:r>
          </w:p>
        </w:tc>
        <w:tc>
          <w:tcPr>
            <w:tcW w:type="dxa" w:w="4819"/>
            <w:tcMar>
              <w:top w:type="dxa" w:w="60"/>
              <w:left w:type="dxa" w:w="90"/>
              <w:bottom w:type="dxa" w:w="60"/>
              <w:right w:type="dxa" w:w="90"/>
            </w:tcMar>
          </w:tcPr>
          <w:p>
            <w:pPr>
              <w:spacing w:after="0"/>
              <w:jc w:val="left"/>
            </w:pPr>
            <w:r>
              <w:rPr>
                <w:b w:val="false"/>
                <w:bCs w:val="false"/>
                <w:sz w:val="18"/>
                <w:szCs w:val="18"/>
              </w:rPr>
              <w:t xml:space="preserve">Market + Brent crude + 10-year G-sec: adds ~0.5 pp of R², so single-index beta is the hedge basis.</w:t>
            </w:r>
          </w:p>
        </w:tc>
        <w:tc>
          <w:tcPr>
            <w:tcW w:type="dxa" w:w="1928"/>
            <w:tcMar>
              <w:top w:type="dxa" w:w="60"/>
              <w:left w:type="dxa" w:w="90"/>
              <w:bottom w:type="dxa" w:w="60"/>
              <w:right w:type="dxa" w:w="90"/>
            </w:tcMar>
          </w:tcPr>
          <w:p>
            <w:pPr>
              <w:spacing w:after="0"/>
              <w:jc w:val="left"/>
            </w:pPr>
            <w:r>
              <w:rPr>
                <w:b w:val="false"/>
                <w:bCs w:val="false"/>
                <w:sz w:val="18"/>
                <w:szCs w:val="18"/>
              </w:rPr>
              <w:t xml:space="preserve">Risk tab</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Hedging: futures/options; tail risk; day 0 or later; after profit, hedge or liquidate</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Day-0 Nifty puts ~5% below spot, sized by downside beta; profit-lock roll-up at +10%; futures considered and rejected.</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Section 9.4</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Cash cannot sit idle; redeploy</w:t>
            </w:r>
          </w:p>
        </w:tc>
        <w:tc>
          <w:tcPr>
            <w:tcW w:type="dxa" w:w="4819"/>
            <w:tcMar>
              <w:top w:type="dxa" w:w="60"/>
              <w:left w:type="dxa" w:w="90"/>
              <w:bottom w:type="dxa" w:w="60"/>
              <w:right w:type="dxa" w:w="90"/>
            </w:tcMar>
          </w:tcPr>
          <w:p>
            <w:pPr>
              <w:spacing w:after="0"/>
              <w:jc w:val="left"/>
            </w:pPr>
            <w:r>
              <w:rPr>
                <w:b w:val="false"/>
                <w:bCs w:val="false"/>
                <w:sz w:val="18"/>
                <w:szCs w:val="18"/>
              </w:rPr>
              <w:t xml:space="preserve">Stop-out proceeds buy the next reserve stock; if none qualifies, they top up the holdings still in an uptrend, else wait in the liquid ETF until one qualifies. Hedge budget in a liquid ETF.</w:t>
            </w:r>
          </w:p>
        </w:tc>
        <w:tc>
          <w:tcPr>
            <w:tcW w:type="dxa" w:w="1928"/>
            <w:tcMar>
              <w:top w:type="dxa" w:w="60"/>
              <w:left w:type="dxa" w:w="90"/>
              <w:bottom w:type="dxa" w:w="60"/>
              <w:right w:type="dxa" w:w="90"/>
            </w:tcMar>
          </w:tcPr>
          <w:p>
            <w:pPr>
              <w:spacing w:after="0"/>
              <w:jc w:val="left"/>
            </w:pPr>
            <w:r>
              <w:rPr>
                <w:b w:val="false"/>
                <w:bCs w:val="false"/>
                <w:sz w:val="18"/>
                <w:szCs w:val="18"/>
              </w:rPr>
              <w:t xml:space="preserve">Section 8.4</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Commodity/ETF 'maybe, with a clear reason'</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Considered gold, copper/aluminium and theme ETFs; none has a clear role (puts do crash protection). Only a liquid ETF for the hedge budget.</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Section 7.3</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Pine script filter</w:t>
            </w:r>
          </w:p>
        </w:tc>
        <w:tc>
          <w:tcPr>
            <w:tcW w:type="dxa" w:w="4819"/>
            <w:tcMar>
              <w:top w:type="dxa" w:w="60"/>
              <w:left w:type="dxa" w:w="90"/>
              <w:bottom w:type="dxa" w:w="60"/>
              <w:right w:type="dxa" w:w="90"/>
            </w:tcMar>
          </w:tcPr>
          <w:p>
            <w:pPr>
              <w:spacing w:after="0"/>
              <w:jc w:val="left"/>
            </w:pPr>
            <w:r>
              <w:rPr>
                <w:b w:val="false"/>
                <w:bCs w:val="false"/>
                <w:sz w:val="18"/>
                <w:szCs w:val="18"/>
              </w:rPr>
              <w:t xml:space="preserve">pine/capex_screen.pine reproduces the technical rules on TradingView.</w:t>
            </w:r>
          </w:p>
        </w:tc>
        <w:tc>
          <w:tcPr>
            <w:tcW w:type="dxa" w:w="1928"/>
            <w:tcMar>
              <w:top w:type="dxa" w:w="60"/>
              <w:left w:type="dxa" w:w="90"/>
              <w:bottom w:type="dxa" w:w="60"/>
              <w:right w:type="dxa" w:w="90"/>
            </w:tcMar>
          </w:tcPr>
          <w:p>
            <w:pPr>
              <w:spacing w:after="0"/>
              <w:jc w:val="left"/>
            </w:pPr>
            <w:r>
              <w:rPr>
                <w:b w:val="false"/>
                <w:bCs w:val="false"/>
                <w:sz w:val="18"/>
                <w:szCs w:val="18"/>
              </w:rPr>
              <w:t xml:space="preserve">Repository</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Daily data; October results impact</w:t>
            </w:r>
          </w:p>
        </w:tc>
        <w:tc>
          <w:tcPr>
            <w:tcW w:type="dxa" w:w="4819"/>
            <w:shd w:fill="F2F2F2" w:color="auto" w:val="clear"/>
            <w:tcMar>
              <w:top w:type="dxa" w:w="60"/>
              <w:left w:type="dxa" w:w="90"/>
              <w:bottom w:type="dxa" w:w="60"/>
              <w:right w:type="dxa" w:w="90"/>
            </w:tcMar>
          </w:tcPr>
          <w:p>
            <w:pPr>
              <w:spacing w:after="0"/>
              <w:jc w:val="left"/>
            </w:pPr>
            <w:r>
              <w:rPr>
                <w:b w:val="false"/>
                <w:bCs w:val="false"/>
                <w:sz w:val="18"/>
                <w:szCs w:val="18"/>
              </w:rPr>
              <w:t xml:space="preserve">Daily NSE bhavcopy; results calendar with warnings; profit-growth rule added because results fall inside the window.</w:t>
            </w:r>
          </w:p>
        </w:tc>
        <w:tc>
          <w:tcPr>
            <w:tcW w:type="dxa" w:w="1928"/>
            <w:shd w:fill="F2F2F2" w:color="auto" w:val="clear"/>
            <w:tcMar>
              <w:top w:type="dxa" w:w="60"/>
              <w:left w:type="dxa" w:w="90"/>
              <w:bottom w:type="dxa" w:w="60"/>
              <w:right w:type="dxa" w:w="90"/>
            </w:tcMar>
          </w:tcPr>
          <w:p>
            <w:pPr>
              <w:spacing w:after="0"/>
              <w:jc w:val="left"/>
            </w:pPr>
            <w:r>
              <w:rPr>
                <w:b w:val="false"/>
                <w:bCs w:val="false"/>
                <w:sz w:val="18"/>
                <w:szCs w:val="18"/>
              </w:rPr>
              <w:t xml:space="preserve">Overview tab</w:t>
            </w:r>
          </w:p>
        </w:tc>
      </w:tr>
    </w:tbl>
    <w:p>
      <w:pPr>
        <w:spacing w:after="120"/>
      </w:pPr>
    </w:p>
    <w:p>
      <w:pPr>
        <w:pStyle w:val="Heading1"/>
        <w:pageBreakBefore/>
      </w:pPr>
      <w:r>
        <w:t xml:space="preserve">3. Theme and universe</w:t>
      </w:r>
    </w:p>
    <w:p>
      <w:pPr>
        <w:pStyle w:val="Heading2"/>
      </w:pPr>
      <w:r>
        <w:t xml:space="preserve">3.1 Why capex and infrastructure</w:t>
      </w:r>
    </w:p>
    <w:p>
      <w:pPr>
        <w:spacing w:after="120" w:line="276"/>
      </w:pPr>
      <w:r>
        <w:t xml:space="preserve">India's investment cycle (government capex on roads, rail, power transmission and renewables; private capex returning in electrical equipment, pipes and process industries) gives a theme with clear earnings drivers and many listed beneficiaries. It is broad enough to hold 15 liquid stocks but narrow enough to be 'crystal clear'. Sub-themes: electrical and power equipment (transformers, conductors, generators, switchgear parts), industrial and process equipment, pipes and structures, construction and rail equipment, power generation, and cement.</w:t>
      </w:r>
    </w:p>
    <w:p>
      <w:pPr>
        <w:spacing w:after="120" w:line="276"/>
      </w:pPr>
      <w:r>
        <w:rPr>
          <w:b/>
          <w:bCs/>
        </w:rPr>
        <w:t xml:space="preserve">Interest-rate sensitivity (the brief asked):</w:t>
      </w:r>
      <w:r>
        <w:t xml:space="preserve"> capex names are rate-sensitive through financing costs and valuation multiples; our multifactor regression shows the 10-year G-sec factor adds little to explained risk over 3 months (market beta dominates), which is why the hedge uses market beta.</w:t>
      </w:r>
    </w:p>
    <w:p>
      <w:pPr>
        <w:pStyle w:val="Heading2"/>
      </w:pPr>
      <w:r>
        <w:t xml:space="preserve">3.2 Universe: one source of truth</w:t>
      </w:r>
    </w:p>
    <w:p>
      <w:pPr>
        <w:spacing w:after="120" w:line="276"/>
      </w:pPr>
      <w:r>
        <w:t xml:space="preserve">The universe is four Screener.in sector exports downloaded on 26/27-Sep-2026 (Cement, Capital Goods, Construction, Power; data/screener/), filtered by stated rules. Construction is Screener's home for EPC contractors (all 181 rows are 'Civil Construction'): the professor's sheet names our theme 'Cement, Capital Goods &amp; EPC, Power', so EPC is screened with Capital Goods. We moved from the Nifty sector indices to these exports because the indices are narrow (91 stocks) and missed genuine theme stocks; the exports list every company, and our rules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8"/>
        <w:gridCol w:w="1305"/>
        <w:gridCol w:w="1305"/>
      </w:tblGrid>
      <w:tr>
        <w:trPr>
          <w:tblHeader/>
        </w:trPr>
        <w:tc>
          <w:tcPr>
            <w:tcW w:type="dxa" w:w="7028"/>
            <w:shd w:fill="1F3864" w:color="auto" w:val="clear"/>
            <w:tcMar>
              <w:top w:type="dxa" w:w="60"/>
              <w:left w:type="dxa" w:w="90"/>
              <w:bottom w:type="dxa" w:w="60"/>
              <w:right w:type="dxa" w:w="90"/>
            </w:tcMar>
          </w:tcPr>
          <w:p>
            <w:pPr>
              <w:spacing w:after="0"/>
              <w:jc w:val="left"/>
            </w:pPr>
            <w:r>
              <w:rPr>
                <w:b/>
                <w:bCs/>
                <w:color w:val="FFFFFF"/>
                <w:sz w:val="18"/>
                <w:szCs w:val="18"/>
              </w:rPr>
              <w:t xml:space="preserve">Step</w:t>
            </w:r>
          </w:p>
        </w:tc>
        <w:tc>
          <w:tcPr>
            <w:tcW w:type="dxa" w:w="1305"/>
            <w:shd w:fill="1F3864" w:color="auto" w:val="clear"/>
            <w:tcMar>
              <w:top w:type="dxa" w:w="60"/>
              <w:left w:type="dxa" w:w="90"/>
              <w:bottom w:type="dxa" w:w="60"/>
              <w:right w:type="dxa" w:w="90"/>
            </w:tcMar>
          </w:tcPr>
          <w:p>
            <w:pPr>
              <w:spacing w:after="0"/>
              <w:jc w:val="left"/>
            </w:pPr>
            <w:r>
              <w:rPr>
                <w:b/>
                <w:bCs/>
                <w:color w:val="FFFFFF"/>
                <w:sz w:val="18"/>
                <w:szCs w:val="18"/>
              </w:rPr>
              <w:t xml:space="preserve">Removed</w:t>
            </w:r>
          </w:p>
        </w:tc>
        <w:tc>
          <w:tcPr>
            <w:tcW w:type="dxa" w:w="1305"/>
            <w:shd w:fill="1F3864" w:color="auto" w:val="clear"/>
            <w:tcMar>
              <w:top w:type="dxa" w:w="60"/>
              <w:left w:type="dxa" w:w="90"/>
              <w:bottom w:type="dxa" w:w="60"/>
              <w:right w:type="dxa" w:w="90"/>
            </w:tcMar>
          </w:tcPr>
          <w:p>
            <w:pPr>
              <w:spacing w:after="0"/>
              <w:jc w:val="left"/>
            </w:pPr>
            <w:r>
              <w:rPr>
                <w:b/>
                <w:bCs/>
                <w:color w:val="FFFFFF"/>
                <w:sz w:val="18"/>
                <w:szCs w:val="18"/>
              </w:rPr>
              <w:t xml:space="preserve">Left</w:t>
            </w:r>
          </w:p>
        </w:tc>
      </w:tr>
      <w:tr>
        <w:tc>
          <w:tcPr>
            <w:tcW w:type="dxa" w:w="7028"/>
            <w:tcMar>
              <w:top w:type="dxa" w:w="60"/>
              <w:left w:type="dxa" w:w="90"/>
              <w:bottom w:type="dxa" w:w="60"/>
              <w:right w:type="dxa" w:w="90"/>
            </w:tcMar>
          </w:tcPr>
          <w:p>
            <w:pPr>
              <w:spacing w:after="0"/>
              <w:jc w:val="left"/>
            </w:pPr>
            <w:r>
              <w:rPr>
                <w:b w:val="false"/>
                <w:bCs w:val="false"/>
                <w:sz w:val="18"/>
                <w:szCs w:val="18"/>
              </w:rPr>
              <w:t xml:space="preserve">All rows in the four exports</w:t>
            </w:r>
          </w:p>
        </w:tc>
        <w:tc>
          <w:tcPr>
            <w:tcW w:type="dxa" w:w="1305"/>
            <w:tcMar>
              <w:top w:type="dxa" w:w="60"/>
              <w:left w:type="dxa" w:w="90"/>
              <w:bottom w:type="dxa" w:w="60"/>
              <w:right w:type="dxa" w:w="90"/>
            </w:tcMar>
          </w:tcPr>
          <w:p>
            <w:pPr>
              <w:spacing w:after="0"/>
              <w:jc w:val="right"/>
            </w:pPr>
          </w:p>
        </w:tc>
        <w:tc>
          <w:tcPr>
            <w:tcW w:type="dxa" w:w="1305"/>
            <w:tcMar>
              <w:top w:type="dxa" w:w="60"/>
              <w:left w:type="dxa" w:w="90"/>
              <w:bottom w:type="dxa" w:w="60"/>
              <w:right w:type="dxa" w:w="90"/>
            </w:tcMar>
          </w:tcPr>
          <w:p>
            <w:pPr>
              <w:spacing w:after="0"/>
              <w:jc w:val="right"/>
            </w:pPr>
            <w:r>
              <w:rPr>
                <w:b w:val="false"/>
                <w:bCs w:val="false"/>
                <w:sz w:val="18"/>
                <w:szCs w:val="18"/>
              </w:rPr>
              <w:t xml:space="preserve">1,159</w:t>
            </w:r>
          </w:p>
        </w:tc>
      </w:tr>
      <w:tr>
        <w:tc>
          <w:tcPr>
            <w:tcW w:type="dxa" w:w="7028"/>
            <w:shd w:fill="F2F2F2" w:color="auto" w:val="clear"/>
            <w:tcMar>
              <w:top w:type="dxa" w:w="60"/>
              <w:left w:type="dxa" w:w="90"/>
              <w:bottom w:type="dxa" w:w="60"/>
              <w:right w:type="dxa" w:w="90"/>
            </w:tcMar>
          </w:tcPr>
          <w:p>
            <w:pPr>
              <w:spacing w:after="0"/>
              <w:jc w:val="left"/>
            </w:pPr>
            <w:r>
              <w:rPr>
                <w:b w:val="false"/>
                <w:bCs w:val="false"/>
                <w:sz w:val="18"/>
                <w:szCs w:val="18"/>
              </w:rPr>
              <w:t xml:space="preserve">No NSE listing (BSE-only)</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408</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751</w:t>
            </w:r>
          </w:p>
        </w:tc>
      </w:tr>
      <w:tr>
        <w:tc>
          <w:tcPr>
            <w:tcW w:type="dxa" w:w="7028"/>
            <w:tcMar>
              <w:top w:type="dxa" w:w="60"/>
              <w:left w:type="dxa" w:w="90"/>
              <w:bottom w:type="dxa" w:w="60"/>
              <w:right w:type="dxa" w:w="90"/>
            </w:tcMar>
          </w:tcPr>
          <w:p>
            <w:pPr>
              <w:spacing w:after="0"/>
              <w:jc w:val="left"/>
            </w:pPr>
            <w:r>
              <w:rPr>
                <w:b w:val="false"/>
                <w:bCs w:val="false"/>
                <w:sz w:val="18"/>
                <w:szCs w:val="18"/>
              </w:rPr>
              <w:t xml:space="preserve">Market cap below ₹5,000 cr</w:t>
            </w:r>
          </w:p>
        </w:tc>
        <w:tc>
          <w:tcPr>
            <w:tcW w:type="dxa" w:w="1305"/>
            <w:tcMar>
              <w:top w:type="dxa" w:w="60"/>
              <w:left w:type="dxa" w:w="90"/>
              <w:bottom w:type="dxa" w:w="60"/>
              <w:right w:type="dxa" w:w="90"/>
            </w:tcMar>
          </w:tcPr>
          <w:p>
            <w:pPr>
              <w:spacing w:after="0"/>
              <w:jc w:val="right"/>
            </w:pPr>
            <w:r>
              <w:rPr>
                <w:b w:val="false"/>
                <w:bCs w:val="false"/>
                <w:sz w:val="18"/>
                <w:szCs w:val="18"/>
              </w:rPr>
              <w:t xml:space="preserve">542</w:t>
            </w:r>
          </w:p>
        </w:tc>
        <w:tc>
          <w:tcPr>
            <w:tcW w:type="dxa" w:w="1305"/>
            <w:tcMar>
              <w:top w:type="dxa" w:w="60"/>
              <w:left w:type="dxa" w:w="90"/>
              <w:bottom w:type="dxa" w:w="60"/>
              <w:right w:type="dxa" w:w="90"/>
            </w:tcMar>
          </w:tcPr>
          <w:p>
            <w:pPr>
              <w:spacing w:after="0"/>
              <w:jc w:val="right"/>
            </w:pPr>
            <w:r>
              <w:rPr>
                <w:b w:val="false"/>
                <w:bCs w:val="false"/>
                <w:sz w:val="18"/>
                <w:szCs w:val="18"/>
              </w:rPr>
              <w:t xml:space="preserve">209</w:t>
            </w:r>
          </w:p>
        </w:tc>
      </w:tr>
      <w:tr>
        <w:tc>
          <w:tcPr>
            <w:tcW w:type="dxa" w:w="7028"/>
            <w:shd w:fill="F2F2F2" w:color="auto" w:val="clear"/>
            <w:tcMar>
              <w:top w:type="dxa" w:w="60"/>
              <w:left w:type="dxa" w:w="90"/>
              <w:bottom w:type="dxa" w:w="60"/>
              <w:right w:type="dxa" w:w="90"/>
            </w:tcMar>
          </w:tcPr>
          <w:p>
            <w:pPr>
              <w:spacing w:after="0"/>
              <w:jc w:val="left"/>
            </w:pPr>
            <w:r>
              <w:rPr>
                <w:b w:val="false"/>
                <w:bCs w:val="false"/>
                <w:sz w:val="18"/>
                <w:szCs w:val="18"/>
              </w:rPr>
              <w:t xml:space="preserve">Aerospace &amp; Defense industry group (HAL, BEL, BDL, GRSE, …)</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17</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192</w:t>
            </w:r>
          </w:p>
        </w:tc>
      </w:tr>
      <w:tr>
        <w:tc>
          <w:tcPr>
            <w:tcW w:type="dxa" w:w="7028"/>
            <w:tcMar>
              <w:top w:type="dxa" w:w="60"/>
              <w:left w:type="dxa" w:w="90"/>
              <w:bottom w:type="dxa" w:w="60"/>
              <w:right w:type="dxa" w:w="90"/>
            </w:tcMar>
          </w:tcPr>
          <w:p>
            <w:pPr>
              <w:spacing w:after="0"/>
              <w:jc w:val="left"/>
            </w:pPr>
            <w:r>
              <w:rPr>
                <w:b w:val="false"/>
                <w:bCs w:val="false"/>
                <w:sz w:val="18"/>
                <w:szCs w:val="18"/>
              </w:rPr>
              <w:t xml:space="preserve">Industries outside the theme (commercial vehicles, tractors, packaging, industrial glass, copper products)</w:t>
            </w:r>
          </w:p>
        </w:tc>
        <w:tc>
          <w:tcPr>
            <w:tcW w:type="dxa" w:w="1305"/>
            <w:tcMar>
              <w:top w:type="dxa" w:w="60"/>
              <w:left w:type="dxa" w:w="90"/>
              <w:bottom w:type="dxa" w:w="60"/>
              <w:right w:type="dxa" w:w="90"/>
            </w:tcMar>
          </w:tcPr>
          <w:p>
            <w:pPr>
              <w:spacing w:after="0"/>
              <w:jc w:val="right"/>
            </w:pPr>
            <w:r>
              <w:rPr>
                <w:b w:val="false"/>
                <w:bCs w:val="false"/>
                <w:sz w:val="18"/>
                <w:szCs w:val="18"/>
              </w:rPr>
              <w:t xml:space="preserve">8</w:t>
            </w:r>
          </w:p>
        </w:tc>
        <w:tc>
          <w:tcPr>
            <w:tcW w:type="dxa" w:w="1305"/>
            <w:tcMar>
              <w:top w:type="dxa" w:w="60"/>
              <w:left w:type="dxa" w:w="90"/>
              <w:bottom w:type="dxa" w:w="60"/>
              <w:right w:type="dxa" w:w="90"/>
            </w:tcMar>
          </w:tcPr>
          <w:p>
            <w:pPr>
              <w:spacing w:after="0"/>
              <w:jc w:val="right"/>
            </w:pPr>
            <w:r>
              <w:rPr>
                <w:b w:val="false"/>
                <w:bCs w:val="false"/>
                <w:sz w:val="18"/>
                <w:szCs w:val="18"/>
              </w:rPr>
              <w:t xml:space="preserve">184</w:t>
            </w:r>
          </w:p>
        </w:tc>
      </w:tr>
      <w:tr>
        <w:tc>
          <w:tcPr>
            <w:tcW w:type="dxa" w:w="7028"/>
            <w:shd w:fill="F2F2F2" w:color="auto" w:val="clear"/>
            <w:tcMar>
              <w:top w:type="dxa" w:w="60"/>
              <w:left w:type="dxa" w:w="90"/>
              <w:bottom w:type="dxa" w:w="60"/>
              <w:right w:type="dxa" w:w="90"/>
            </w:tcMar>
          </w:tcPr>
          <w:p>
            <w:pPr>
              <w:spacing w:after="0"/>
              <w:jc w:val="left"/>
            </w:pPr>
            <w:r>
              <w:rPr>
                <w:b w:val="false"/>
                <w:bCs w:val="false"/>
                <w:sz w:val="18"/>
                <w:szCs w:val="18"/>
              </w:rPr>
              <w:t xml:space="preserve">InvITs (IndiGrid, PowerGrid InvIT, Nxt-Infra, Shrem: units, not company shares)</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4</w:t>
            </w:r>
          </w:p>
        </w:tc>
        <w:tc>
          <w:tcPr>
            <w:tcW w:type="dxa" w:w="1305"/>
            <w:shd w:fill="F2F2F2" w:color="auto" w:val="clear"/>
            <w:tcMar>
              <w:top w:type="dxa" w:w="60"/>
              <w:left w:type="dxa" w:w="90"/>
              <w:bottom w:type="dxa" w:w="60"/>
              <w:right w:type="dxa" w:w="90"/>
            </w:tcMar>
          </w:tcPr>
          <w:p>
            <w:pPr>
              <w:spacing w:after="0"/>
              <w:jc w:val="right"/>
            </w:pPr>
            <w:r>
              <w:rPr>
                <w:b w:val="false"/>
                <w:bCs w:val="false"/>
                <w:sz w:val="18"/>
                <w:szCs w:val="18"/>
              </w:rPr>
              <w:t xml:space="preserve">180</w:t>
            </w:r>
          </w:p>
        </w:tc>
      </w:tr>
      <w:tr>
        <w:tc>
          <w:tcPr>
            <w:tcW w:type="dxa" w:w="7028"/>
            <w:tcMar>
              <w:top w:type="dxa" w:w="60"/>
              <w:left w:type="dxa" w:w="90"/>
              <w:bottom w:type="dxa" w:w="60"/>
              <w:right w:type="dxa" w:w="90"/>
            </w:tcMar>
          </w:tcPr>
          <w:p>
            <w:pPr>
              <w:spacing w:after="0"/>
              <w:jc w:val="left"/>
            </w:pPr>
            <w:r>
              <w:rPr>
                <w:b w:val="false"/>
                <w:bCs w:val="false"/>
                <w:sz w:val="18"/>
                <w:szCs w:val="18"/>
              </w:rPr>
              <w:t xml:space="preserve">Named theme exclusions (23): EMS/electronics, auto &amp; consumer components, defence/aerospace/shipbuilding, primary steel, packaging &amp; films, mining services (CMPDI)</w:t>
            </w:r>
          </w:p>
        </w:tc>
        <w:tc>
          <w:tcPr>
            <w:tcW w:type="dxa" w:w="1305"/>
            <w:tcMar>
              <w:top w:type="dxa" w:w="60"/>
              <w:left w:type="dxa" w:w="90"/>
              <w:bottom w:type="dxa" w:w="60"/>
              <w:right w:type="dxa" w:w="90"/>
            </w:tcMar>
          </w:tcPr>
          <w:p>
            <w:pPr>
              <w:spacing w:after="0"/>
              <w:jc w:val="right"/>
            </w:pPr>
            <w:r>
              <w:rPr>
                <w:b w:val="false"/>
                <w:bCs w:val="false"/>
                <w:sz w:val="18"/>
                <w:szCs w:val="18"/>
              </w:rPr>
              <w:t xml:space="preserve">23</w:t>
            </w:r>
          </w:p>
        </w:tc>
        <w:tc>
          <w:tcPr>
            <w:tcW w:type="dxa" w:w="1305"/>
            <w:tcMar>
              <w:top w:type="dxa" w:w="60"/>
              <w:left w:type="dxa" w:w="90"/>
              <w:bottom w:type="dxa" w:w="60"/>
              <w:right w:type="dxa" w:w="90"/>
            </w:tcMar>
          </w:tcPr>
          <w:p>
            <w:pPr>
              <w:spacing w:after="0"/>
              <w:jc w:val="right"/>
            </w:pPr>
            <w:r>
              <w:rPr>
                <w:b w:val="false"/>
                <w:bCs w:val="false"/>
                <w:sz w:val="18"/>
                <w:szCs w:val="18"/>
              </w:rPr>
              <w:t xml:space="preserve">157</w:t>
            </w:r>
          </w:p>
        </w:tc>
      </w:tr>
      <w:tr>
        <w:tc>
          <w:tcPr>
            <w:tcW w:type="dxa" w:w="7028"/>
            <w:shd w:fill="F2F2F2" w:color="auto" w:val="clear"/>
            <w:tcMar>
              <w:top w:type="dxa" w:w="60"/>
              <w:left w:type="dxa" w:w="90"/>
              <w:bottom w:type="dxa" w:w="60"/>
              <w:right w:type="dxa" w:w="90"/>
            </w:tcMar>
          </w:tcPr>
          <w:p>
            <w:pPr>
              <w:spacing w:after="0"/>
              <w:jc w:val="left"/>
            </w:pPr>
            <w:r>
              <w:rPr>
                <w:b/>
                <w:bCs/>
                <w:sz w:val="18"/>
                <w:szCs w:val="18"/>
              </w:rPr>
              <w:t xml:space="preserve">Universe: Cement 15, Capital Goods &amp; EPC 120 (100 + 20 EPC), Power 22</w:t>
            </w:r>
          </w:p>
        </w:tc>
        <w:tc>
          <w:tcPr>
            <w:tcW w:type="dxa" w:w="1305"/>
            <w:shd w:fill="F2F2F2" w:color="auto" w:val="clear"/>
            <w:tcMar>
              <w:top w:type="dxa" w:w="60"/>
              <w:left w:type="dxa" w:w="90"/>
              <w:bottom w:type="dxa" w:w="60"/>
              <w:right w:type="dxa" w:w="90"/>
            </w:tcMar>
          </w:tcPr>
          <w:p>
            <w:pPr>
              <w:spacing w:after="0"/>
              <w:jc w:val="right"/>
            </w:pPr>
          </w:p>
        </w:tc>
        <w:tc>
          <w:tcPr>
            <w:tcW w:type="dxa" w:w="1305"/>
            <w:shd w:fill="F2F2F2" w:color="auto" w:val="clear"/>
            <w:tcMar>
              <w:top w:type="dxa" w:w="60"/>
              <w:left w:type="dxa" w:w="90"/>
              <w:bottom w:type="dxa" w:w="60"/>
              <w:right w:type="dxa" w:w="90"/>
            </w:tcMar>
          </w:tcPr>
          <w:p>
            <w:pPr>
              <w:spacing w:after="0"/>
              <w:jc w:val="right"/>
            </w:pPr>
            <w:r>
              <w:rPr>
                <w:b/>
                <w:bCs/>
                <w:sz w:val="18"/>
                <w:szCs w:val="18"/>
              </w:rPr>
              <w:t xml:space="preserve">157</w:t>
            </w:r>
          </w:p>
        </w:tc>
      </w:tr>
    </w:tbl>
    <w:p>
      <w:pPr>
        <w:spacing w:after="120"/>
      </w:pPr>
    </w:p>
    <w:p>
      <w:pPr>
        <w:pStyle w:val="Heading2"/>
      </w:pPr>
      <w:r>
        <w:t xml:space="preserve">3.3 Why a ₹5,000 cr market-cap floor (and not lower)</w:t>
      </w:r>
    </w:p>
    <w:p>
      <w:pPr>
        <w:spacing w:after="120" w:line="276"/>
      </w:pPr>
      <w:r>
        <w:t xml:space="preserve">We tested this directly (research/liquidity_study.py). Market cap and daily traded value are strongly related (rank correlation 0.80), but not identical: 10 stocks above ₹5,000 cr trade under ₹5 cr a day, and ~30 below it trade over ₹10 cr. So tradability is tested </w:t>
      </w:r>
      <w:r>
        <w:rPr>
          <w:b/>
          <w:bCs/>
        </w:rPr>
        <w:t xml:space="preserve">directly</w:t>
      </w:r>
      <w:r>
        <w:t xml:space="preserve"> by its own rule (₹5 cr/day), and the floor is kept as a </w:t>
      </w:r>
      <w:r>
        <w:rPr>
          <w:b/>
          <w:bCs/>
        </w:rPr>
        <w:t xml:space="preserve">quality</w:t>
      </w:r>
      <w:r>
        <w:t xml:space="preserve"> floor.</w:t>
      </w:r>
    </w:p>
    <w:p>
      <w:pPr>
        <w:spacing w:after="120" w:line="276"/>
      </w:pPr>
      <w:r>
        <w:t xml:space="preserve">Lowering it to ₹1,000-2,000 cr would add RATNAVEER, VENUSPIPES, PITTIENG, JASH and SAMBHV to the 15 and put three of them into the invested 8, replacing established, profitable holdings. Before we fixed a data bug, the two top-ranked newcomers (KABRAEXTRU, QUADFUTURE) were loss-making; RATNAVEER trades 4.2% of its entire market value every day (speculative). Nothing between ₹1,000 and ₹2,000 cr passes the liquidity rule at all.</w:t>
      </w:r>
    </w:p>
    <w:p>
      <w:pPr>
        <w:pStyle w:val="Heading2"/>
      </w:pPr>
      <w:r>
        <w:t xml:space="preserve">3.4 Theme exclusions: how we kept 'crystal clear'</w:t>
      </w:r>
    </w:p>
    <w:p>
      <w:pPr>
        <w:spacing w:after="120" w:line="276"/>
      </w:pPr>
      <w:r>
        <w:t xml:space="preserve">Screener's industry labels are not enough, so every excluded or borderline company has a written reason (config.THEME_EXCLUSIONS, BUSINESS_FOCUS_NOTES). Examples: MAZDOCK, COCHINSHIP (defence shipbuilding), KAYNES, SYRMA (electronics manufacturing), PTCIL (titanium castings for aerospace/defence, filed as 'Castings &amp; Forgings'), DYNAMATECH (aerospace structures + auto castings), KSL (special-bar steel for auto forgings). A stock is excluded when its MAIN business is outside the theme; a minority outside the theme is disclosed, not excluded (BEML's ~30% defence; GOODLUCK's ~25% auto tubes).</w:t>
      </w:r>
    </w:p>
    <w:p>
      <w:pPr>
        <w:pStyle w:val="Heading1"/>
        <w:pageBreakBefore/>
      </w:pPr>
      <w:r>
        <w:t xml:space="preserve">4. The selection rule, step by step</w:t>
      </w:r>
    </w:p>
    <w:p>
      <w:pPr>
        <w:spacing w:after="120" w:line="276"/>
      </w:pPr>
      <w:r>
        <w:t xml:space="preserve">Every stock in the universe goes through the same rules, in this order. The numbers are for the frozen ranking (prices through 25-Sep-2026).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
        <w:gridCol w:w="3813"/>
        <w:gridCol w:w="4236"/>
        <w:gridCol w:w="1165"/>
      </w:tblGrid>
      <w:tr>
        <w:trPr>
          <w:tblHeader/>
        </w:trPr>
        <w:tc>
          <w:tcPr>
            <w:tcW w:type="dxa" w:w="424"/>
            <w:shd w:fill="1F3864" w:color="auto" w:val="clear"/>
            <w:tcMar>
              <w:top w:type="dxa" w:w="60"/>
              <w:left w:type="dxa" w:w="90"/>
              <w:bottom w:type="dxa" w:w="60"/>
              <w:right w:type="dxa" w:w="90"/>
            </w:tcMar>
          </w:tcPr>
          <w:p>
            <w:pPr>
              <w:spacing w:after="0"/>
              <w:jc w:val="left"/>
            </w:pPr>
            <w:r>
              <w:rPr>
                <w:b/>
                <w:bCs/>
                <w:color w:val="FFFFFF"/>
                <w:sz w:val="18"/>
                <w:szCs w:val="18"/>
              </w:rPr>
              <w:t xml:space="preserve">#</w:t>
            </w:r>
          </w:p>
        </w:tc>
        <w:tc>
          <w:tcPr>
            <w:tcW w:type="dxa" w:w="3813"/>
            <w:shd w:fill="1F3864" w:color="auto" w:val="clear"/>
            <w:tcMar>
              <w:top w:type="dxa" w:w="60"/>
              <w:left w:type="dxa" w:w="90"/>
              <w:bottom w:type="dxa" w:w="60"/>
              <w:right w:type="dxa" w:w="90"/>
            </w:tcMar>
          </w:tcPr>
          <w:p>
            <w:pPr>
              <w:spacing w:after="0"/>
              <w:jc w:val="left"/>
            </w:pPr>
            <w:r>
              <w:rPr>
                <w:b/>
                <w:bCs/>
                <w:color w:val="FFFFFF"/>
                <w:sz w:val="18"/>
                <w:szCs w:val="18"/>
              </w:rPr>
              <w:t xml:space="preserve">Rule</w:t>
            </w:r>
          </w:p>
        </w:tc>
        <w:tc>
          <w:tcPr>
            <w:tcW w:type="dxa" w:w="4236"/>
            <w:shd w:fill="1F3864" w:color="auto" w:val="clear"/>
            <w:tcMar>
              <w:top w:type="dxa" w:w="60"/>
              <w:left w:type="dxa" w:w="90"/>
              <w:bottom w:type="dxa" w:w="60"/>
              <w:right w:type="dxa" w:w="90"/>
            </w:tcMar>
          </w:tcPr>
          <w:p>
            <w:pPr>
              <w:spacing w:after="0"/>
              <w:jc w:val="left"/>
            </w:pPr>
            <w:r>
              <w:rPr>
                <w:b/>
                <w:bCs/>
                <w:color w:val="FFFFFF"/>
                <w:sz w:val="18"/>
                <w:szCs w:val="18"/>
              </w:rPr>
              <w:t xml:space="preserve">Why it exists</w:t>
            </w:r>
          </w:p>
        </w:tc>
        <w:tc>
          <w:tcPr>
            <w:tcW w:type="dxa" w:w="1165"/>
            <w:shd w:fill="1F3864" w:color="auto" w:val="clear"/>
            <w:tcMar>
              <w:top w:type="dxa" w:w="60"/>
              <w:left w:type="dxa" w:w="90"/>
              <w:bottom w:type="dxa" w:w="60"/>
              <w:right w:type="dxa" w:w="90"/>
            </w:tcMar>
          </w:tcPr>
          <w:p>
            <w:pPr>
              <w:spacing w:after="0"/>
              <w:jc w:val="left"/>
            </w:pPr>
            <w:r>
              <w:rPr>
                <w:b/>
                <w:bCs/>
                <w:color w:val="FFFFFF"/>
                <w:sz w:val="18"/>
                <w:szCs w:val="18"/>
              </w:rPr>
              <w:t xml:space="preserve">Stocks left</w:t>
            </w:r>
          </w:p>
        </w:tc>
      </w:tr>
      <w:tr>
        <w:tc>
          <w:tcPr>
            <w:tcW w:type="dxa" w:w="424"/>
            <w:tcMar>
              <w:top w:type="dxa" w:w="60"/>
              <w:left w:type="dxa" w:w="90"/>
              <w:bottom w:type="dxa" w:w="60"/>
              <w:right w:type="dxa" w:w="90"/>
            </w:tcMar>
          </w:tcPr>
          <w:p>
            <w:pPr>
              <w:spacing w:after="0"/>
              <w:jc w:val="left"/>
            </w:pPr>
          </w:p>
        </w:tc>
        <w:tc>
          <w:tcPr>
            <w:tcW w:type="dxa" w:w="3813"/>
            <w:tcMar>
              <w:top w:type="dxa" w:w="60"/>
              <w:left w:type="dxa" w:w="90"/>
              <w:bottom w:type="dxa" w:w="60"/>
              <w:right w:type="dxa" w:w="90"/>
            </w:tcMar>
          </w:tcPr>
          <w:p>
            <w:pPr>
              <w:spacing w:after="0"/>
              <w:jc w:val="left"/>
            </w:pPr>
            <w:r>
              <w:rPr>
                <w:b w:val="false"/>
                <w:bCs w:val="false"/>
                <w:sz w:val="18"/>
                <w:szCs w:val="18"/>
              </w:rPr>
              <w:t xml:space="preserve">Universe</w:t>
            </w:r>
          </w:p>
        </w:tc>
        <w:tc>
          <w:tcPr>
            <w:tcW w:type="dxa" w:w="4236"/>
            <w:tcMar>
              <w:top w:type="dxa" w:w="60"/>
              <w:left w:type="dxa" w:w="90"/>
              <w:bottom w:type="dxa" w:w="60"/>
              <w:right w:type="dxa" w:w="90"/>
            </w:tcMar>
          </w:tcPr>
          <w:p>
            <w:pPr>
              <w:spacing w:after="0"/>
              <w:jc w:val="left"/>
            </w:pPr>
            <w:r>
              <w:rPr>
                <w:b w:val="false"/>
                <w:bCs w:val="false"/>
                <w:sz w:val="18"/>
                <w:szCs w:val="18"/>
              </w:rPr>
              <w:t xml:space="preserve">Theme and quality floor (Section 3)</w:t>
            </w:r>
          </w:p>
        </w:tc>
        <w:tc>
          <w:tcPr>
            <w:tcW w:type="dxa" w:w="1165"/>
            <w:tcMar>
              <w:top w:type="dxa" w:w="60"/>
              <w:left w:type="dxa" w:w="90"/>
              <w:bottom w:type="dxa" w:w="60"/>
              <w:right w:type="dxa" w:w="90"/>
            </w:tcMar>
          </w:tcPr>
          <w:p>
            <w:pPr>
              <w:spacing w:after="0"/>
              <w:jc w:val="right"/>
            </w:pPr>
            <w:r>
              <w:rPr>
                <w:b w:val="false"/>
                <w:bCs w:val="false"/>
                <w:sz w:val="18"/>
                <w:szCs w:val="18"/>
              </w:rPr>
              <w:t xml:space="preserve">157</w:t>
            </w:r>
          </w:p>
        </w:tc>
      </w:tr>
      <w:tr>
        <w:tc>
          <w:tcPr>
            <w:tcW w:type="dxa" w:w="424"/>
            <w:shd w:fill="F2F2F2" w:color="auto" w:val="clear"/>
            <w:tcMar>
              <w:top w:type="dxa" w:w="60"/>
              <w:left w:type="dxa" w:w="90"/>
              <w:bottom w:type="dxa" w:w="60"/>
              <w:right w:type="dxa" w:w="90"/>
            </w:tcMar>
          </w:tcPr>
          <w:p>
            <w:pPr>
              <w:spacing w:after="0"/>
              <w:jc w:val="left"/>
            </w:pPr>
            <w:r>
              <w:rPr>
                <w:b w:val="false"/>
                <w:bCs w:val="false"/>
                <w:sz w:val="18"/>
                <w:szCs w:val="18"/>
              </w:rPr>
              <w:t xml:space="preserve">1</w:t>
            </w:r>
          </w:p>
        </w:tc>
        <w:tc>
          <w:tcPr>
            <w:tcW w:type="dxa" w:w="3813"/>
            <w:shd w:fill="F2F2F2" w:color="auto" w:val="clear"/>
            <w:tcMar>
              <w:top w:type="dxa" w:w="60"/>
              <w:left w:type="dxa" w:w="90"/>
              <w:bottom w:type="dxa" w:w="60"/>
              <w:right w:type="dxa" w:w="90"/>
            </w:tcMar>
          </w:tcPr>
          <w:p>
            <w:pPr>
              <w:spacing w:after="0"/>
              <w:jc w:val="left"/>
            </w:pPr>
            <w:r>
              <w:rPr>
                <w:b w:val="false"/>
                <w:bCs w:val="false"/>
                <w:sz w:val="18"/>
                <w:szCs w:val="18"/>
              </w:rPr>
              <w:t xml:space="preserve">HARD fundamentals: pledged shares &lt; 15%, debt/equity &lt; 1.5 (Cement, Capital Goods), interest cover &gt; 1.5 (Power), market cap ≥ ₹5,000 cr</w:t>
            </w:r>
          </w:p>
        </w:tc>
        <w:tc>
          <w:tcPr>
            <w:tcW w:type="dxa" w:w="4236"/>
            <w:shd w:fill="F2F2F2" w:color="auto" w:val="clear"/>
            <w:tcMar>
              <w:top w:type="dxa" w:w="60"/>
              <w:left w:type="dxa" w:w="90"/>
              <w:bottom w:type="dxa" w:w="60"/>
              <w:right w:type="dxa" w:w="90"/>
            </w:tcMar>
          </w:tcPr>
          <w:p>
            <w:pPr>
              <w:spacing w:after="0"/>
              <w:jc w:val="left"/>
            </w:pPr>
            <w:r>
              <w:rPr>
                <w:b w:val="false"/>
                <w:bCs w:val="false"/>
                <w:sz w:val="18"/>
                <w:szCs w:val="18"/>
              </w:rPr>
              <w:t xml:space="preserve">These can turn one bad quarter into a crash; never waived. 12 fail on pledge, 7 on interest cover, 2 on debt.</w:t>
            </w:r>
          </w:p>
        </w:tc>
        <w:tc>
          <w:tcPr>
            <w:tcW w:type="dxa" w:w="1165"/>
            <w:shd w:fill="F2F2F2" w:color="auto" w:val="clear"/>
            <w:tcMar>
              <w:top w:type="dxa" w:w="60"/>
              <w:left w:type="dxa" w:w="90"/>
              <w:bottom w:type="dxa" w:w="60"/>
              <w:right w:type="dxa" w:w="90"/>
            </w:tcMar>
          </w:tcPr>
          <w:p>
            <w:pPr>
              <w:spacing w:after="0"/>
              <w:jc w:val="right"/>
            </w:pPr>
            <w:r>
              <w:rPr>
                <w:b w:val="false"/>
                <w:bCs w:val="false"/>
                <w:sz w:val="18"/>
                <w:szCs w:val="18"/>
              </w:rPr>
              <w:t xml:space="preserve">138</w:t>
            </w:r>
          </w:p>
        </w:tc>
      </w:tr>
      <w:tr>
        <w:tc>
          <w:tcPr>
            <w:tcW w:type="dxa" w:w="424"/>
            <w:tcMar>
              <w:top w:type="dxa" w:w="60"/>
              <w:left w:type="dxa" w:w="90"/>
              <w:bottom w:type="dxa" w:w="60"/>
              <w:right w:type="dxa" w:w="90"/>
            </w:tcMar>
          </w:tcPr>
          <w:p>
            <w:pPr>
              <w:spacing w:after="0"/>
              <w:jc w:val="left"/>
            </w:pPr>
            <w:r>
              <w:rPr>
                <w:b w:val="false"/>
                <w:bCs w:val="false"/>
                <w:sz w:val="18"/>
                <w:szCs w:val="18"/>
              </w:rPr>
              <w:t xml:space="preserve">2</w:t>
            </w:r>
          </w:p>
        </w:tc>
        <w:tc>
          <w:tcPr>
            <w:tcW w:type="dxa" w:w="3813"/>
            <w:tcMar>
              <w:top w:type="dxa" w:w="60"/>
              <w:left w:type="dxa" w:w="90"/>
              <w:bottom w:type="dxa" w:w="60"/>
              <w:right w:type="dxa" w:w="90"/>
            </w:tcMar>
          </w:tcPr>
          <w:p>
            <w:pPr>
              <w:spacing w:after="0"/>
              <w:jc w:val="left"/>
            </w:pPr>
            <w:r>
              <w:rPr>
                <w:b w:val="false"/>
                <w:bCs w:val="false"/>
                <w:sz w:val="18"/>
                <w:szCs w:val="18"/>
              </w:rPr>
              <w:t xml:space="preserve">At least one year (240 sessions) of prices</w:t>
            </w:r>
          </w:p>
        </w:tc>
        <w:tc>
          <w:tcPr>
            <w:tcW w:type="dxa" w:w="4236"/>
            <w:tcMar>
              <w:top w:type="dxa" w:w="60"/>
              <w:left w:type="dxa" w:w="90"/>
              <w:bottom w:type="dxa" w:w="60"/>
              <w:right w:type="dxa" w:w="90"/>
            </w:tcMar>
          </w:tcPr>
          <w:p>
            <w:pPr>
              <w:spacing w:after="0"/>
              <w:jc w:val="left"/>
            </w:pPr>
            <w:r>
              <w:rPr>
                <w:b w:val="false"/>
                <w:bCs w:val="false"/>
                <w:sz w:val="18"/>
                <w:szCs w:val="18"/>
              </w:rPr>
              <w:t xml:space="preserve">6-month ranking and the risk model need a full year; a recent IPO's short history is not comparable.</w:t>
            </w:r>
          </w:p>
        </w:tc>
        <w:tc>
          <w:tcPr>
            <w:tcW w:type="dxa" w:w="1165"/>
            <w:tcMar>
              <w:top w:type="dxa" w:w="60"/>
              <w:left w:type="dxa" w:w="90"/>
              <w:bottom w:type="dxa" w:w="60"/>
              <w:right w:type="dxa" w:w="90"/>
            </w:tcMar>
          </w:tcPr>
          <w:p>
            <w:pPr>
              <w:spacing w:after="0"/>
              <w:jc w:val="right"/>
            </w:pPr>
            <w:r>
              <w:rPr>
                <w:b w:val="false"/>
                <w:bCs w:val="false"/>
                <w:sz w:val="18"/>
                <w:szCs w:val="18"/>
              </w:rPr>
              <w:t xml:space="preserve">128</w:t>
            </w:r>
          </w:p>
        </w:tc>
      </w:tr>
      <w:tr>
        <w:tc>
          <w:tcPr>
            <w:tcW w:type="dxa" w:w="424"/>
            <w:shd w:fill="F2F2F2" w:color="auto" w:val="clear"/>
            <w:tcMar>
              <w:top w:type="dxa" w:w="60"/>
              <w:left w:type="dxa" w:w="90"/>
              <w:bottom w:type="dxa" w:w="60"/>
              <w:right w:type="dxa" w:w="90"/>
            </w:tcMar>
          </w:tcPr>
          <w:p>
            <w:pPr>
              <w:spacing w:after="0"/>
              <w:jc w:val="left"/>
            </w:pPr>
            <w:r>
              <w:rPr>
                <w:b w:val="false"/>
                <w:bCs w:val="false"/>
                <w:sz w:val="18"/>
                <w:szCs w:val="18"/>
              </w:rPr>
              <w:t xml:space="preserve">3</w:t>
            </w:r>
          </w:p>
        </w:tc>
        <w:tc>
          <w:tcPr>
            <w:tcW w:type="dxa" w:w="3813"/>
            <w:shd w:fill="F2F2F2" w:color="auto" w:val="clear"/>
            <w:tcMar>
              <w:top w:type="dxa" w:w="60"/>
              <w:left w:type="dxa" w:w="90"/>
              <w:bottom w:type="dxa" w:w="60"/>
              <w:right w:type="dxa" w:w="90"/>
            </w:tcMar>
          </w:tcPr>
          <w:p>
            <w:pPr>
              <w:spacing w:after="0"/>
              <w:jc w:val="left"/>
            </w:pPr>
            <w:r>
              <w:rPr>
                <w:b w:val="false"/>
                <w:bCs w:val="false"/>
                <w:sz w:val="18"/>
                <w:szCs w:val="18"/>
              </w:rPr>
              <w:t xml:space="preserve">Bullish trend with a real DI gap (+DI − −DI ≥ 2)</w:t>
            </w:r>
          </w:p>
        </w:tc>
        <w:tc>
          <w:tcPr>
            <w:tcW w:type="dxa" w:w="4236"/>
            <w:shd w:fill="F2F2F2" w:color="auto" w:val="clear"/>
            <w:tcMar>
              <w:top w:type="dxa" w:w="60"/>
              <w:left w:type="dxa" w:w="90"/>
              <w:bottom w:type="dxa" w:w="60"/>
              <w:right w:type="dxa" w:w="90"/>
            </w:tcMar>
          </w:tcPr>
          <w:p>
            <w:pPr>
              <w:spacing w:after="0"/>
              <w:jc w:val="left"/>
            </w:pPr>
            <w:r>
              <w:rPr>
                <w:b w:val="false"/>
                <w:bCs w:val="false"/>
                <w:sz w:val="18"/>
                <w:szCs w:val="18"/>
              </w:rPr>
              <w:t xml:space="preserve">Only buy stocks whose price trend is up now (ADX/DI, one of the four indicators).</w:t>
            </w:r>
          </w:p>
        </w:tc>
        <w:tc>
          <w:tcPr>
            <w:tcW w:type="dxa" w:w="1165"/>
            <w:shd w:fill="F2F2F2" w:color="auto" w:val="clear"/>
            <w:tcMar>
              <w:top w:type="dxa" w:w="60"/>
              <w:left w:type="dxa" w:w="90"/>
              <w:bottom w:type="dxa" w:w="60"/>
              <w:right w:type="dxa" w:w="90"/>
            </w:tcMar>
          </w:tcPr>
          <w:p>
            <w:pPr>
              <w:spacing w:after="0"/>
              <w:jc w:val="right"/>
            </w:pPr>
            <w:r>
              <w:rPr>
                <w:b w:val="false"/>
                <w:bCs w:val="false"/>
                <w:sz w:val="18"/>
                <w:szCs w:val="18"/>
              </w:rPr>
              <w:t xml:space="preserve">52</w:t>
            </w:r>
          </w:p>
        </w:tc>
      </w:tr>
      <w:tr>
        <w:tc>
          <w:tcPr>
            <w:tcW w:type="dxa" w:w="424"/>
            <w:tcMar>
              <w:top w:type="dxa" w:w="60"/>
              <w:left w:type="dxa" w:w="90"/>
              <w:bottom w:type="dxa" w:w="60"/>
              <w:right w:type="dxa" w:w="90"/>
            </w:tcMar>
          </w:tcPr>
          <w:p>
            <w:pPr>
              <w:spacing w:after="0"/>
              <w:jc w:val="left"/>
            </w:pPr>
            <w:r>
              <w:rPr>
                <w:b w:val="false"/>
                <w:bCs w:val="false"/>
                <w:sz w:val="18"/>
                <w:szCs w:val="18"/>
              </w:rPr>
              <w:t xml:space="preserve">4</w:t>
            </w:r>
          </w:p>
        </w:tc>
        <w:tc>
          <w:tcPr>
            <w:tcW w:type="dxa" w:w="3813"/>
            <w:tcMar>
              <w:top w:type="dxa" w:w="60"/>
              <w:left w:type="dxa" w:w="90"/>
              <w:bottom w:type="dxa" w:w="60"/>
              <w:right w:type="dxa" w:w="90"/>
            </w:tcMar>
          </w:tcPr>
          <w:p>
            <w:pPr>
              <w:spacing w:after="0"/>
              <w:jc w:val="left"/>
            </w:pPr>
            <w:r>
              <w:rPr>
                <w:b w:val="false"/>
                <w:bCs w:val="false"/>
                <w:sz w:val="18"/>
                <w:szCs w:val="18"/>
              </w:rPr>
              <w:t xml:space="preserve">Tradable: median daily traded value ≥ ₹5 cr (63 sessions)</w:t>
            </w:r>
          </w:p>
        </w:tc>
        <w:tc>
          <w:tcPr>
            <w:tcW w:type="dxa" w:w="4236"/>
            <w:tcMar>
              <w:top w:type="dxa" w:w="60"/>
              <w:left w:type="dxa" w:w="90"/>
              <w:bottom w:type="dxa" w:w="60"/>
              <w:right w:type="dxa" w:w="90"/>
            </w:tcMar>
          </w:tcPr>
          <w:p>
            <w:pPr>
              <w:spacing w:after="0"/>
              <w:jc w:val="left"/>
            </w:pPr>
            <w:r>
              <w:rPr>
                <w:b w:val="false"/>
                <w:bCs w:val="false"/>
                <w:sz w:val="18"/>
                <w:szCs w:val="18"/>
              </w:rPr>
              <w:t xml:space="preserve">Largest position ~₹14.6 L is under 3% of a normal day; safe to exit on a stop.</w:t>
            </w:r>
          </w:p>
        </w:tc>
        <w:tc>
          <w:tcPr>
            <w:tcW w:type="dxa" w:w="1165"/>
            <w:tcMar>
              <w:top w:type="dxa" w:w="60"/>
              <w:left w:type="dxa" w:w="90"/>
              <w:bottom w:type="dxa" w:w="60"/>
              <w:right w:type="dxa" w:w="90"/>
            </w:tcMar>
          </w:tcPr>
          <w:p>
            <w:pPr>
              <w:spacing w:after="0"/>
              <w:jc w:val="right"/>
            </w:pPr>
            <w:r>
              <w:rPr>
                <w:b w:val="false"/>
                <w:bCs w:val="false"/>
                <w:sz w:val="18"/>
                <w:szCs w:val="18"/>
              </w:rPr>
              <w:t xml:space="preserve">45</w:t>
            </w:r>
          </w:p>
        </w:tc>
      </w:tr>
      <w:tr>
        <w:tc>
          <w:tcPr>
            <w:tcW w:type="dxa" w:w="424"/>
            <w:shd w:fill="F2F2F2" w:color="auto" w:val="clear"/>
            <w:tcMar>
              <w:top w:type="dxa" w:w="60"/>
              <w:left w:type="dxa" w:w="90"/>
              <w:bottom w:type="dxa" w:w="60"/>
              <w:right w:type="dxa" w:w="90"/>
            </w:tcMar>
          </w:tcPr>
          <w:p>
            <w:pPr>
              <w:spacing w:after="0"/>
              <w:jc w:val="left"/>
            </w:pPr>
            <w:r>
              <w:rPr>
                <w:b w:val="false"/>
                <w:bCs w:val="false"/>
                <w:sz w:val="18"/>
                <w:szCs w:val="18"/>
              </w:rPr>
              <w:t xml:space="preserve">5</w:t>
            </w:r>
          </w:p>
        </w:tc>
        <w:tc>
          <w:tcPr>
            <w:tcW w:type="dxa" w:w="3813"/>
            <w:shd w:fill="F2F2F2" w:color="auto" w:val="clear"/>
            <w:tcMar>
              <w:top w:type="dxa" w:w="60"/>
              <w:left w:type="dxa" w:w="90"/>
              <w:bottom w:type="dxa" w:w="60"/>
              <w:right w:type="dxa" w:w="90"/>
            </w:tcMar>
          </w:tcPr>
          <w:p>
            <w:pPr>
              <w:spacing w:after="0"/>
              <w:jc w:val="left"/>
            </w:pPr>
            <w:r>
              <w:rPr>
                <w:b w:val="false"/>
                <w:bCs w:val="false"/>
                <w:sz w:val="18"/>
                <w:szCs w:val="18"/>
              </w:rPr>
              <w:t xml:space="preserve">Real profit that grew: latest-quarter net profit &gt; 0 AND up year on year</w:t>
            </w:r>
          </w:p>
        </w:tc>
        <w:tc>
          <w:tcPr>
            <w:tcW w:type="dxa" w:w="4236"/>
            <w:shd w:fill="F2F2F2" w:color="auto" w:val="clear"/>
            <w:tcMar>
              <w:top w:type="dxa" w:w="60"/>
              <w:left w:type="dxa" w:w="90"/>
              <w:bottom w:type="dxa" w:w="60"/>
              <w:right w:type="dxa" w:w="90"/>
            </w:tcMar>
          </w:tcPr>
          <w:p>
            <w:pPr>
              <w:spacing w:after="0"/>
              <w:jc w:val="left"/>
            </w:pPr>
            <w:r>
              <w:rPr>
                <w:b w:val="false"/>
                <w:bCs w:val="false"/>
                <w:sz w:val="18"/>
                <w:szCs w:val="18"/>
              </w:rPr>
              <w:t xml:space="preserve">Results fall inside our window (26-Oct to 12-Nov). A loss that narrowed is not growth (the BEML bug).</w:t>
            </w:r>
          </w:p>
        </w:tc>
        <w:tc>
          <w:tcPr>
            <w:tcW w:type="dxa" w:w="1165"/>
            <w:shd w:fill="F2F2F2" w:color="auto" w:val="clear"/>
            <w:tcMar>
              <w:top w:type="dxa" w:w="60"/>
              <w:left w:type="dxa" w:w="90"/>
              <w:bottom w:type="dxa" w:w="60"/>
              <w:right w:type="dxa" w:w="90"/>
            </w:tcMar>
          </w:tcPr>
          <w:p>
            <w:pPr>
              <w:spacing w:after="0"/>
              <w:jc w:val="right"/>
            </w:pPr>
            <w:r>
              <w:rPr>
                <w:b w:val="false"/>
                <w:bCs w:val="false"/>
                <w:sz w:val="18"/>
                <w:szCs w:val="18"/>
              </w:rPr>
              <w:t xml:space="preserve">34</w:t>
            </w:r>
          </w:p>
        </w:tc>
      </w:tr>
      <w:tr>
        <w:tc>
          <w:tcPr>
            <w:tcW w:type="dxa" w:w="424"/>
            <w:tcMar>
              <w:top w:type="dxa" w:w="60"/>
              <w:left w:type="dxa" w:w="90"/>
              <w:bottom w:type="dxa" w:w="60"/>
              <w:right w:type="dxa" w:w="90"/>
            </w:tcMar>
          </w:tcPr>
          <w:p>
            <w:pPr>
              <w:spacing w:after="0"/>
              <w:jc w:val="left"/>
            </w:pPr>
            <w:r>
              <w:rPr>
                <w:b w:val="false"/>
                <w:bCs w:val="false"/>
                <w:sz w:val="18"/>
                <w:szCs w:val="18"/>
              </w:rPr>
              <w:t xml:space="preserve">6</w:t>
            </w:r>
          </w:p>
        </w:tc>
        <w:tc>
          <w:tcPr>
            <w:tcW w:type="dxa" w:w="3813"/>
            <w:tcMar>
              <w:top w:type="dxa" w:w="60"/>
              <w:left w:type="dxa" w:w="90"/>
              <w:bottom w:type="dxa" w:w="60"/>
              <w:right w:type="dxa" w:w="90"/>
            </w:tcMar>
          </w:tcPr>
          <w:p>
            <w:pPr>
              <w:spacing w:after="0"/>
              <w:jc w:val="left"/>
            </w:pPr>
            <w:r>
              <w:rPr>
                <w:b w:val="false"/>
                <w:bCs w:val="false"/>
                <w:sz w:val="18"/>
                <w:szCs w:val="18"/>
              </w:rPr>
              <w:t xml:space="preserve">Rank by 6-month RS vs Nifty 500, skipping the latest month</w:t>
            </w:r>
          </w:p>
        </w:tc>
        <w:tc>
          <w:tcPr>
            <w:tcW w:type="dxa" w:w="4236"/>
            <w:tcMar>
              <w:top w:type="dxa" w:w="60"/>
              <w:left w:type="dxa" w:w="90"/>
              <w:bottom w:type="dxa" w:w="60"/>
              <w:right w:type="dxa" w:w="90"/>
            </w:tcMar>
          </w:tcPr>
          <w:p>
            <w:pPr>
              <w:spacing w:after="0"/>
              <w:jc w:val="left"/>
            </w:pPr>
            <w:r>
              <w:rPr>
                <w:b w:val="false"/>
                <w:bCs w:val="false"/>
                <w:sz w:val="18"/>
                <w:szCs w:val="18"/>
              </w:rPr>
              <w:t xml:space="preserve">Classic momentum (Jegadeesh &amp; Titman); skipping a month avoids short-term reversal.</w:t>
            </w:r>
          </w:p>
        </w:tc>
        <w:tc>
          <w:tcPr>
            <w:tcW w:type="dxa" w:w="1165"/>
            <w:tcMar>
              <w:top w:type="dxa" w:w="60"/>
              <w:left w:type="dxa" w:w="90"/>
              <w:bottom w:type="dxa" w:w="60"/>
              <w:right w:type="dxa" w:w="90"/>
            </w:tcMar>
          </w:tcPr>
          <w:p>
            <w:pPr>
              <w:spacing w:after="0"/>
              <w:jc w:val="right"/>
            </w:pPr>
            <w:r>
              <w:rPr>
                <w:b w:val="false"/>
                <w:bCs w:val="false"/>
                <w:sz w:val="18"/>
                <w:szCs w:val="18"/>
              </w:rPr>
              <w:t xml:space="preserve">ranked 1-34</w:t>
            </w:r>
          </w:p>
        </w:tc>
      </w:tr>
      <w:tr>
        <w:tc>
          <w:tcPr>
            <w:tcW w:type="dxa" w:w="424"/>
            <w:shd w:fill="F2F2F2" w:color="auto" w:val="clear"/>
            <w:tcMar>
              <w:top w:type="dxa" w:w="60"/>
              <w:left w:type="dxa" w:w="90"/>
              <w:bottom w:type="dxa" w:w="60"/>
              <w:right w:type="dxa" w:w="90"/>
            </w:tcMar>
          </w:tcPr>
          <w:p>
            <w:pPr>
              <w:spacing w:after="0"/>
              <w:jc w:val="left"/>
            </w:pPr>
            <w:r>
              <w:rPr>
                <w:b w:val="false"/>
                <w:bCs w:val="false"/>
                <w:sz w:val="18"/>
                <w:szCs w:val="18"/>
              </w:rPr>
              <w:t xml:space="preserve">7</w:t>
            </w:r>
          </w:p>
        </w:tc>
        <w:tc>
          <w:tcPr>
            <w:tcW w:type="dxa" w:w="3813"/>
            <w:shd w:fill="F2F2F2" w:color="auto" w:val="clear"/>
            <w:tcMar>
              <w:top w:type="dxa" w:w="60"/>
              <w:left w:type="dxa" w:w="90"/>
              <w:bottom w:type="dxa" w:w="60"/>
              <w:right w:type="dxa" w:w="90"/>
            </w:tcMar>
          </w:tcPr>
          <w:p>
            <w:pPr>
              <w:spacing w:after="0"/>
              <w:jc w:val="left"/>
            </w:pPr>
            <w:r>
              <w:rPr>
                <w:b w:val="false"/>
                <w:bCs w:val="false"/>
                <w:sz w:val="18"/>
                <w:szCs w:val="18"/>
              </w:rPr>
              <w:t xml:space="preserve">Top 15 tracked; top 8 invested; next 7 reserve</w:t>
            </w:r>
          </w:p>
        </w:tc>
        <w:tc>
          <w:tcPr>
            <w:tcW w:type="dxa" w:w="4236"/>
            <w:shd w:fill="F2F2F2" w:color="auto" w:val="clear"/>
            <w:tcMar>
              <w:top w:type="dxa" w:w="60"/>
              <w:left w:type="dxa" w:w="90"/>
              <w:bottom w:type="dxa" w:w="60"/>
              <w:right w:type="dxa" w:w="90"/>
            </w:tcMar>
          </w:tcPr>
          <w:p>
            <w:pPr>
              <w:spacing w:after="0"/>
              <w:jc w:val="left"/>
            </w:pPr>
            <w:r>
              <w:rPr>
                <w:b w:val="false"/>
                <w:bCs w:val="false"/>
                <w:sz w:val="18"/>
                <w:szCs w:val="18"/>
              </w:rPr>
              <w:t xml:space="preserve">Brief: 7-10 invested, ≤15 tracked.</w:t>
            </w:r>
          </w:p>
        </w:tc>
        <w:tc>
          <w:tcPr>
            <w:tcW w:type="dxa" w:w="1165"/>
            <w:shd w:fill="F2F2F2" w:color="auto" w:val="clear"/>
            <w:tcMar>
              <w:top w:type="dxa" w:w="60"/>
              <w:left w:type="dxa" w:w="90"/>
              <w:bottom w:type="dxa" w:w="60"/>
              <w:right w:type="dxa" w:w="90"/>
            </w:tcMar>
          </w:tcPr>
          <w:p>
            <w:pPr>
              <w:spacing w:after="0"/>
              <w:jc w:val="right"/>
            </w:pPr>
            <w:r>
              <w:rPr>
                <w:b w:val="false"/>
                <w:bCs w:val="false"/>
                <w:sz w:val="18"/>
                <w:szCs w:val="18"/>
              </w:rPr>
              <w:t xml:space="preserve">15</w:t>
            </w:r>
          </w:p>
        </w:tc>
      </w:tr>
    </w:tbl>
    <w:p>
      <w:pPr>
        <w:spacing w:after="120"/>
      </w:pPr>
    </w:p>
    <w:p>
      <w:pPr>
        <w:pStyle w:val="Heading2"/>
      </w:pPr>
      <w:r>
        <w:t xml:space="preserve">4.1 Soft criteria (shown, not enforced)</w:t>
      </w:r>
    </w:p>
    <w:p>
      <w:pPr>
        <w:spacing w:after="120" w:line="276"/>
      </w:pPr>
      <w:r>
        <w:t xml:space="preserve">ROCE (&gt; 8%, Power &gt; 6%), OPM (&gt; 8-10%) and last year's operating cash flow (&gt; 0) are </w:t>
      </w:r>
      <w:r>
        <w:rPr>
          <w:b/>
          <w:bCs/>
        </w:rPr>
        <w:t xml:space="preserve">soft</w:t>
      </w:r>
      <w:r>
        <w:t xml:space="preserve">: they describe business quality over years, are already in the price and matter little over 3 months. A holding that fails one is listed as an exception on the dashboard. In the invested 8, only RAMRAT has soft exceptions (OPM 5%; negative operating cash flow from working-capital growth).</w:t>
      </w:r>
    </w:p>
    <w:p>
      <w:pPr>
        <w:pStyle w:val="Heading2"/>
      </w:pPr>
      <w:r>
        <w:t xml:space="preserve">4.2 Why 6-month RS skipping the latest month</w:t>
      </w:r>
    </w:p>
    <w:p>
      <w:pPr>
        <w:spacing w:after="120" w:line="276"/>
      </w:pPr>
      <w:r>
        <w:t xml:space="preserve">It is the textbook medium-term momentum signal (Jegadeesh &amp; Titman 1993): stocks that outperformed over the past 6-12 months tend to keep outperforming for the next 3-12 months, and the most recent month is skipped because very short-term returns tend to reverse. It matches our 3-month horizon, and it uses RS (one of the four required indicators).</w:t>
      </w:r>
    </w:p>
    <w:p>
      <w:pPr>
        <w:spacing w:after="120" w:line="276"/>
      </w:pPr>
      <w:r>
        <w:rPr>
          <w:b/>
          <w:bCs/>
        </w:rPr>
        <w:t xml:space="preserve">How strong is the evidence here?</w:t>
      </w:r>
      <w:r>
        <w:t xml:space="preserve"> Honestly: modest. In our 2021-2026 study it had the best in-sample hit rate (top 8 beat the Nifty 500 on 91% of dates in 2021-23 and 67% in 2024-26, vs base rates of 91% and 53%) and a full-sample t of 2.01, but a weak out-of-sample rank correlation (+0.01). No signal we tested was reliably better (Section 5). We present it as the literature's method, applied consistently, not as a proven edge.</w:t>
      </w:r>
    </w:p>
    <w:p>
      <w:pPr>
        <w:spacing w:after="120" w:line="276"/>
      </w:pPr>
      <w:r>
        <w:rPr>
          <w:b/>
          <w:bCs/>
        </w:rPr>
        <w:t xml:space="preserve">Quintile check (same panel, eligible stocks sorted into fifths each month by rs_126_skip21).</w:t>
      </w:r>
      <w:r>
        <w:t xml:space="preserve"> Mean forward 3-month RS, bottom to top fifth: 2021-23 +6.1, +7.0, +10.3, +9.5, +11.5 pp (top minus bottom +5.4 pp, positive on 66% of dates); 2024-26 +0.8, +0.6, +1.3, −0.2, +2.8 pp (top minus bottom +2.0 pp, positive on 60%). Full sample +3.8 pp, t = 1.9 on 22 non-overlapping quarters. So the top fifth beats the bottom fifth in both periods, but the middle is not monotonic out of sample: the signal separates winners from losers at the extremes more than it ranks the middle.</w:t>
      </w:r>
    </w:p>
    <w:p>
      <w:pPr>
        <w:pStyle w:val="Heading2"/>
      </w:pPr>
      <w:r>
        <w:t xml:space="preserve">4.3 Freezing the list</w:t>
      </w:r>
    </w:p>
    <w:p>
      <w:pPr>
        <w:spacing w:after="120" w:line="276"/>
      </w:pPr>
      <w:r>
        <w:t xml:space="preserve">The ranking changes every day as prices move. The 15 are the rule's output on the 25-Sep close (the last session before the 28-Sep snapshot); that ranking is saved in data/locked/selection_ranking_2026-09-25.csv and config.LOCK_AS_OF. Later refreshes re-rank for monitoring only; the list changes only through the stop-loss replacement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2CC" w:color="auto" w:val="clear"/>
            <w:tcMar>
              <w:top w:type="dxa" w:w="120"/>
              <w:left w:type="dxa" w:w="160"/>
              <w:bottom w:type="dxa" w:w="120"/>
              <w:right w:type="dxa" w:w="160"/>
            </w:tcMar>
          </w:tcPr>
          <w:p>
            <w:pPr>
              <w:spacing w:after="80"/>
            </w:pPr>
            <w:r>
              <w:rPr>
                <w:b/>
                <w:bCs/>
                <w:color w:val="1F3864"/>
              </w:rPr>
              <w:t xml:space="preserve">If asked: 'Why did your list change over the weekend?'</w:t>
            </w:r>
          </w:p>
          <w:p>
            <w:pPr>
              <w:spacing w:after="60" w:line="264"/>
            </w:pPr>
            <w:r>
              <w:t xml:space="preserve">No new prices arrived (the data ends on Friday 25-Sep). The list changed because we finalised the METHOD over the weekend: moved to the Screener universe, enforced one year of history, went to 15 tracked / 8 invested, added the liquidity and profit rules, excluded aerospace/defence castings, fixed the loss-as-growth bug, and dropped the conviction filter after the backtest. Every change has a stated reason that does not depend on which stock it picked. Then we froze it.</w:t>
            </w:r>
          </w:p>
        </w:tc>
      </w:tr>
    </w:tbl>
    <w:p>
      <w:pPr>
        <w:spacing w:after="120"/>
      </w:pPr>
    </w:p>
    <w:p>
      <w:pPr>
        <w:pStyle w:val="Heading1"/>
        <w:pageBreakBefore/>
      </w:pPr>
      <w:r>
        <w:t xml:space="preserve">5. The evidence: what we tested and what we found</w:t>
      </w:r>
    </w:p>
    <w:p>
      <w:pPr>
        <w:spacing w:after="120" w:line="276"/>
      </w:pPr>
      <w:r>
        <w:t xml:space="preserve">All four studies use the same design, written into each script's docstring before its results were seen (this is what 'pre-registered' means here; the weekend rule changes in 4.3 were NOT backtested and are defended by their stated reasons instead): our universe, NSE prices adjusted for splits and bonuses, monthly rebalancing from 2021, the outcome = each stock's return minus the Nifty 500's over the next 63 sessions (3 months), and two periods (2021-23 in-sample, 2024-26 out-of-sample). A rule is adopted only if it beats the baseline in BOTH periods with a t-statistic of at least 2 on non-overlapping quarters. This bar is for CHALLENGERS: a filter or signal must clear it to replace or modify the baseline. The baseline itself (6-month RS skipping a month) is the literature's standard (Jegadeesh &amp; Titman 1993), not something we had to discover; its own statistics here (t ≈ 1.9-2.0) are modest, and we say so. Nothing we tested beat it in both periods, so the simplest rule stays.</w:t>
      </w:r>
    </w:p>
    <w:p>
      <w:pPr>
        <w:pStyle w:val="Heading2"/>
      </w:pPr>
      <w:r>
        <w:t xml:space="preserve">5.1 Momentum study (research/momentum_study.py)</w:t>
      </w:r>
    </w:p>
    <w:p>
      <w:pPr>
        <w:spacing w:after="120" w:line="276"/>
      </w:pPr>
      <w:r>
        <w:t xml:space="preserve">About 20 signals: RS over 21/63/126/189/252 sessions, 6-month skipping 1 month, 52-week high, volatility, risk-adjusted momentum, 200-day MA, delivery %, turnover, sector momentum, ADX, DI gap, RSI, distance from 20-day high. Findings: short-term RS (21 and 63 sessions) has no predictive value; 6-month RS (with or without the skip) is the most consistent; nothing passes a strict reliability test cleanly. Risk-adjusted momentum (RS/volatility) was the only nominal 'YES', but it is fragile: its t-statistic depends on which dates are sampled (2.22, 0.68 or -0.41), its out-of-sample correlation is ~0, and its out-of-sample top 8 beat the average only 15 of 30 times.</w:t>
      </w:r>
    </w:p>
    <w:p>
      <w:pPr>
        <w:pStyle w:val="Heading2"/>
      </w:pPr>
      <w:r>
        <w:t xml:space="preserve">5.2 The RRG conviction filter (research/conviction_study.py)</w:t>
      </w:r>
    </w:p>
    <w:p>
      <w:pPr>
        <w:spacing w:after="120" w:line="276"/>
      </w:pPr>
      <w:r>
        <w:t xml:space="preserve">We used to skip stocks whose momentum was fading in both RRG views. Tested: the filter changed the top 8 on 95% of dates and </w:t>
      </w:r>
      <w:r>
        <w:rPr>
          <w:b/>
          <w:bCs/>
        </w:rPr>
        <w:t xml:space="preserve">trailed</w:t>
      </w:r>
      <w:r>
        <w:t xml:space="preserve"> the plain ranking in both periods (−2.7 pp per quarter in 2021-23, −1.1 pp in 2024-26; t = −0.8). A simpler 'still beating the Nifty over 3 months' filter did not help either. So we dropped it. The RRG is still shown on the dashboard as context.</w:t>
      </w:r>
    </w:p>
    <w:p>
      <w:pPr>
        <w:pStyle w:val="Heading2"/>
      </w:pPr>
      <w:r>
        <w:t xml:space="preserve">5.3 Residual momentum and frog-in-the-pan (research/signal_extensions_study.py)</w:t>
      </w:r>
    </w:p>
    <w:p>
      <w:pPr>
        <w:spacing w:after="120" w:line="276"/>
      </w:pPr>
      <w:r>
        <w:t xml:space="preserve">Residual momentum (Blitz, Huij &amp; Martens 2011: momentum with the market's part removed) trailed our ranking in both periods (−2.5 and −2.0 pp). A frog-in-the-pan filter (Da, Gurun &amp; Warachka 2014: prefer smooth trends) was significantly worse (t = −4.6). In this universe, momentum built from news-driven jumps persisted better than smooth trends.</w:t>
      </w:r>
    </w:p>
    <w:p>
      <w:pPr>
        <w:pStyle w:val="Heading2"/>
      </w:pPr>
      <w:r>
        <w:t xml:space="preserve">5.4 Earnings surprise (research/earnings_study.py)</w:t>
      </w:r>
    </w:p>
    <w:p>
      <w:pPr>
        <w:spacing w:after="120" w:line="276"/>
      </w:pPr>
      <w:r>
        <w:t xml:space="preserve">Analyst estimates are not available point-in-time, so we used the documented substitute: the stock's move vs the Nifty 500 in the two sessions around each results announcement (NSE board-meeting dates since 2020). It predicts in the right direction (rank correlation +0.05 in both periods) but ranking by it, confirming momentum with it, or dropping stocks marked down on results all trailed the plain momentum ranking.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1"/>
        <w:gridCol w:w="2629"/>
        <w:gridCol w:w="2628"/>
      </w:tblGrid>
      <w:tr>
        <w:trPr>
          <w:tblHeader/>
        </w:trPr>
        <w:tc>
          <w:tcPr>
            <w:tcW w:type="dxa" w:w="4381"/>
            <w:shd w:fill="1F3864" w:color="auto" w:val="clear"/>
            <w:tcMar>
              <w:top w:type="dxa" w:w="60"/>
              <w:left w:type="dxa" w:w="90"/>
              <w:bottom w:type="dxa" w:w="60"/>
              <w:right w:type="dxa" w:w="90"/>
            </w:tcMar>
          </w:tcPr>
          <w:p>
            <w:pPr>
              <w:spacing w:after="0"/>
              <w:jc w:val="left"/>
            </w:pPr>
            <w:r>
              <w:rPr>
                <w:b/>
                <w:bCs/>
                <w:color w:val="FFFFFF"/>
                <w:sz w:val="18"/>
                <w:szCs w:val="18"/>
              </w:rPr>
              <w:t xml:space="preserve">Rule (top 8, monthly 2021-26)</w:t>
            </w:r>
          </w:p>
        </w:tc>
        <w:tc>
          <w:tcPr>
            <w:tcW w:type="dxa" w:w="2629"/>
            <w:shd w:fill="1F3864" w:color="auto" w:val="clear"/>
            <w:tcMar>
              <w:top w:type="dxa" w:w="60"/>
              <w:left w:type="dxa" w:w="90"/>
              <w:bottom w:type="dxa" w:w="60"/>
              <w:right w:type="dxa" w:w="90"/>
            </w:tcMar>
          </w:tcPr>
          <w:p>
            <w:pPr>
              <w:spacing w:after="0"/>
              <w:jc w:val="left"/>
            </w:pPr>
            <w:r>
              <w:rPr>
                <w:b/>
                <w:bCs/>
                <w:color w:val="FFFFFF"/>
                <w:sz w:val="18"/>
                <w:szCs w:val="18"/>
              </w:rPr>
              <w:t xml:space="preserve">Next-3-month return vs Nifty 500</w:t>
            </w:r>
          </w:p>
        </w:tc>
        <w:tc>
          <w:tcPr>
            <w:tcW w:type="dxa" w:w="2628"/>
            <w:shd w:fill="1F3864" w:color="auto" w:val="clear"/>
            <w:tcMar>
              <w:top w:type="dxa" w:w="60"/>
              <w:left w:type="dxa" w:w="90"/>
              <w:bottom w:type="dxa" w:w="60"/>
              <w:right w:type="dxa" w:w="90"/>
            </w:tcMar>
          </w:tcPr>
          <w:p>
            <w:pPr>
              <w:spacing w:after="0"/>
              <w:jc w:val="left"/>
            </w:pPr>
            <w:r>
              <w:rPr>
                <w:b/>
                <w:bCs/>
                <w:color w:val="FFFFFF"/>
                <w:sz w:val="18"/>
                <w:szCs w:val="18"/>
              </w:rPr>
              <w:t xml:space="preserve">Verdict</w:t>
            </w:r>
          </w:p>
        </w:tc>
      </w:tr>
      <w:tr>
        <w:tc>
          <w:tcPr>
            <w:tcW w:type="dxa" w:w="4381"/>
            <w:tcMar>
              <w:top w:type="dxa" w:w="60"/>
              <w:left w:type="dxa" w:w="90"/>
              <w:bottom w:type="dxa" w:w="60"/>
              <w:right w:type="dxa" w:w="90"/>
            </w:tcMar>
          </w:tcPr>
          <w:p>
            <w:pPr>
              <w:spacing w:after="0"/>
              <w:jc w:val="left"/>
            </w:pPr>
            <w:r>
              <w:rPr>
                <w:b/>
                <w:bCs/>
                <w:sz w:val="18"/>
                <w:szCs w:val="18"/>
              </w:rPr>
              <w:t xml:space="preserve">Our ranking: 6-month RS, skip 1 month</w:t>
            </w:r>
          </w:p>
        </w:tc>
        <w:tc>
          <w:tcPr>
            <w:tcW w:type="dxa" w:w="2629"/>
            <w:tcMar>
              <w:top w:type="dxa" w:w="60"/>
              <w:left w:type="dxa" w:w="90"/>
              <w:bottom w:type="dxa" w:w="60"/>
              <w:right w:type="dxa" w:w="90"/>
            </w:tcMar>
          </w:tcPr>
          <w:p>
            <w:pPr>
              <w:spacing w:after="0"/>
              <w:jc w:val="left"/>
            </w:pPr>
            <w:r>
              <w:rPr>
                <w:b/>
                <w:bCs/>
                <w:sz w:val="18"/>
                <w:szCs w:val="18"/>
              </w:rPr>
              <w:t xml:space="preserve">+10.0 pp</w:t>
            </w:r>
          </w:p>
        </w:tc>
        <w:tc>
          <w:tcPr>
            <w:tcW w:type="dxa" w:w="2628"/>
            <w:tcMar>
              <w:top w:type="dxa" w:w="60"/>
              <w:left w:type="dxa" w:w="90"/>
              <w:bottom w:type="dxa" w:w="60"/>
              <w:right w:type="dxa" w:w="90"/>
            </w:tcMar>
          </w:tcPr>
          <w:p>
            <w:pPr>
              <w:spacing w:after="0"/>
              <w:jc w:val="left"/>
            </w:pPr>
            <w:r>
              <w:rPr>
                <w:b/>
                <w:bCs/>
                <w:sz w:val="18"/>
                <w:szCs w:val="18"/>
              </w:rPr>
              <w:t xml:space="preserve">Kept</w:t>
            </w:r>
          </w:p>
        </w:tc>
      </w:tr>
      <w:tr>
        <w:tc>
          <w:tcPr>
            <w:tcW w:type="dxa" w:w="4381"/>
            <w:shd w:fill="F2F2F2" w:color="auto" w:val="clear"/>
            <w:tcMar>
              <w:top w:type="dxa" w:w="60"/>
              <w:left w:type="dxa" w:w="90"/>
              <w:bottom w:type="dxa" w:w="60"/>
              <w:right w:type="dxa" w:w="90"/>
            </w:tcMar>
          </w:tcPr>
          <w:p>
            <w:pPr>
              <w:spacing w:after="0"/>
              <w:jc w:val="left"/>
            </w:pPr>
            <w:r>
              <w:rPr>
                <w:b w:val="false"/>
                <w:bCs w:val="false"/>
                <w:sz w:val="18"/>
                <w:szCs w:val="18"/>
              </w:rPr>
              <w:t xml:space="preserve">With the RRG conviction filter</w:t>
            </w:r>
          </w:p>
        </w:tc>
        <w:tc>
          <w:tcPr>
            <w:tcW w:type="dxa" w:w="2629"/>
            <w:shd w:fill="F2F2F2" w:color="auto" w:val="clear"/>
            <w:tcMar>
              <w:top w:type="dxa" w:w="60"/>
              <w:left w:type="dxa" w:w="90"/>
              <w:bottom w:type="dxa" w:w="60"/>
              <w:right w:type="dxa" w:w="90"/>
            </w:tcMar>
          </w:tcPr>
          <w:p>
            <w:pPr>
              <w:spacing w:after="0"/>
              <w:jc w:val="left"/>
            </w:pPr>
            <w:r>
              <w:rPr>
                <w:b w:val="false"/>
                <w:bCs w:val="false"/>
                <w:sz w:val="18"/>
                <w:szCs w:val="18"/>
              </w:rPr>
              <w:t xml:space="preserve">+8.1 pp</w:t>
            </w:r>
          </w:p>
        </w:tc>
        <w:tc>
          <w:tcPr>
            <w:tcW w:type="dxa" w:w="2628"/>
            <w:shd w:fill="F2F2F2" w:color="auto" w:val="clear"/>
            <w:tcMar>
              <w:top w:type="dxa" w:w="60"/>
              <w:left w:type="dxa" w:w="90"/>
              <w:bottom w:type="dxa" w:w="60"/>
              <w:right w:type="dxa" w:w="90"/>
            </w:tcMar>
          </w:tcPr>
          <w:p>
            <w:pPr>
              <w:spacing w:after="0"/>
              <w:jc w:val="left"/>
            </w:pPr>
            <w:r>
              <w:rPr>
                <w:b w:val="false"/>
                <w:bCs w:val="false"/>
                <w:sz w:val="18"/>
                <w:szCs w:val="18"/>
              </w:rPr>
              <w:t xml:space="preserve">Dropped (worse both periods)</w:t>
            </w:r>
          </w:p>
        </w:tc>
      </w:tr>
      <w:tr>
        <w:tc>
          <w:tcPr>
            <w:tcW w:type="dxa" w:w="4381"/>
            <w:tcMar>
              <w:top w:type="dxa" w:w="60"/>
              <w:left w:type="dxa" w:w="90"/>
              <w:bottom w:type="dxa" w:w="60"/>
              <w:right w:type="dxa" w:w="90"/>
            </w:tcMar>
          </w:tcPr>
          <w:p>
            <w:pPr>
              <w:spacing w:after="0"/>
              <w:jc w:val="left"/>
            </w:pPr>
            <w:r>
              <w:rPr>
                <w:b w:val="false"/>
                <w:bCs w:val="false"/>
                <w:sz w:val="18"/>
                <w:szCs w:val="18"/>
              </w:rPr>
              <w:t xml:space="preserve">Residual momentum</w:t>
            </w:r>
          </w:p>
        </w:tc>
        <w:tc>
          <w:tcPr>
            <w:tcW w:type="dxa" w:w="2629"/>
            <w:tcMar>
              <w:top w:type="dxa" w:w="60"/>
              <w:left w:type="dxa" w:w="90"/>
              <w:bottom w:type="dxa" w:w="60"/>
              <w:right w:type="dxa" w:w="90"/>
            </w:tcMar>
          </w:tcPr>
          <w:p>
            <w:pPr>
              <w:spacing w:after="0"/>
              <w:jc w:val="left"/>
            </w:pPr>
            <w:r>
              <w:rPr>
                <w:b w:val="false"/>
                <w:bCs w:val="false"/>
                <w:sz w:val="18"/>
                <w:szCs w:val="18"/>
              </w:rPr>
              <w:t xml:space="preserve">+7.5 pp</w:t>
            </w:r>
          </w:p>
        </w:tc>
        <w:tc>
          <w:tcPr>
            <w:tcW w:type="dxa" w:w="2628"/>
            <w:tcMar>
              <w:top w:type="dxa" w:w="60"/>
              <w:left w:type="dxa" w:w="90"/>
              <w:bottom w:type="dxa" w:w="60"/>
              <w:right w:type="dxa" w:w="90"/>
            </w:tcMar>
          </w:tcPr>
          <w:p>
            <w:pPr>
              <w:spacing w:after="0"/>
              <w:jc w:val="left"/>
            </w:pPr>
            <w:r>
              <w:rPr>
                <w:b w:val="false"/>
                <w:bCs w:val="false"/>
                <w:sz w:val="18"/>
                <w:szCs w:val="18"/>
              </w:rPr>
              <w:t xml:space="preserve">Worse both periods</w:t>
            </w:r>
          </w:p>
        </w:tc>
      </w:tr>
      <w:tr>
        <w:tc>
          <w:tcPr>
            <w:tcW w:type="dxa" w:w="4381"/>
            <w:shd w:fill="F2F2F2" w:color="auto" w:val="clear"/>
            <w:tcMar>
              <w:top w:type="dxa" w:w="60"/>
              <w:left w:type="dxa" w:w="90"/>
              <w:bottom w:type="dxa" w:w="60"/>
              <w:right w:type="dxa" w:w="90"/>
            </w:tcMar>
          </w:tcPr>
          <w:p>
            <w:pPr>
              <w:spacing w:after="0"/>
              <w:jc w:val="left"/>
            </w:pPr>
            <w:r>
              <w:rPr>
                <w:b w:val="false"/>
                <w:bCs w:val="false"/>
                <w:sz w:val="18"/>
                <w:szCs w:val="18"/>
              </w:rPr>
              <w:t xml:space="preserve">Frog-in-the-pan (smooth trends)</w:t>
            </w:r>
          </w:p>
        </w:tc>
        <w:tc>
          <w:tcPr>
            <w:tcW w:type="dxa" w:w="2629"/>
            <w:shd w:fill="F2F2F2" w:color="auto" w:val="clear"/>
            <w:tcMar>
              <w:top w:type="dxa" w:w="60"/>
              <w:left w:type="dxa" w:w="90"/>
              <w:bottom w:type="dxa" w:w="60"/>
              <w:right w:type="dxa" w:w="90"/>
            </w:tcMar>
          </w:tcPr>
          <w:p>
            <w:pPr>
              <w:spacing w:after="0"/>
              <w:jc w:val="left"/>
            </w:pPr>
            <w:r>
              <w:rPr>
                <w:b w:val="false"/>
                <w:bCs w:val="false"/>
                <w:sz w:val="18"/>
                <w:szCs w:val="18"/>
              </w:rPr>
              <w:t xml:space="preserve">+5.4 pp</w:t>
            </w:r>
          </w:p>
        </w:tc>
        <w:tc>
          <w:tcPr>
            <w:tcW w:type="dxa" w:w="2628"/>
            <w:shd w:fill="F2F2F2" w:color="auto" w:val="clear"/>
            <w:tcMar>
              <w:top w:type="dxa" w:w="60"/>
              <w:left w:type="dxa" w:w="90"/>
              <w:bottom w:type="dxa" w:w="60"/>
              <w:right w:type="dxa" w:w="90"/>
            </w:tcMar>
          </w:tcPr>
          <w:p>
            <w:pPr>
              <w:spacing w:after="0"/>
              <w:jc w:val="left"/>
            </w:pPr>
            <w:r>
              <w:rPr>
                <w:b w:val="false"/>
                <w:bCs w:val="false"/>
                <w:sz w:val="18"/>
                <w:szCs w:val="18"/>
              </w:rPr>
              <w:t xml:space="preserve">Significantly worse</w:t>
            </w:r>
          </w:p>
        </w:tc>
      </w:tr>
      <w:tr>
        <w:tc>
          <w:tcPr>
            <w:tcW w:type="dxa" w:w="4381"/>
            <w:tcMar>
              <w:top w:type="dxa" w:w="60"/>
              <w:left w:type="dxa" w:w="90"/>
              <w:bottom w:type="dxa" w:w="60"/>
              <w:right w:type="dxa" w:w="90"/>
            </w:tcMar>
          </w:tcPr>
          <w:p>
            <w:pPr>
              <w:spacing w:after="0"/>
              <w:jc w:val="left"/>
            </w:pPr>
            <w:r>
              <w:rPr>
                <w:b w:val="false"/>
                <w:bCs w:val="false"/>
                <w:sz w:val="18"/>
                <w:szCs w:val="18"/>
              </w:rPr>
              <w:t xml:space="preserve">Earnings announcement return</w:t>
            </w:r>
          </w:p>
        </w:tc>
        <w:tc>
          <w:tcPr>
            <w:tcW w:type="dxa" w:w="2629"/>
            <w:tcMar>
              <w:top w:type="dxa" w:w="60"/>
              <w:left w:type="dxa" w:w="90"/>
              <w:bottom w:type="dxa" w:w="60"/>
              <w:right w:type="dxa" w:w="90"/>
            </w:tcMar>
          </w:tcPr>
          <w:p>
            <w:pPr>
              <w:spacing w:after="0"/>
              <w:jc w:val="left"/>
            </w:pPr>
            <w:r>
              <w:rPr>
                <w:b w:val="false"/>
                <w:bCs w:val="false"/>
                <w:sz w:val="18"/>
                <w:szCs w:val="18"/>
              </w:rPr>
              <w:t xml:space="preserve">+6.8 pp</w:t>
            </w:r>
          </w:p>
        </w:tc>
        <w:tc>
          <w:tcPr>
            <w:tcW w:type="dxa" w:w="2628"/>
            <w:tcMar>
              <w:top w:type="dxa" w:w="60"/>
              <w:left w:type="dxa" w:w="90"/>
              <w:bottom w:type="dxa" w:w="60"/>
              <w:right w:type="dxa" w:w="90"/>
            </w:tcMar>
          </w:tcPr>
          <w:p>
            <w:pPr>
              <w:spacing w:after="0"/>
              <w:jc w:val="left"/>
            </w:pPr>
            <w:r>
              <w:rPr>
                <w:b w:val="false"/>
                <w:bCs w:val="false"/>
                <w:sz w:val="18"/>
                <w:szCs w:val="18"/>
              </w:rPr>
              <w:t xml:space="preserve">Worse both periods</w:t>
            </w:r>
          </w:p>
        </w:tc>
      </w:tr>
      <w:tr>
        <w:tc>
          <w:tcPr>
            <w:tcW w:type="dxa" w:w="4381"/>
            <w:shd w:fill="F2F2F2" w:color="auto" w:val="clear"/>
            <w:tcMar>
              <w:top w:type="dxa" w:w="60"/>
              <w:left w:type="dxa" w:w="90"/>
              <w:bottom w:type="dxa" w:w="60"/>
              <w:right w:type="dxa" w:w="90"/>
            </w:tcMar>
          </w:tcPr>
          <w:p>
            <w:pPr>
              <w:spacing w:after="0"/>
              <w:jc w:val="left"/>
            </w:pPr>
            <w:r>
              <w:rPr>
                <w:b w:val="false"/>
                <w:bCs w:val="false"/>
                <w:sz w:val="18"/>
                <w:szCs w:val="18"/>
              </w:rPr>
              <w:t xml:space="preserve">Momentum, drop negative results reactions</w:t>
            </w:r>
          </w:p>
        </w:tc>
        <w:tc>
          <w:tcPr>
            <w:tcW w:type="dxa" w:w="2629"/>
            <w:shd w:fill="F2F2F2" w:color="auto" w:val="clear"/>
            <w:tcMar>
              <w:top w:type="dxa" w:w="60"/>
              <w:left w:type="dxa" w:w="90"/>
              <w:bottom w:type="dxa" w:w="60"/>
              <w:right w:type="dxa" w:w="90"/>
            </w:tcMar>
          </w:tcPr>
          <w:p>
            <w:pPr>
              <w:spacing w:after="0"/>
              <w:jc w:val="left"/>
            </w:pPr>
            <w:r>
              <w:rPr>
                <w:b w:val="false"/>
                <w:bCs w:val="false"/>
                <w:sz w:val="18"/>
                <w:szCs w:val="18"/>
              </w:rPr>
              <w:t xml:space="preserve">+8.5 pp</w:t>
            </w:r>
          </w:p>
        </w:tc>
        <w:tc>
          <w:tcPr>
            <w:tcW w:type="dxa" w:w="2628"/>
            <w:shd w:fill="F2F2F2" w:color="auto" w:val="clear"/>
            <w:tcMar>
              <w:top w:type="dxa" w:w="60"/>
              <w:left w:type="dxa" w:w="90"/>
              <w:bottom w:type="dxa" w:w="60"/>
              <w:right w:type="dxa" w:w="90"/>
            </w:tcMar>
          </w:tcPr>
          <w:p>
            <w:pPr>
              <w:spacing w:after="0"/>
              <w:jc w:val="left"/>
            </w:pPr>
            <w:r>
              <w:rPr>
                <w:b w:val="false"/>
                <w:bCs w:val="false"/>
                <w:sz w:val="18"/>
                <w:szCs w:val="18"/>
              </w:rPr>
              <w:t xml:space="preserve">Worse in 2021-23, equal in 2024-26</w:t>
            </w:r>
          </w:p>
        </w:tc>
      </w:tr>
    </w:tbl>
    <w:p>
      <w:pPr>
        <w:spacing w:after="120"/>
      </w:pPr>
    </w:p>
    <w:p>
      <w:pPr>
        <w:pStyle w:val="Heading2"/>
      </w:pPr>
      <w:r>
        <w:t xml:space="preserve">5.5 Limitations you must be ready to state</w:t>
      </w:r>
    </w:p>
    <w:p>
      <w:pPr>
        <w:pStyle w:val="ListParagraph"/>
        <w:numPr>
          <w:ilvl w:val="0"/>
          <w:numId w:val="2"/>
        </w:numPr>
        <w:spacing w:after="60" w:line="264"/>
      </w:pPr>
      <w:r>
        <w:rPr>
          <w:b/>
          <w:bCs/>
        </w:rPr>
        <w:t xml:space="preserve">Survivorship bias:</w:t>
      </w:r>
      <w:r>
        <w:t xml:space="preserve"> the studies use today's universe, so stocks that disappeared since 2020 are missing; absolute returns are flattered, comparisons between rules less so.</w:t>
      </w:r>
    </w:p>
    <w:p>
      <w:pPr>
        <w:pStyle w:val="ListParagraph"/>
        <w:numPr>
          <w:ilvl w:val="0"/>
          <w:numId w:val="2"/>
        </w:numPr>
        <w:spacing w:after="60" w:line="264"/>
      </w:pPr>
      <w:r>
        <w:rPr>
          <w:b/>
          <w:bCs/>
        </w:rPr>
        <w:t xml:space="preserve">Small sample:</w:t>
      </w:r>
      <w:r>
        <w:t xml:space="preserve"> ~65 monthly dates ≈ 22 independent quarters; modest differences cannot be told apart from noise.</w:t>
      </w:r>
    </w:p>
    <w:p>
      <w:pPr>
        <w:pStyle w:val="ListParagraph"/>
        <w:numPr>
          <w:ilvl w:val="0"/>
          <w:numId w:val="2"/>
        </w:numPr>
        <w:spacing w:after="60" w:line="264"/>
      </w:pPr>
      <w:r>
        <w:rPr>
          <w:b/>
          <w:bCs/>
        </w:rPr>
        <w:t xml:space="preserve">Technical rules only:</w:t>
      </w:r>
      <w:r>
        <w:t xml:space="preserve"> fundamentals, liquidity and profit rules were not applied historically (no point-in-time accounts data).</w:t>
      </w:r>
    </w:p>
    <w:p>
      <w:pPr>
        <w:pStyle w:val="ListParagraph"/>
        <w:numPr>
          <w:ilvl w:val="0"/>
          <w:numId w:val="2"/>
        </w:numPr>
        <w:spacing w:after="60" w:line="264"/>
      </w:pPr>
      <w:r>
        <w:rPr>
          <w:b/>
          <w:bCs/>
        </w:rPr>
        <w:t xml:space="preserve">No transaction costs</w:t>
      </w:r>
      <w:r>
        <w:t xml:space="preserve"> in the studies; our rule trades rarely (buy once, replace only on stops), so costs are small in practice.</w:t>
      </w:r>
    </w:p>
    <w:p>
      <w:pPr>
        <w:pStyle w:val="Heading1"/>
        <w:pageBreakBefore/>
      </w:pPr>
      <w:r>
        <w:t xml:space="preserve">6. The 15 stocks: one dossier each</w:t>
      </w:r>
    </w:p>
    <w:p>
      <w:pPr>
        <w:spacing w:after="120" w:line="276"/>
      </w:pPr>
      <w:r>
        <w:t xml:space="preserve">Each dossier gives the business and theme fit, the numbers that got it selected, the risks the professor may raise, and the answer. Figures: 6-month RS = return minus Nifty 500 over 23-Mar to 26-Aug-2026; 3-month RS = last 63 sessions; profit = latest quarter vs a year earlier; stop and weight from the risk model; results date = September-quarter board meeting (estimate unless announced).</w:t>
      </w:r>
    </w:p>
    <w:p>
      <w:pPr>
        <w:pStyle w:val="Heading2"/>
      </w:pPr>
      <w:r>
        <w:t xml:space="preserve">6.1 Summary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7"/>
        <w:gridCol w:w="668"/>
        <w:gridCol w:w="859"/>
        <w:gridCol w:w="859"/>
        <w:gridCol w:w="954"/>
        <w:gridCol w:w="1050"/>
        <w:gridCol w:w="668"/>
        <w:gridCol w:w="859"/>
        <w:gridCol w:w="859"/>
        <w:gridCol w:w="668"/>
        <w:gridCol w:w="667"/>
      </w:tblGrid>
      <w:tr>
        <w:trPr>
          <w:tblHeader/>
        </w:trPr>
        <w:tc>
          <w:tcPr>
            <w:tcW w:type="dxa" w:w="1527"/>
            <w:shd w:fill="1F3864" w:color="auto" w:val="clear"/>
            <w:tcMar>
              <w:top w:type="dxa" w:w="60"/>
              <w:left w:type="dxa" w:w="90"/>
              <w:bottom w:type="dxa" w:w="60"/>
              <w:right w:type="dxa" w:w="90"/>
            </w:tcMar>
          </w:tcPr>
          <w:p>
            <w:pPr>
              <w:spacing w:after="0"/>
              <w:jc w:val="left"/>
            </w:pPr>
            <w:r>
              <w:rPr>
                <w:b/>
                <w:bCs/>
                <w:color w:val="FFFFFF"/>
                <w:sz w:val="18"/>
                <w:szCs w:val="18"/>
              </w:rPr>
              <w:t xml:space="preserve">Stock</w:t>
            </w:r>
          </w:p>
        </w:tc>
        <w:tc>
          <w:tcPr>
            <w:tcW w:type="dxa" w:w="668"/>
            <w:shd w:fill="1F3864" w:color="auto" w:val="clear"/>
            <w:tcMar>
              <w:top w:type="dxa" w:w="60"/>
              <w:left w:type="dxa" w:w="90"/>
              <w:bottom w:type="dxa" w:w="60"/>
              <w:right w:type="dxa" w:w="90"/>
            </w:tcMar>
          </w:tcPr>
          <w:p>
            <w:pPr>
              <w:spacing w:after="0"/>
              <w:jc w:val="left"/>
            </w:pPr>
            <w:r>
              <w:rPr>
                <w:b/>
                <w:bCs/>
                <w:color w:val="FFFFFF"/>
                <w:sz w:val="18"/>
                <w:szCs w:val="18"/>
              </w:rPr>
              <w:t xml:space="preserve">Rank</w:t>
            </w:r>
          </w:p>
        </w:tc>
        <w:tc>
          <w:tcPr>
            <w:tcW w:type="dxa" w:w="859"/>
            <w:shd w:fill="1F3864" w:color="auto" w:val="clear"/>
            <w:tcMar>
              <w:top w:type="dxa" w:w="60"/>
              <w:left w:type="dxa" w:w="90"/>
              <w:bottom w:type="dxa" w:w="60"/>
              <w:right w:type="dxa" w:w="90"/>
            </w:tcMar>
          </w:tcPr>
          <w:p>
            <w:pPr>
              <w:spacing w:after="0"/>
              <w:jc w:val="left"/>
            </w:pPr>
            <w:r>
              <w:rPr>
                <w:b/>
                <w:bCs/>
                <w:color w:val="FFFFFF"/>
                <w:sz w:val="18"/>
                <w:szCs w:val="18"/>
              </w:rPr>
              <w:t xml:space="preserve">6m RS</w:t>
            </w:r>
          </w:p>
        </w:tc>
        <w:tc>
          <w:tcPr>
            <w:tcW w:type="dxa" w:w="859"/>
            <w:shd w:fill="1F3864" w:color="auto" w:val="clear"/>
            <w:tcMar>
              <w:top w:type="dxa" w:w="60"/>
              <w:left w:type="dxa" w:w="90"/>
              <w:bottom w:type="dxa" w:w="60"/>
              <w:right w:type="dxa" w:w="90"/>
            </w:tcMar>
          </w:tcPr>
          <w:p>
            <w:pPr>
              <w:spacing w:after="0"/>
              <w:jc w:val="left"/>
            </w:pPr>
            <w:r>
              <w:rPr>
                <w:b/>
                <w:bCs/>
                <w:color w:val="FFFFFF"/>
                <w:sz w:val="18"/>
                <w:szCs w:val="18"/>
              </w:rPr>
              <w:t xml:space="preserve">3m RS</w:t>
            </w:r>
          </w:p>
        </w:tc>
        <w:tc>
          <w:tcPr>
            <w:tcW w:type="dxa" w:w="954"/>
            <w:shd w:fill="1F3864" w:color="auto" w:val="clear"/>
            <w:tcMar>
              <w:top w:type="dxa" w:w="60"/>
              <w:left w:type="dxa" w:w="90"/>
              <w:bottom w:type="dxa" w:w="60"/>
              <w:right w:type="dxa" w:w="90"/>
            </w:tcMar>
          </w:tcPr>
          <w:p>
            <w:pPr>
              <w:spacing w:after="0"/>
              <w:jc w:val="left"/>
            </w:pPr>
            <w:r>
              <w:rPr>
                <w:b/>
                <w:bCs/>
                <w:color w:val="FFFFFF"/>
                <w:sz w:val="18"/>
                <w:szCs w:val="18"/>
              </w:rPr>
              <w:t xml:space="preserve">Profit YoY</w:t>
            </w:r>
          </w:p>
        </w:tc>
        <w:tc>
          <w:tcPr>
            <w:tcW w:type="dxa" w:w="1050"/>
            <w:shd w:fill="1F3864" w:color="auto" w:val="clear"/>
            <w:tcMar>
              <w:top w:type="dxa" w:w="60"/>
              <w:left w:type="dxa" w:w="90"/>
              <w:bottom w:type="dxa" w:w="60"/>
              <w:right w:type="dxa" w:w="90"/>
            </w:tcMar>
          </w:tcPr>
          <w:p>
            <w:pPr>
              <w:spacing w:after="0"/>
              <w:jc w:val="left"/>
            </w:pPr>
            <w:r>
              <w:rPr>
                <w:b/>
                <w:bCs/>
                <w:color w:val="FFFFFF"/>
                <w:sz w:val="18"/>
                <w:szCs w:val="18"/>
              </w:rPr>
              <w:t xml:space="preserve">Turnover ₹cr/d</w:t>
            </w:r>
          </w:p>
        </w:tc>
        <w:tc>
          <w:tcPr>
            <w:tcW w:type="dxa" w:w="668"/>
            <w:shd w:fill="1F3864" w:color="auto" w:val="clear"/>
            <w:tcMar>
              <w:top w:type="dxa" w:w="60"/>
              <w:left w:type="dxa" w:w="90"/>
              <w:bottom w:type="dxa" w:w="60"/>
              <w:right w:type="dxa" w:w="90"/>
            </w:tcMar>
          </w:tcPr>
          <w:p>
            <w:pPr>
              <w:spacing w:after="0"/>
              <w:jc w:val="left"/>
            </w:pPr>
            <w:r>
              <w:rPr>
                <w:b/>
                <w:bCs/>
                <w:color w:val="FFFFFF"/>
                <w:sz w:val="18"/>
                <w:szCs w:val="18"/>
              </w:rPr>
              <w:t xml:space="preserve">P/E</w:t>
            </w:r>
          </w:p>
        </w:tc>
        <w:tc>
          <w:tcPr>
            <w:tcW w:type="dxa" w:w="859"/>
            <w:shd w:fill="1F3864" w:color="auto" w:val="clear"/>
            <w:tcMar>
              <w:top w:type="dxa" w:w="60"/>
              <w:left w:type="dxa" w:w="90"/>
              <w:bottom w:type="dxa" w:w="60"/>
              <w:right w:type="dxa" w:w="90"/>
            </w:tcMar>
          </w:tcPr>
          <w:p>
            <w:pPr>
              <w:spacing w:after="0"/>
              <w:jc w:val="left"/>
            </w:pPr>
            <w:r>
              <w:rPr>
                <w:b/>
                <w:bCs/>
                <w:color w:val="FFFFFF"/>
                <w:sz w:val="18"/>
                <w:szCs w:val="18"/>
              </w:rPr>
              <w:t xml:space="preserve">Weight</w:t>
            </w:r>
          </w:p>
        </w:tc>
        <w:tc>
          <w:tcPr>
            <w:tcW w:type="dxa" w:w="859"/>
            <w:shd w:fill="1F3864" w:color="auto" w:val="clear"/>
            <w:tcMar>
              <w:top w:type="dxa" w:w="60"/>
              <w:left w:type="dxa" w:w="90"/>
              <w:bottom w:type="dxa" w:w="60"/>
              <w:right w:type="dxa" w:w="90"/>
            </w:tcMar>
          </w:tcPr>
          <w:p>
            <w:pPr>
              <w:spacing w:after="0"/>
              <w:jc w:val="left"/>
            </w:pPr>
            <w:r>
              <w:rPr>
                <w:b/>
                <w:bCs/>
                <w:color w:val="FFFFFF"/>
                <w:sz w:val="18"/>
                <w:szCs w:val="18"/>
              </w:rPr>
              <w:t xml:space="preserve">Stop below</w:t>
            </w:r>
          </w:p>
        </w:tc>
        <w:tc>
          <w:tcPr>
            <w:tcW w:type="dxa" w:w="668"/>
            <w:shd w:fill="1F3864" w:color="auto" w:val="clear"/>
            <w:tcMar>
              <w:top w:type="dxa" w:w="60"/>
              <w:left w:type="dxa" w:w="90"/>
              <w:bottom w:type="dxa" w:w="60"/>
              <w:right w:type="dxa" w:w="90"/>
            </w:tcMar>
          </w:tcPr>
          <w:p>
            <w:pPr>
              <w:spacing w:after="0"/>
              <w:jc w:val="left"/>
            </w:pPr>
            <w:r>
              <w:rPr>
                <w:b/>
                <w:bCs/>
                <w:color w:val="FFFFFF"/>
                <w:sz w:val="18"/>
                <w:szCs w:val="18"/>
              </w:rPr>
              <w:t xml:space="preserve">Vol</w:t>
            </w:r>
          </w:p>
        </w:tc>
        <w:tc>
          <w:tcPr>
            <w:tcW w:type="dxa" w:w="667"/>
            <w:shd w:fill="1F3864" w:color="auto" w:val="clear"/>
            <w:tcMar>
              <w:top w:type="dxa" w:w="60"/>
              <w:left w:type="dxa" w:w="90"/>
              <w:bottom w:type="dxa" w:w="60"/>
              <w:right w:type="dxa" w:w="90"/>
            </w:tcMar>
          </w:tcPr>
          <w:p>
            <w:pPr>
              <w:spacing w:after="0"/>
              <w:jc w:val="left"/>
            </w:pPr>
            <w:r>
              <w:rPr>
                <w:b/>
                <w:bCs/>
                <w:color w:val="FFFFFF"/>
                <w:sz w:val="18"/>
                <w:szCs w:val="18"/>
              </w:rPr>
              <w:t xml:space="preserve">Beta</w:t>
            </w:r>
          </w:p>
        </w:tc>
      </w:tr>
      <w:tr>
        <w:tc>
          <w:tcPr>
            <w:tcW w:type="dxa" w:w="1527"/>
            <w:tcMar>
              <w:top w:type="dxa" w:w="60"/>
              <w:left w:type="dxa" w:w="90"/>
              <w:bottom w:type="dxa" w:w="60"/>
              <w:right w:type="dxa" w:w="90"/>
            </w:tcMar>
          </w:tcPr>
          <w:p>
            <w:pPr>
              <w:spacing w:after="0"/>
              <w:jc w:val="left"/>
            </w:pPr>
            <w:r>
              <w:rPr>
                <w:b w:val="false"/>
                <w:bCs w:val="false"/>
                <w:sz w:val="18"/>
                <w:szCs w:val="18"/>
              </w:rPr>
              <w:t xml:space="preserve">WELCORP</w:t>
            </w:r>
          </w:p>
        </w:tc>
        <w:tc>
          <w:tcPr>
            <w:tcW w:type="dxa" w:w="668"/>
            <w:tcMar>
              <w:top w:type="dxa" w:w="60"/>
              <w:left w:type="dxa" w:w="90"/>
              <w:bottom w:type="dxa" w:w="60"/>
              <w:right w:type="dxa" w:w="90"/>
            </w:tcMar>
          </w:tcPr>
          <w:p>
            <w:pPr>
              <w:spacing w:after="0"/>
              <w:jc w:val="right"/>
            </w:pPr>
            <w:r>
              <w:rPr>
                <w:b w:val="false"/>
                <w:bCs w:val="false"/>
                <w:sz w:val="18"/>
                <w:szCs w:val="18"/>
              </w:rPr>
              <w:t xml:space="preserve">1</w:t>
            </w:r>
          </w:p>
        </w:tc>
        <w:tc>
          <w:tcPr>
            <w:tcW w:type="dxa" w:w="859"/>
            <w:tcMar>
              <w:top w:type="dxa" w:w="60"/>
              <w:left w:type="dxa" w:w="90"/>
              <w:bottom w:type="dxa" w:w="60"/>
              <w:right w:type="dxa" w:w="90"/>
            </w:tcMar>
          </w:tcPr>
          <w:p>
            <w:pPr>
              <w:spacing w:after="0"/>
              <w:jc w:val="right"/>
            </w:pPr>
            <w:r>
              <w:rPr>
                <w:b w:val="false"/>
                <w:bCs w:val="false"/>
                <w:sz w:val="18"/>
                <w:szCs w:val="18"/>
              </w:rPr>
              <w:t xml:space="preserve">+185%</w:t>
            </w:r>
          </w:p>
        </w:tc>
        <w:tc>
          <w:tcPr>
            <w:tcW w:type="dxa" w:w="859"/>
            <w:tcMar>
              <w:top w:type="dxa" w:w="60"/>
              <w:left w:type="dxa" w:w="90"/>
              <w:bottom w:type="dxa" w:w="60"/>
              <w:right w:type="dxa" w:w="90"/>
            </w:tcMar>
          </w:tcPr>
          <w:p>
            <w:pPr>
              <w:spacing w:after="0"/>
              <w:jc w:val="right"/>
            </w:pPr>
            <w:r>
              <w:rPr>
                <w:b w:val="false"/>
                <w:bCs w:val="false"/>
                <w:sz w:val="18"/>
                <w:szCs w:val="18"/>
              </w:rPr>
              <w:t xml:space="preserve">+89%</w:t>
            </w:r>
          </w:p>
        </w:tc>
        <w:tc>
          <w:tcPr>
            <w:tcW w:type="dxa" w:w="954"/>
            <w:tcMar>
              <w:top w:type="dxa" w:w="60"/>
              <w:left w:type="dxa" w:w="90"/>
              <w:bottom w:type="dxa" w:w="60"/>
              <w:right w:type="dxa" w:w="90"/>
            </w:tcMar>
          </w:tcPr>
          <w:p>
            <w:pPr>
              <w:spacing w:after="0"/>
              <w:jc w:val="right"/>
            </w:pPr>
            <w:r>
              <w:rPr>
                <w:b w:val="false"/>
                <w:bCs w:val="false"/>
                <w:sz w:val="18"/>
                <w:szCs w:val="18"/>
              </w:rPr>
              <w:t xml:space="preserve">+199%</w:t>
            </w:r>
          </w:p>
        </w:tc>
        <w:tc>
          <w:tcPr>
            <w:tcW w:type="dxa" w:w="1050"/>
            <w:tcMar>
              <w:top w:type="dxa" w:w="60"/>
              <w:left w:type="dxa" w:w="90"/>
              <w:bottom w:type="dxa" w:w="60"/>
              <w:right w:type="dxa" w:w="90"/>
            </w:tcMar>
          </w:tcPr>
          <w:p>
            <w:pPr>
              <w:spacing w:after="0"/>
              <w:jc w:val="right"/>
            </w:pPr>
            <w:r>
              <w:rPr>
                <w:b w:val="false"/>
                <w:bCs w:val="false"/>
                <w:sz w:val="18"/>
                <w:szCs w:val="18"/>
              </w:rPr>
              <w:t xml:space="preserve">219</w:t>
            </w:r>
          </w:p>
        </w:tc>
        <w:tc>
          <w:tcPr>
            <w:tcW w:type="dxa" w:w="668"/>
            <w:tcMar>
              <w:top w:type="dxa" w:w="60"/>
              <w:left w:type="dxa" w:w="90"/>
              <w:bottom w:type="dxa" w:w="60"/>
              <w:right w:type="dxa" w:w="90"/>
            </w:tcMar>
          </w:tcPr>
          <w:p>
            <w:pPr>
              <w:spacing w:after="0"/>
              <w:jc w:val="right"/>
            </w:pPr>
            <w:r>
              <w:rPr>
                <w:b w:val="false"/>
                <w:bCs w:val="false"/>
                <w:sz w:val="18"/>
                <w:szCs w:val="18"/>
              </w:rPr>
              <w:t xml:space="preserve">32</w:t>
            </w:r>
          </w:p>
        </w:tc>
        <w:tc>
          <w:tcPr>
            <w:tcW w:type="dxa" w:w="859"/>
            <w:tcMar>
              <w:top w:type="dxa" w:w="60"/>
              <w:left w:type="dxa" w:w="90"/>
              <w:bottom w:type="dxa" w:w="60"/>
              <w:right w:type="dxa" w:w="90"/>
            </w:tcMar>
          </w:tcPr>
          <w:p>
            <w:pPr>
              <w:spacing w:after="0"/>
              <w:jc w:val="right"/>
            </w:pPr>
            <w:r>
              <w:rPr>
                <w:b w:val="false"/>
                <w:bCs w:val="false"/>
                <w:sz w:val="18"/>
                <w:szCs w:val="18"/>
              </w:rPr>
              <w:t xml:space="preserve">13.8%</w:t>
            </w:r>
          </w:p>
        </w:tc>
        <w:tc>
          <w:tcPr>
            <w:tcW w:type="dxa" w:w="859"/>
            <w:tcMar>
              <w:top w:type="dxa" w:w="60"/>
              <w:left w:type="dxa" w:w="90"/>
              <w:bottom w:type="dxa" w:w="60"/>
              <w:right w:type="dxa" w:w="90"/>
            </w:tcMar>
          </w:tcPr>
          <w:p>
            <w:pPr>
              <w:spacing w:after="0"/>
              <w:jc w:val="right"/>
            </w:pPr>
            <w:r>
              <w:rPr>
                <w:b w:val="false"/>
                <w:bCs w:val="false"/>
                <w:sz w:val="18"/>
                <w:szCs w:val="18"/>
              </w:rPr>
              <w:t xml:space="preserve">13.9%</w:t>
            </w:r>
          </w:p>
        </w:tc>
        <w:tc>
          <w:tcPr>
            <w:tcW w:type="dxa" w:w="668"/>
            <w:tcMar>
              <w:top w:type="dxa" w:w="60"/>
              <w:left w:type="dxa" w:w="90"/>
              <w:bottom w:type="dxa" w:w="60"/>
              <w:right w:type="dxa" w:w="90"/>
            </w:tcMar>
          </w:tcPr>
          <w:p>
            <w:pPr>
              <w:spacing w:after="0"/>
              <w:jc w:val="right"/>
            </w:pPr>
            <w:r>
              <w:rPr>
                <w:b w:val="false"/>
                <w:bCs w:val="false"/>
                <w:sz w:val="18"/>
                <w:szCs w:val="18"/>
              </w:rPr>
              <w:t xml:space="preserve">43%</w:t>
            </w:r>
          </w:p>
        </w:tc>
        <w:tc>
          <w:tcPr>
            <w:tcW w:type="dxa" w:w="667"/>
            <w:tcMar>
              <w:top w:type="dxa" w:w="60"/>
              <w:left w:type="dxa" w:w="90"/>
              <w:bottom w:type="dxa" w:w="60"/>
              <w:right w:type="dxa" w:w="90"/>
            </w:tcMar>
          </w:tcPr>
          <w:p>
            <w:pPr>
              <w:spacing w:after="0"/>
              <w:jc w:val="right"/>
            </w:pPr>
            <w:r>
              <w:rPr>
                <w:b w:val="false"/>
                <w:bCs w:val="false"/>
                <w:sz w:val="18"/>
                <w:szCs w:val="18"/>
              </w:rPr>
              <w:t xml:space="preserve">1.25</w:t>
            </w:r>
          </w:p>
        </w:tc>
      </w:tr>
      <w:tr>
        <w:tc>
          <w:tcPr>
            <w:tcW w:type="dxa" w:w="1527"/>
            <w:shd w:fill="F2F2F2" w:color="auto" w:val="clear"/>
            <w:tcMar>
              <w:top w:type="dxa" w:w="60"/>
              <w:left w:type="dxa" w:w="90"/>
              <w:bottom w:type="dxa" w:w="60"/>
              <w:right w:type="dxa" w:w="90"/>
            </w:tcMar>
          </w:tcPr>
          <w:p>
            <w:pPr>
              <w:spacing w:after="0"/>
              <w:jc w:val="left"/>
            </w:pPr>
            <w:r>
              <w:rPr>
                <w:b w:val="false"/>
                <w:bCs w:val="false"/>
                <w:sz w:val="18"/>
                <w:szCs w:val="18"/>
              </w:rPr>
              <w:t xml:space="preserve">RPEL</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2</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+180%</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+48%</w:t>
            </w:r>
          </w:p>
        </w:tc>
        <w:tc>
          <w:tcPr>
            <w:tcW w:type="dxa" w:w="954"/>
            <w:shd w:fill="F2F2F2" w:color="auto" w:val="clear"/>
            <w:tcMar>
              <w:top w:type="dxa" w:w="60"/>
              <w:left w:type="dxa" w:w="90"/>
              <w:bottom w:type="dxa" w:w="60"/>
              <w:right w:type="dxa" w:w="90"/>
            </w:tcMar>
          </w:tcPr>
          <w:p>
            <w:pPr>
              <w:spacing w:after="0"/>
              <w:jc w:val="right"/>
            </w:pPr>
            <w:r>
              <w:rPr>
                <w:b w:val="false"/>
                <w:bCs w:val="false"/>
                <w:sz w:val="18"/>
                <w:szCs w:val="18"/>
              </w:rPr>
              <w:t xml:space="preserve">+68%</w:t>
            </w:r>
          </w:p>
        </w:tc>
        <w:tc>
          <w:tcPr>
            <w:tcW w:type="dxa" w:w="1050"/>
            <w:shd w:fill="F2F2F2" w:color="auto" w:val="clear"/>
            <w:tcMar>
              <w:top w:type="dxa" w:w="60"/>
              <w:left w:type="dxa" w:w="90"/>
              <w:bottom w:type="dxa" w:w="60"/>
              <w:right w:type="dxa" w:w="90"/>
            </w:tcMar>
          </w:tcPr>
          <w:p>
            <w:pPr>
              <w:spacing w:after="0"/>
              <w:jc w:val="right"/>
            </w:pPr>
            <w:r>
              <w:rPr>
                <w:b w:val="false"/>
                <w:bCs w:val="false"/>
                <w:sz w:val="18"/>
                <w:szCs w:val="18"/>
              </w:rPr>
              <w:t xml:space="preserve">11</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125</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11.2%</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17.2%</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667"/>
            <w:shd w:fill="F2F2F2" w:color="auto" w:val="clear"/>
            <w:tcMar>
              <w:top w:type="dxa" w:w="60"/>
              <w:left w:type="dxa" w:w="90"/>
              <w:bottom w:type="dxa" w:w="60"/>
              <w:right w:type="dxa" w:w="90"/>
            </w:tcMar>
          </w:tcPr>
          <w:p>
            <w:pPr>
              <w:spacing w:after="0"/>
              <w:jc w:val="right"/>
            </w:pPr>
            <w:r>
              <w:rPr>
                <w:b w:val="false"/>
                <w:bCs w:val="false"/>
                <w:sz w:val="18"/>
                <w:szCs w:val="18"/>
              </w:rPr>
              <w:t xml:space="preserve">1.68</w:t>
            </w:r>
          </w:p>
        </w:tc>
      </w:tr>
      <w:tr>
        <w:tc>
          <w:tcPr>
            <w:tcW w:type="dxa" w:w="1527"/>
            <w:tcMar>
              <w:top w:type="dxa" w:w="60"/>
              <w:left w:type="dxa" w:w="90"/>
              <w:bottom w:type="dxa" w:w="60"/>
              <w:right w:type="dxa" w:w="90"/>
            </w:tcMar>
          </w:tcPr>
          <w:p>
            <w:pPr>
              <w:spacing w:after="0"/>
              <w:jc w:val="left"/>
            </w:pPr>
            <w:r>
              <w:rPr>
                <w:b w:val="false"/>
                <w:bCs w:val="false"/>
                <w:sz w:val="18"/>
                <w:szCs w:val="18"/>
              </w:rPr>
              <w:t xml:space="preserve">SBCL</w:t>
            </w:r>
          </w:p>
        </w:tc>
        <w:tc>
          <w:tcPr>
            <w:tcW w:type="dxa" w:w="668"/>
            <w:tcMar>
              <w:top w:type="dxa" w:w="60"/>
              <w:left w:type="dxa" w:w="90"/>
              <w:bottom w:type="dxa" w:w="60"/>
              <w:right w:type="dxa" w:w="90"/>
            </w:tcMar>
          </w:tcPr>
          <w:p>
            <w:pPr>
              <w:spacing w:after="0"/>
              <w:jc w:val="right"/>
            </w:pPr>
            <w:r>
              <w:rPr>
                <w:b w:val="false"/>
                <w:bCs w:val="false"/>
                <w:sz w:val="18"/>
                <w:szCs w:val="18"/>
              </w:rPr>
              <w:t xml:space="preserve">3</w:t>
            </w:r>
          </w:p>
        </w:tc>
        <w:tc>
          <w:tcPr>
            <w:tcW w:type="dxa" w:w="859"/>
            <w:tcMar>
              <w:top w:type="dxa" w:w="60"/>
              <w:left w:type="dxa" w:w="90"/>
              <w:bottom w:type="dxa" w:w="60"/>
              <w:right w:type="dxa" w:w="90"/>
            </w:tcMar>
          </w:tcPr>
          <w:p>
            <w:pPr>
              <w:spacing w:after="0"/>
              <w:jc w:val="right"/>
            </w:pPr>
            <w:r>
              <w:rPr>
                <w:b w:val="false"/>
                <w:bCs w:val="false"/>
                <w:sz w:val="18"/>
                <w:szCs w:val="18"/>
              </w:rPr>
              <w:t xml:space="preserve">+152%</w:t>
            </w:r>
          </w:p>
        </w:tc>
        <w:tc>
          <w:tcPr>
            <w:tcW w:type="dxa" w:w="859"/>
            <w:tcMar>
              <w:top w:type="dxa" w:w="60"/>
              <w:left w:type="dxa" w:w="90"/>
              <w:bottom w:type="dxa" w:w="60"/>
              <w:right w:type="dxa" w:w="90"/>
            </w:tcMar>
          </w:tcPr>
          <w:p>
            <w:pPr>
              <w:spacing w:after="0"/>
              <w:jc w:val="right"/>
            </w:pPr>
            <w:r>
              <w:rPr>
                <w:b w:val="false"/>
                <w:bCs w:val="false"/>
                <w:sz w:val="18"/>
                <w:szCs w:val="18"/>
              </w:rPr>
              <w:t xml:space="preserve">+56%</w:t>
            </w:r>
          </w:p>
        </w:tc>
        <w:tc>
          <w:tcPr>
            <w:tcW w:type="dxa" w:w="954"/>
            <w:tcMar>
              <w:top w:type="dxa" w:w="60"/>
              <w:left w:type="dxa" w:w="90"/>
              <w:bottom w:type="dxa" w:w="60"/>
              <w:right w:type="dxa" w:w="90"/>
            </w:tcMar>
          </w:tcPr>
          <w:p>
            <w:pPr>
              <w:spacing w:after="0"/>
              <w:jc w:val="right"/>
            </w:pPr>
            <w:r>
              <w:rPr>
                <w:b w:val="false"/>
                <w:bCs w:val="false"/>
                <w:sz w:val="18"/>
                <w:szCs w:val="18"/>
              </w:rPr>
              <w:t xml:space="preserve">+44%</w:t>
            </w:r>
          </w:p>
        </w:tc>
        <w:tc>
          <w:tcPr>
            <w:tcW w:type="dxa" w:w="1050"/>
            <w:tcMar>
              <w:top w:type="dxa" w:w="60"/>
              <w:left w:type="dxa" w:w="90"/>
              <w:bottom w:type="dxa" w:w="60"/>
              <w:right w:type="dxa" w:w="90"/>
            </w:tcMar>
          </w:tcPr>
          <w:p>
            <w:pPr>
              <w:spacing w:after="0"/>
              <w:jc w:val="right"/>
            </w:pPr>
            <w:r>
              <w:rPr>
                <w:b w:val="false"/>
                <w:bCs w:val="false"/>
                <w:sz w:val="18"/>
                <w:szCs w:val="18"/>
              </w:rPr>
              <w:t xml:space="preserve">28</w:t>
            </w:r>
          </w:p>
        </w:tc>
        <w:tc>
          <w:tcPr>
            <w:tcW w:type="dxa" w:w="668"/>
            <w:tcMar>
              <w:top w:type="dxa" w:w="60"/>
              <w:left w:type="dxa" w:w="90"/>
              <w:bottom w:type="dxa" w:w="60"/>
              <w:right w:type="dxa" w:w="90"/>
            </w:tcMar>
          </w:tcPr>
          <w:p>
            <w:pPr>
              <w:spacing w:after="0"/>
              <w:jc w:val="right"/>
            </w:pPr>
            <w:r>
              <w:rPr>
                <w:b w:val="false"/>
                <w:bCs w:val="false"/>
                <w:sz w:val="18"/>
                <w:szCs w:val="18"/>
              </w:rPr>
              <w:t xml:space="preserve">62</w:t>
            </w:r>
          </w:p>
        </w:tc>
        <w:tc>
          <w:tcPr>
            <w:tcW w:type="dxa" w:w="859"/>
            <w:tcMar>
              <w:top w:type="dxa" w:w="60"/>
              <w:left w:type="dxa" w:w="90"/>
              <w:bottom w:type="dxa" w:w="60"/>
              <w:right w:type="dxa" w:w="90"/>
            </w:tcMar>
          </w:tcPr>
          <w:p>
            <w:pPr>
              <w:spacing w:after="0"/>
              <w:jc w:val="right"/>
            </w:pPr>
            <w:r>
              <w:rPr>
                <w:b w:val="false"/>
                <w:bCs w:val="false"/>
                <w:sz w:val="18"/>
                <w:szCs w:val="18"/>
              </w:rPr>
              <w:t xml:space="preserve">12.7%</w:t>
            </w:r>
          </w:p>
        </w:tc>
        <w:tc>
          <w:tcPr>
            <w:tcW w:type="dxa" w:w="859"/>
            <w:tcMar>
              <w:top w:type="dxa" w:w="60"/>
              <w:left w:type="dxa" w:w="90"/>
              <w:bottom w:type="dxa" w:w="60"/>
              <w:right w:type="dxa" w:w="90"/>
            </w:tcMar>
          </w:tcPr>
          <w:p>
            <w:pPr>
              <w:spacing w:after="0"/>
              <w:jc w:val="right"/>
            </w:pPr>
            <w:r>
              <w:rPr>
                <w:b w:val="false"/>
                <w:bCs w:val="false"/>
                <w:sz w:val="18"/>
                <w:szCs w:val="18"/>
              </w:rPr>
              <w:t xml:space="preserve">15.4%</w:t>
            </w:r>
          </w:p>
        </w:tc>
        <w:tc>
          <w:tcPr>
            <w:tcW w:type="dxa" w:w="668"/>
            <w:tcMar>
              <w:top w:type="dxa" w:w="60"/>
              <w:left w:type="dxa" w:w="90"/>
              <w:bottom w:type="dxa" w:w="60"/>
              <w:right w:type="dxa" w:w="90"/>
            </w:tcMar>
          </w:tcPr>
          <w:p>
            <w:pPr>
              <w:spacing w:after="0"/>
              <w:jc w:val="right"/>
            </w:pPr>
            <w:r>
              <w:rPr>
                <w:b w:val="false"/>
                <w:bCs w:val="false"/>
                <w:sz w:val="18"/>
                <w:szCs w:val="18"/>
              </w:rPr>
              <w:t xml:space="preserve">56%</w:t>
            </w:r>
          </w:p>
        </w:tc>
        <w:tc>
          <w:tcPr>
            <w:tcW w:type="dxa" w:w="667"/>
            <w:tcMar>
              <w:top w:type="dxa" w:w="60"/>
              <w:left w:type="dxa" w:w="90"/>
              <w:bottom w:type="dxa" w:w="60"/>
              <w:right w:type="dxa" w:w="90"/>
            </w:tcMar>
          </w:tcPr>
          <w:p>
            <w:pPr>
              <w:spacing w:after="0"/>
              <w:jc w:val="right"/>
            </w:pPr>
            <w:r>
              <w:rPr>
                <w:b w:val="false"/>
                <w:bCs w:val="false"/>
                <w:sz w:val="18"/>
                <w:szCs w:val="18"/>
              </w:rPr>
              <w:t xml:space="preserve">1.43</w:t>
            </w:r>
          </w:p>
        </w:tc>
      </w:tr>
      <w:tr>
        <w:tc>
          <w:tcPr>
            <w:tcW w:type="dxa" w:w="1527"/>
            <w:shd w:fill="F2F2F2" w:color="auto" w:val="clear"/>
            <w:tcMar>
              <w:top w:type="dxa" w:w="60"/>
              <w:left w:type="dxa" w:w="90"/>
              <w:bottom w:type="dxa" w:w="60"/>
              <w:right w:type="dxa" w:w="90"/>
            </w:tcMar>
          </w:tcPr>
          <w:p>
            <w:pPr>
              <w:spacing w:after="0"/>
              <w:jc w:val="left"/>
            </w:pPr>
            <w:r>
              <w:rPr>
                <w:b w:val="false"/>
                <w:bCs w:val="false"/>
                <w:sz w:val="18"/>
                <w:szCs w:val="18"/>
              </w:rPr>
              <w:t xml:space="preserve">AEROFLEX</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4</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+126%</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+14%</w:t>
            </w:r>
          </w:p>
        </w:tc>
        <w:tc>
          <w:tcPr>
            <w:tcW w:type="dxa" w:w="954"/>
            <w:shd w:fill="F2F2F2" w:color="auto" w:val="clear"/>
            <w:tcMar>
              <w:top w:type="dxa" w:w="60"/>
              <w:left w:type="dxa" w:w="90"/>
              <w:bottom w:type="dxa" w:w="60"/>
              <w:right w:type="dxa" w:w="90"/>
            </w:tcMar>
          </w:tcPr>
          <w:p>
            <w:pPr>
              <w:spacing w:after="0"/>
              <w:jc w:val="right"/>
            </w:pPr>
            <w:r>
              <w:rPr>
                <w:b w:val="false"/>
                <w:bCs w:val="false"/>
                <w:sz w:val="18"/>
                <w:szCs w:val="18"/>
              </w:rPr>
              <w:t xml:space="preserve">+162%</w:t>
            </w:r>
          </w:p>
        </w:tc>
        <w:tc>
          <w:tcPr>
            <w:tcW w:type="dxa" w:w="1050"/>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104</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9.2%</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15.4%</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60%</w:t>
            </w:r>
          </w:p>
        </w:tc>
        <w:tc>
          <w:tcPr>
            <w:tcW w:type="dxa" w:w="667"/>
            <w:shd w:fill="F2F2F2" w:color="auto" w:val="clear"/>
            <w:tcMar>
              <w:top w:type="dxa" w:w="60"/>
              <w:left w:type="dxa" w:w="90"/>
              <w:bottom w:type="dxa" w:w="60"/>
              <w:right w:type="dxa" w:w="90"/>
            </w:tcMar>
          </w:tcPr>
          <w:p>
            <w:pPr>
              <w:spacing w:after="0"/>
              <w:jc w:val="right"/>
            </w:pPr>
            <w:r>
              <w:rPr>
                <w:b w:val="false"/>
                <w:bCs w:val="false"/>
                <w:sz w:val="18"/>
                <w:szCs w:val="18"/>
              </w:rPr>
              <w:t xml:space="preserve">1.91</w:t>
            </w:r>
          </w:p>
        </w:tc>
      </w:tr>
      <w:tr>
        <w:tc>
          <w:tcPr>
            <w:tcW w:type="dxa" w:w="1527"/>
            <w:tcMar>
              <w:top w:type="dxa" w:w="60"/>
              <w:left w:type="dxa" w:w="90"/>
              <w:bottom w:type="dxa" w:w="60"/>
              <w:right w:type="dxa" w:w="90"/>
            </w:tcMar>
          </w:tcPr>
          <w:p>
            <w:pPr>
              <w:spacing w:after="0"/>
              <w:jc w:val="left"/>
            </w:pPr>
            <w:r>
              <w:rPr>
                <w:b w:val="false"/>
                <w:bCs w:val="false"/>
                <w:sz w:val="18"/>
                <w:szCs w:val="18"/>
              </w:rPr>
              <w:t xml:space="preserve">TDPOWERSYS</w:t>
            </w:r>
          </w:p>
        </w:tc>
        <w:tc>
          <w:tcPr>
            <w:tcW w:type="dxa" w:w="668"/>
            <w:tcMar>
              <w:top w:type="dxa" w:w="60"/>
              <w:left w:type="dxa" w:w="90"/>
              <w:bottom w:type="dxa" w:w="60"/>
              <w:right w:type="dxa" w:w="90"/>
            </w:tcMar>
          </w:tcPr>
          <w:p>
            <w:pPr>
              <w:spacing w:after="0"/>
              <w:jc w:val="right"/>
            </w:pPr>
            <w:r>
              <w:rPr>
                <w:b w:val="false"/>
                <w:bCs w:val="false"/>
                <w:sz w:val="18"/>
                <w:szCs w:val="18"/>
              </w:rPr>
              <w:t xml:space="preserve">5</w:t>
            </w:r>
          </w:p>
        </w:tc>
        <w:tc>
          <w:tcPr>
            <w:tcW w:type="dxa" w:w="859"/>
            <w:tcMar>
              <w:top w:type="dxa" w:w="60"/>
              <w:left w:type="dxa" w:w="90"/>
              <w:bottom w:type="dxa" w:w="60"/>
              <w:right w:type="dxa" w:w="90"/>
            </w:tcMar>
          </w:tcPr>
          <w:p>
            <w:pPr>
              <w:spacing w:after="0"/>
              <w:jc w:val="right"/>
            </w:pPr>
            <w:r>
              <w:rPr>
                <w:b w:val="false"/>
                <w:bCs w:val="false"/>
                <w:sz w:val="18"/>
                <w:szCs w:val="18"/>
              </w:rPr>
              <w:t xml:space="preserve">+64%</w:t>
            </w:r>
          </w:p>
        </w:tc>
        <w:tc>
          <w:tcPr>
            <w:tcW w:type="dxa" w:w="859"/>
            <w:tcMar>
              <w:top w:type="dxa" w:w="60"/>
              <w:left w:type="dxa" w:w="90"/>
              <w:bottom w:type="dxa" w:w="60"/>
              <w:right w:type="dxa" w:w="90"/>
            </w:tcMar>
          </w:tcPr>
          <w:p>
            <w:pPr>
              <w:spacing w:after="0"/>
              <w:jc w:val="right"/>
            </w:pPr>
            <w:r>
              <w:rPr>
                <w:b w:val="false"/>
                <w:bCs w:val="false"/>
                <w:sz w:val="18"/>
                <w:szCs w:val="18"/>
              </w:rPr>
              <w:t xml:space="preserve">+24%</w:t>
            </w:r>
          </w:p>
        </w:tc>
        <w:tc>
          <w:tcPr>
            <w:tcW w:type="dxa" w:w="954"/>
            <w:tcMar>
              <w:top w:type="dxa" w:w="60"/>
              <w:left w:type="dxa" w:w="90"/>
              <w:bottom w:type="dxa" w:w="60"/>
              <w:right w:type="dxa" w:w="90"/>
            </w:tcMar>
          </w:tcPr>
          <w:p>
            <w:pPr>
              <w:spacing w:after="0"/>
              <w:jc w:val="right"/>
            </w:pPr>
            <w:r>
              <w:rPr>
                <w:b w:val="false"/>
                <w:bCs w:val="false"/>
                <w:sz w:val="18"/>
                <w:szCs w:val="18"/>
              </w:rPr>
              <w:t xml:space="preserve">+72%</w:t>
            </w:r>
          </w:p>
        </w:tc>
        <w:tc>
          <w:tcPr>
            <w:tcW w:type="dxa" w:w="1050"/>
            <w:tcMar>
              <w:top w:type="dxa" w:w="60"/>
              <w:left w:type="dxa" w:w="90"/>
              <w:bottom w:type="dxa" w:w="60"/>
              <w:right w:type="dxa" w:w="90"/>
            </w:tcMar>
          </w:tcPr>
          <w:p>
            <w:pPr>
              <w:spacing w:after="0"/>
              <w:jc w:val="right"/>
            </w:pPr>
            <w:r>
              <w:rPr>
                <w:b w:val="false"/>
                <w:bCs w:val="false"/>
                <w:sz w:val="18"/>
                <w:szCs w:val="18"/>
              </w:rPr>
              <w:t xml:space="preserve">124</w:t>
            </w:r>
          </w:p>
        </w:tc>
        <w:tc>
          <w:tcPr>
            <w:tcW w:type="dxa" w:w="668"/>
            <w:tcMar>
              <w:top w:type="dxa" w:w="60"/>
              <w:left w:type="dxa" w:w="90"/>
              <w:bottom w:type="dxa" w:w="60"/>
              <w:right w:type="dxa" w:w="90"/>
            </w:tcMar>
          </w:tcPr>
          <w:p>
            <w:pPr>
              <w:spacing w:after="0"/>
              <w:jc w:val="right"/>
            </w:pPr>
            <w:r>
              <w:rPr>
                <w:b w:val="false"/>
                <w:bCs w:val="false"/>
                <w:sz w:val="18"/>
                <w:szCs w:val="18"/>
              </w:rPr>
              <w:t xml:space="preserve">86</w:t>
            </w:r>
          </w:p>
        </w:tc>
        <w:tc>
          <w:tcPr>
            <w:tcW w:type="dxa" w:w="859"/>
            <w:tcMar>
              <w:top w:type="dxa" w:w="60"/>
              <w:left w:type="dxa" w:w="90"/>
              <w:bottom w:type="dxa" w:w="60"/>
              <w:right w:type="dxa" w:w="90"/>
            </w:tcMar>
          </w:tcPr>
          <w:p>
            <w:pPr>
              <w:spacing w:after="0"/>
              <w:jc w:val="right"/>
            </w:pPr>
            <w:r>
              <w:rPr>
                <w:b w:val="false"/>
                <w:bCs w:val="false"/>
                <w:sz w:val="18"/>
                <w:szCs w:val="18"/>
              </w:rPr>
              <w:t xml:space="preserve">11.3%</w:t>
            </w:r>
          </w:p>
        </w:tc>
        <w:tc>
          <w:tcPr>
            <w:tcW w:type="dxa" w:w="859"/>
            <w:tcMar>
              <w:top w:type="dxa" w:w="60"/>
              <w:left w:type="dxa" w:w="90"/>
              <w:bottom w:type="dxa" w:w="60"/>
              <w:right w:type="dxa" w:w="90"/>
            </w:tcMar>
          </w:tcPr>
          <w:p>
            <w:pPr>
              <w:spacing w:after="0"/>
              <w:jc w:val="right"/>
            </w:pPr>
            <w:r>
              <w:rPr>
                <w:b w:val="false"/>
                <w:bCs w:val="false"/>
                <w:sz w:val="18"/>
                <w:szCs w:val="18"/>
              </w:rPr>
              <w:t xml:space="preserve">14.7%</w:t>
            </w:r>
          </w:p>
        </w:tc>
        <w:tc>
          <w:tcPr>
            <w:tcW w:type="dxa" w:w="668"/>
            <w:tcMar>
              <w:top w:type="dxa" w:w="60"/>
              <w:left w:type="dxa" w:w="90"/>
              <w:bottom w:type="dxa" w:w="60"/>
              <w:right w:type="dxa" w:w="90"/>
            </w:tcMar>
          </w:tcPr>
          <w:p>
            <w:pPr>
              <w:spacing w:after="0"/>
              <w:jc w:val="right"/>
            </w:pPr>
            <w:r>
              <w:rPr>
                <w:b w:val="false"/>
                <w:bCs w:val="false"/>
                <w:sz w:val="18"/>
                <w:szCs w:val="18"/>
              </w:rPr>
              <w:t xml:space="preserve">55%</w:t>
            </w:r>
          </w:p>
        </w:tc>
        <w:tc>
          <w:tcPr>
            <w:tcW w:type="dxa" w:w="667"/>
            <w:tcMar>
              <w:top w:type="dxa" w:w="60"/>
              <w:left w:type="dxa" w:w="90"/>
              <w:bottom w:type="dxa" w:w="60"/>
              <w:right w:type="dxa" w:w="90"/>
            </w:tcMar>
          </w:tcPr>
          <w:p>
            <w:pPr>
              <w:spacing w:after="0"/>
              <w:jc w:val="right"/>
            </w:pPr>
            <w:r>
              <w:rPr>
                <w:b w:val="false"/>
                <w:bCs w:val="false"/>
                <w:sz w:val="18"/>
                <w:szCs w:val="18"/>
              </w:rPr>
              <w:t xml:space="preserve">1.19</w:t>
            </w:r>
          </w:p>
        </w:tc>
      </w:tr>
      <w:tr>
        <w:tc>
          <w:tcPr>
            <w:tcW w:type="dxa" w:w="1527"/>
            <w:shd w:fill="F2F2F2" w:color="auto" w:val="clear"/>
            <w:tcMar>
              <w:top w:type="dxa" w:w="60"/>
              <w:left w:type="dxa" w:w="90"/>
              <w:bottom w:type="dxa" w:w="60"/>
              <w:right w:type="dxa" w:w="90"/>
            </w:tcMar>
          </w:tcPr>
          <w:p>
            <w:pPr>
              <w:spacing w:after="0"/>
              <w:jc w:val="left"/>
            </w:pPr>
            <w:r>
              <w:rPr>
                <w:b w:val="false"/>
                <w:bCs w:val="false"/>
                <w:sz w:val="18"/>
                <w:szCs w:val="18"/>
              </w:rPr>
              <w:t xml:space="preserve">RAMRAT</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6</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+62%</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+43%</w:t>
            </w:r>
          </w:p>
        </w:tc>
        <w:tc>
          <w:tcPr>
            <w:tcW w:type="dxa" w:w="954"/>
            <w:shd w:fill="F2F2F2" w:color="auto" w:val="clear"/>
            <w:tcMar>
              <w:top w:type="dxa" w:w="60"/>
              <w:left w:type="dxa" w:w="90"/>
              <w:bottom w:type="dxa" w:w="60"/>
              <w:right w:type="dxa" w:w="90"/>
            </w:tcMar>
          </w:tcPr>
          <w:p>
            <w:pPr>
              <w:spacing w:after="0"/>
              <w:jc w:val="right"/>
            </w:pPr>
            <w:r>
              <w:rPr>
                <w:b w:val="false"/>
                <w:bCs w:val="false"/>
                <w:sz w:val="18"/>
                <w:szCs w:val="18"/>
              </w:rPr>
              <w:t xml:space="preserve">+128%</w:t>
            </w:r>
          </w:p>
        </w:tc>
        <w:tc>
          <w:tcPr>
            <w:tcW w:type="dxa" w:w="1050"/>
            <w:shd w:fill="F2F2F2" w:color="auto" w:val="clear"/>
            <w:tcMar>
              <w:top w:type="dxa" w:w="60"/>
              <w:left w:type="dxa" w:w="90"/>
              <w:bottom w:type="dxa" w:w="60"/>
              <w:right w:type="dxa" w:w="90"/>
            </w:tcMar>
          </w:tcPr>
          <w:p>
            <w:pPr>
              <w:spacing w:after="0"/>
              <w:jc w:val="right"/>
            </w:pPr>
            <w:r>
              <w:rPr>
                <w:b w:val="false"/>
                <w:bCs w:val="false"/>
                <w:sz w:val="18"/>
                <w:szCs w:val="18"/>
              </w:rPr>
              <w:t xml:space="preserve">8</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41</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14.3%</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13.4%</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43%</w:t>
            </w:r>
          </w:p>
        </w:tc>
        <w:tc>
          <w:tcPr>
            <w:tcW w:type="dxa" w:w="667"/>
            <w:shd w:fill="F2F2F2" w:color="auto" w:val="clear"/>
            <w:tcMar>
              <w:top w:type="dxa" w:w="60"/>
              <w:left w:type="dxa" w:w="90"/>
              <w:bottom w:type="dxa" w:w="60"/>
              <w:right w:type="dxa" w:w="90"/>
            </w:tcMar>
          </w:tcPr>
          <w:p>
            <w:pPr>
              <w:spacing w:after="0"/>
              <w:jc w:val="right"/>
            </w:pPr>
            <w:r>
              <w:rPr>
                <w:b w:val="false"/>
                <w:bCs w:val="false"/>
                <w:sz w:val="18"/>
                <w:szCs w:val="18"/>
              </w:rPr>
              <w:t xml:space="preserve">1.30</w:t>
            </w:r>
          </w:p>
        </w:tc>
      </w:tr>
      <w:tr>
        <w:tc>
          <w:tcPr>
            <w:tcW w:type="dxa" w:w="1527"/>
            <w:tcMar>
              <w:top w:type="dxa" w:w="60"/>
              <w:left w:type="dxa" w:w="90"/>
              <w:bottom w:type="dxa" w:w="60"/>
              <w:right w:type="dxa" w:w="90"/>
            </w:tcMar>
          </w:tcPr>
          <w:p>
            <w:pPr>
              <w:spacing w:after="0"/>
              <w:jc w:val="left"/>
            </w:pPr>
            <w:r>
              <w:rPr>
                <w:b w:val="false"/>
                <w:bCs w:val="false"/>
                <w:sz w:val="18"/>
                <w:szCs w:val="18"/>
              </w:rPr>
              <w:t xml:space="preserve">APARINDS</w:t>
            </w:r>
          </w:p>
        </w:tc>
        <w:tc>
          <w:tcPr>
            <w:tcW w:type="dxa" w:w="668"/>
            <w:tcMar>
              <w:top w:type="dxa" w:w="60"/>
              <w:left w:type="dxa" w:w="90"/>
              <w:bottom w:type="dxa" w:w="60"/>
              <w:right w:type="dxa" w:w="90"/>
            </w:tcMar>
          </w:tcPr>
          <w:p>
            <w:pPr>
              <w:spacing w:after="0"/>
              <w:jc w:val="right"/>
            </w:pPr>
            <w:r>
              <w:rPr>
                <w:b w:val="false"/>
                <w:bCs w:val="false"/>
                <w:sz w:val="18"/>
                <w:szCs w:val="18"/>
              </w:rPr>
              <w:t xml:space="preserve">7</w:t>
            </w:r>
          </w:p>
        </w:tc>
        <w:tc>
          <w:tcPr>
            <w:tcW w:type="dxa" w:w="859"/>
            <w:tcMar>
              <w:top w:type="dxa" w:w="60"/>
              <w:left w:type="dxa" w:w="90"/>
              <w:bottom w:type="dxa" w:w="60"/>
              <w:right w:type="dxa" w:w="90"/>
            </w:tcMar>
          </w:tcPr>
          <w:p>
            <w:pPr>
              <w:spacing w:after="0"/>
              <w:jc w:val="right"/>
            </w:pPr>
            <w:r>
              <w:rPr>
                <w:b w:val="false"/>
                <w:bCs w:val="false"/>
                <w:sz w:val="18"/>
                <w:szCs w:val="18"/>
              </w:rPr>
              <w:t xml:space="preserve">+60%</w:t>
            </w:r>
          </w:p>
        </w:tc>
        <w:tc>
          <w:tcPr>
            <w:tcW w:type="dxa" w:w="859"/>
            <w:tcMar>
              <w:top w:type="dxa" w:w="60"/>
              <w:left w:type="dxa" w:w="90"/>
              <w:bottom w:type="dxa" w:w="60"/>
              <w:right w:type="dxa" w:w="90"/>
            </w:tcMar>
          </w:tcPr>
          <w:p>
            <w:pPr>
              <w:spacing w:after="0"/>
              <w:jc w:val="right"/>
            </w:pPr>
            <w:r>
              <w:rPr>
                <w:b w:val="false"/>
                <w:bCs w:val="false"/>
                <w:sz w:val="18"/>
                <w:szCs w:val="18"/>
              </w:rPr>
              <w:t xml:space="preserve">+13%</w:t>
            </w:r>
          </w:p>
        </w:tc>
        <w:tc>
          <w:tcPr>
            <w:tcW w:type="dxa" w:w="954"/>
            <w:tcMar>
              <w:top w:type="dxa" w:w="60"/>
              <w:left w:type="dxa" w:w="90"/>
              <w:bottom w:type="dxa" w:w="60"/>
              <w:right w:type="dxa" w:w="90"/>
            </w:tcMar>
          </w:tcPr>
          <w:p>
            <w:pPr>
              <w:spacing w:after="0"/>
              <w:jc w:val="right"/>
            </w:pPr>
            <w:r>
              <w:rPr>
                <w:b w:val="false"/>
                <w:bCs w:val="false"/>
                <w:sz w:val="18"/>
                <w:szCs w:val="18"/>
              </w:rPr>
              <w:t xml:space="preserve">+78%</w:t>
            </w:r>
          </w:p>
        </w:tc>
        <w:tc>
          <w:tcPr>
            <w:tcW w:type="dxa" w:w="1050"/>
            <w:tcMar>
              <w:top w:type="dxa" w:w="60"/>
              <w:left w:type="dxa" w:w="90"/>
              <w:bottom w:type="dxa" w:w="60"/>
              <w:right w:type="dxa" w:w="90"/>
            </w:tcMar>
          </w:tcPr>
          <w:p>
            <w:pPr>
              <w:spacing w:after="0"/>
              <w:jc w:val="right"/>
            </w:pPr>
            <w:r>
              <w:rPr>
                <w:b w:val="false"/>
                <w:bCs w:val="false"/>
                <w:sz w:val="18"/>
                <w:szCs w:val="18"/>
              </w:rPr>
              <w:t xml:space="preserve">214</w:t>
            </w:r>
          </w:p>
        </w:tc>
        <w:tc>
          <w:tcPr>
            <w:tcW w:type="dxa" w:w="668"/>
            <w:tcMar>
              <w:top w:type="dxa" w:w="60"/>
              <w:left w:type="dxa" w:w="90"/>
              <w:bottom w:type="dxa" w:w="60"/>
              <w:right w:type="dxa" w:w="90"/>
            </w:tcMar>
          </w:tcPr>
          <w:p>
            <w:pPr>
              <w:spacing w:after="0"/>
              <w:jc w:val="right"/>
            </w:pPr>
            <w:r>
              <w:rPr>
                <w:b w:val="false"/>
                <w:bCs w:val="false"/>
                <w:sz w:val="18"/>
                <w:szCs w:val="18"/>
              </w:rPr>
              <w:t xml:space="preserve">62</w:t>
            </w:r>
          </w:p>
        </w:tc>
        <w:tc>
          <w:tcPr>
            <w:tcW w:type="dxa" w:w="859"/>
            <w:tcMar>
              <w:top w:type="dxa" w:w="60"/>
              <w:left w:type="dxa" w:w="90"/>
              <w:bottom w:type="dxa" w:w="60"/>
              <w:right w:type="dxa" w:w="90"/>
            </w:tcMar>
          </w:tcPr>
          <w:p>
            <w:pPr>
              <w:spacing w:after="0"/>
              <w:jc w:val="right"/>
            </w:pPr>
            <w:r>
              <w:rPr>
                <w:b w:val="false"/>
                <w:bCs w:val="false"/>
                <w:sz w:val="18"/>
                <w:szCs w:val="18"/>
              </w:rPr>
              <w:t xml:space="preserve">12.4%</w:t>
            </w:r>
          </w:p>
        </w:tc>
        <w:tc>
          <w:tcPr>
            <w:tcW w:type="dxa" w:w="859"/>
            <w:tcMar>
              <w:top w:type="dxa" w:w="60"/>
              <w:left w:type="dxa" w:w="90"/>
              <w:bottom w:type="dxa" w:w="60"/>
              <w:right w:type="dxa" w:w="90"/>
            </w:tcMar>
          </w:tcPr>
          <w:p>
            <w:pPr>
              <w:spacing w:after="0"/>
              <w:jc w:val="right"/>
            </w:pPr>
            <w:r>
              <w:rPr>
                <w:b w:val="false"/>
                <w:bCs w:val="false"/>
                <w:sz w:val="18"/>
                <w:szCs w:val="18"/>
              </w:rPr>
              <w:t xml:space="preserve">13.5%</w:t>
            </w:r>
          </w:p>
        </w:tc>
        <w:tc>
          <w:tcPr>
            <w:tcW w:type="dxa" w:w="668"/>
            <w:tcMar>
              <w:top w:type="dxa" w:w="60"/>
              <w:left w:type="dxa" w:w="90"/>
              <w:bottom w:type="dxa" w:w="60"/>
              <w:right w:type="dxa" w:w="90"/>
            </w:tcMar>
          </w:tcPr>
          <w:p>
            <w:pPr>
              <w:spacing w:after="0"/>
              <w:jc w:val="right"/>
            </w:pPr>
            <w:r>
              <w:rPr>
                <w:b w:val="false"/>
                <w:bCs w:val="false"/>
                <w:sz w:val="18"/>
                <w:szCs w:val="18"/>
              </w:rPr>
              <w:t xml:space="preserve">47%</w:t>
            </w:r>
          </w:p>
        </w:tc>
        <w:tc>
          <w:tcPr>
            <w:tcW w:type="dxa" w:w="667"/>
            <w:tcMar>
              <w:top w:type="dxa" w:w="60"/>
              <w:left w:type="dxa" w:w="90"/>
              <w:bottom w:type="dxa" w:w="60"/>
              <w:right w:type="dxa" w:w="90"/>
            </w:tcMar>
          </w:tcPr>
          <w:p>
            <w:pPr>
              <w:spacing w:after="0"/>
              <w:jc w:val="right"/>
            </w:pPr>
            <w:r>
              <w:rPr>
                <w:b w:val="false"/>
                <w:bCs w:val="false"/>
                <w:sz w:val="18"/>
                <w:szCs w:val="18"/>
              </w:rPr>
              <w:t xml:space="preserve">1.37</w:t>
            </w:r>
          </w:p>
        </w:tc>
      </w:tr>
      <w:tr>
        <w:tc>
          <w:tcPr>
            <w:tcW w:type="dxa" w:w="1527"/>
            <w:shd w:fill="F2F2F2" w:color="auto" w:val="clear"/>
            <w:tcMar>
              <w:top w:type="dxa" w:w="60"/>
              <w:left w:type="dxa" w:w="90"/>
              <w:bottom w:type="dxa" w:w="60"/>
              <w:right w:type="dxa" w:w="90"/>
            </w:tcMar>
          </w:tcPr>
          <w:p>
            <w:pPr>
              <w:spacing w:after="0"/>
              <w:jc w:val="left"/>
            </w:pPr>
            <w:r>
              <w:rPr>
                <w:b w:val="false"/>
                <w:bCs w:val="false"/>
                <w:sz w:val="18"/>
                <w:szCs w:val="18"/>
              </w:rPr>
              <w:t xml:space="preserve">ACMESOLAR</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8</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+19%</w:t>
            </w:r>
          </w:p>
        </w:tc>
        <w:tc>
          <w:tcPr>
            <w:tcW w:type="dxa" w:w="954"/>
            <w:shd w:fill="F2F2F2" w:color="auto" w:val="clear"/>
            <w:tcMar>
              <w:top w:type="dxa" w:w="60"/>
              <w:left w:type="dxa" w:w="90"/>
              <w:bottom w:type="dxa" w:w="60"/>
              <w:right w:type="dxa" w:w="90"/>
            </w:tcMar>
          </w:tcPr>
          <w:p>
            <w:pPr>
              <w:spacing w:after="0"/>
              <w:jc w:val="right"/>
            </w:pPr>
            <w:r>
              <w:rPr>
                <w:b w:val="false"/>
                <w:bCs w:val="false"/>
                <w:sz w:val="18"/>
                <w:szCs w:val="18"/>
              </w:rPr>
              <w:t xml:space="preserve">+65%</w:t>
            </w:r>
          </w:p>
        </w:tc>
        <w:tc>
          <w:tcPr>
            <w:tcW w:type="dxa" w:w="1050"/>
            <w:shd w:fill="F2F2F2" w:color="auto" w:val="clear"/>
            <w:tcMar>
              <w:top w:type="dxa" w:w="60"/>
              <w:left w:type="dxa" w:w="90"/>
              <w:bottom w:type="dxa" w:w="60"/>
              <w:right w:type="dxa" w:w="90"/>
            </w:tcMar>
          </w:tcPr>
          <w:p>
            <w:pPr>
              <w:spacing w:after="0"/>
              <w:jc w:val="right"/>
            </w:pPr>
            <w:r>
              <w:rPr>
                <w:b w:val="false"/>
                <w:bCs w:val="false"/>
                <w:sz w:val="18"/>
                <w:szCs w:val="18"/>
              </w:rPr>
              <w:t xml:space="preserve">58</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15.0%</w:t>
            </w:r>
          </w:p>
        </w:tc>
        <w:tc>
          <w:tcPr>
            <w:tcW w:type="dxa" w:w="859"/>
            <w:shd w:fill="F2F2F2" w:color="auto" w:val="clear"/>
            <w:tcMar>
              <w:top w:type="dxa" w:w="60"/>
              <w:left w:type="dxa" w:w="90"/>
              <w:bottom w:type="dxa" w:w="60"/>
              <w:right w:type="dxa" w:w="90"/>
            </w:tcMar>
          </w:tcPr>
          <w:p>
            <w:pPr>
              <w:spacing w:after="0"/>
              <w:jc w:val="right"/>
            </w:pPr>
            <w:r>
              <w:rPr>
                <w:b w:val="false"/>
                <w:bCs w:val="false"/>
                <w:sz w:val="18"/>
                <w:szCs w:val="18"/>
              </w:rPr>
              <w:t xml:space="preserve">14.7%</w:t>
            </w:r>
          </w:p>
        </w:tc>
        <w:tc>
          <w:tcPr>
            <w:tcW w:type="dxa" w:w="668"/>
            <w:shd w:fill="F2F2F2" w:color="auto" w:val="clear"/>
            <w:tcMar>
              <w:top w:type="dxa" w:w="60"/>
              <w:left w:type="dxa" w:w="90"/>
              <w:bottom w:type="dxa" w:w="60"/>
              <w:right w:type="dxa" w:w="90"/>
            </w:tcMar>
          </w:tcPr>
          <w:p>
            <w:pPr>
              <w:spacing w:after="0"/>
              <w:jc w:val="right"/>
            </w:pPr>
            <w:r>
              <w:rPr>
                <w:b w:val="false"/>
                <w:bCs w:val="false"/>
                <w:sz w:val="18"/>
                <w:szCs w:val="18"/>
              </w:rPr>
              <w:t xml:space="preserve">38%</w:t>
            </w:r>
          </w:p>
        </w:tc>
        <w:tc>
          <w:tcPr>
            <w:tcW w:type="dxa" w:w="667"/>
            <w:shd w:fill="F2F2F2" w:color="auto" w:val="clear"/>
            <w:tcMar>
              <w:top w:type="dxa" w:w="60"/>
              <w:left w:type="dxa" w:w="90"/>
              <w:bottom w:type="dxa" w:w="60"/>
              <w:right w:type="dxa" w:w="90"/>
            </w:tcMar>
          </w:tcPr>
          <w:p>
            <w:pPr>
              <w:spacing w:after="0"/>
              <w:jc w:val="right"/>
            </w:pPr>
            <w:r>
              <w:rPr>
                <w:b w:val="false"/>
                <w:bCs w:val="false"/>
                <w:sz w:val="18"/>
                <w:szCs w:val="18"/>
              </w:rPr>
              <w:t xml:space="preserve">0.40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1"/>
        <w:gridCol w:w="721"/>
        <w:gridCol w:w="721"/>
        <w:gridCol w:w="811"/>
        <w:gridCol w:w="721"/>
        <w:gridCol w:w="1081"/>
        <w:gridCol w:w="2162"/>
        <w:gridCol w:w="901"/>
        <w:gridCol w:w="1079"/>
      </w:tblGrid>
      <w:tr>
        <w:trPr>
          <w:tblHeader/>
        </w:trPr>
        <w:tc>
          <w:tcPr>
            <w:tcW w:type="dxa" w:w="1441"/>
            <w:shd w:fill="1F3864" w:color="auto" w:val="clear"/>
            <w:tcMar>
              <w:top w:type="dxa" w:w="60"/>
              <w:left w:type="dxa" w:w="90"/>
              <w:bottom w:type="dxa" w:w="60"/>
              <w:right w:type="dxa" w:w="90"/>
            </w:tcMar>
          </w:tcPr>
          <w:p>
            <w:pPr>
              <w:spacing w:after="0"/>
              <w:jc w:val="left"/>
            </w:pPr>
            <w:r>
              <w:rPr>
                <w:b/>
                <w:bCs/>
                <w:color w:val="FFFFFF"/>
                <w:sz w:val="18"/>
                <w:szCs w:val="18"/>
              </w:rPr>
              <w:t xml:space="preserve">Stock</w:t>
            </w:r>
          </w:p>
        </w:tc>
        <w:tc>
          <w:tcPr>
            <w:tcW w:type="dxa" w:w="721"/>
            <w:shd w:fill="1F3864" w:color="auto" w:val="clear"/>
            <w:tcMar>
              <w:top w:type="dxa" w:w="60"/>
              <w:left w:type="dxa" w:w="90"/>
              <w:bottom w:type="dxa" w:w="60"/>
              <w:right w:type="dxa" w:w="90"/>
            </w:tcMar>
          </w:tcPr>
          <w:p>
            <w:pPr>
              <w:spacing w:after="0"/>
              <w:jc w:val="left"/>
            </w:pPr>
            <w:r>
              <w:rPr>
                <w:b/>
                <w:bCs/>
                <w:color w:val="FFFFFF"/>
                <w:sz w:val="18"/>
                <w:szCs w:val="18"/>
              </w:rPr>
              <w:t xml:space="preserve">ROCE</w:t>
            </w:r>
          </w:p>
        </w:tc>
        <w:tc>
          <w:tcPr>
            <w:tcW w:type="dxa" w:w="721"/>
            <w:shd w:fill="1F3864" w:color="auto" w:val="clear"/>
            <w:tcMar>
              <w:top w:type="dxa" w:w="60"/>
              <w:left w:type="dxa" w:w="90"/>
              <w:bottom w:type="dxa" w:w="60"/>
              <w:right w:type="dxa" w:w="90"/>
            </w:tcMar>
          </w:tcPr>
          <w:p>
            <w:pPr>
              <w:spacing w:after="0"/>
              <w:jc w:val="left"/>
            </w:pPr>
            <w:r>
              <w:rPr>
                <w:b/>
                <w:bCs/>
                <w:color w:val="FFFFFF"/>
                <w:sz w:val="18"/>
                <w:szCs w:val="18"/>
              </w:rPr>
              <w:t xml:space="preserve">OPM</w:t>
            </w:r>
          </w:p>
        </w:tc>
        <w:tc>
          <w:tcPr>
            <w:tcW w:type="dxa" w:w="811"/>
            <w:shd w:fill="1F3864" w:color="auto" w:val="clear"/>
            <w:tcMar>
              <w:top w:type="dxa" w:w="60"/>
              <w:left w:type="dxa" w:w="90"/>
              <w:bottom w:type="dxa" w:w="60"/>
              <w:right w:type="dxa" w:w="90"/>
            </w:tcMar>
          </w:tcPr>
          <w:p>
            <w:pPr>
              <w:spacing w:after="0"/>
              <w:jc w:val="left"/>
            </w:pPr>
            <w:r>
              <w:rPr>
                <w:b/>
                <w:bCs/>
                <w:color w:val="FFFFFF"/>
                <w:sz w:val="18"/>
                <w:szCs w:val="18"/>
              </w:rPr>
              <w:t xml:space="preserve">Debt/Eq</w:t>
            </w:r>
          </w:p>
        </w:tc>
        <w:tc>
          <w:tcPr>
            <w:tcW w:type="dxa" w:w="721"/>
            <w:shd w:fill="1F3864" w:color="auto" w:val="clear"/>
            <w:tcMar>
              <w:top w:type="dxa" w:w="60"/>
              <w:left w:type="dxa" w:w="90"/>
              <w:bottom w:type="dxa" w:w="60"/>
              <w:right w:type="dxa" w:w="90"/>
            </w:tcMar>
          </w:tcPr>
          <w:p>
            <w:pPr>
              <w:spacing w:after="0"/>
              <w:jc w:val="left"/>
            </w:pPr>
            <w:r>
              <w:rPr>
                <w:b/>
                <w:bCs/>
                <w:color w:val="FFFFFF"/>
                <w:sz w:val="18"/>
                <w:szCs w:val="18"/>
              </w:rPr>
              <w:t xml:space="preserve">Pledge</w:t>
            </w:r>
          </w:p>
        </w:tc>
        <w:tc>
          <w:tcPr>
            <w:tcW w:type="dxa" w:w="1081"/>
            <w:shd w:fill="1F3864" w:color="auto" w:val="clear"/>
            <w:tcMar>
              <w:top w:type="dxa" w:w="60"/>
              <w:left w:type="dxa" w:w="90"/>
              <w:bottom w:type="dxa" w:w="60"/>
              <w:right w:type="dxa" w:w="90"/>
            </w:tcMar>
          </w:tcPr>
          <w:p>
            <w:pPr>
              <w:spacing w:after="0"/>
              <w:jc w:val="left"/>
            </w:pPr>
            <w:r>
              <w:rPr>
                <w:b/>
                <w:bCs/>
                <w:color w:val="FFFFFF"/>
                <w:sz w:val="18"/>
                <w:szCs w:val="18"/>
              </w:rPr>
              <w:t xml:space="preserve">Mkt cap ₹cr</w:t>
            </w:r>
          </w:p>
        </w:tc>
        <w:tc>
          <w:tcPr>
            <w:tcW w:type="dxa" w:w="2162"/>
            <w:shd w:fill="1F3864" w:color="auto" w:val="clear"/>
            <w:tcMar>
              <w:top w:type="dxa" w:w="60"/>
              <w:left w:type="dxa" w:w="90"/>
              <w:bottom w:type="dxa" w:w="60"/>
              <w:right w:type="dxa" w:w="90"/>
            </w:tcMar>
          </w:tcPr>
          <w:p>
            <w:pPr>
              <w:spacing w:after="0"/>
              <w:jc w:val="left"/>
            </w:pPr>
            <w:r>
              <w:rPr>
                <w:b/>
                <w:bCs/>
                <w:color w:val="FFFFFF"/>
                <w:sz w:val="18"/>
                <w:szCs w:val="18"/>
              </w:rPr>
              <w:t xml:space="preserve">RRG vs N500 / sector</w:t>
            </w:r>
          </w:p>
        </w:tc>
        <w:tc>
          <w:tcPr>
            <w:tcW w:type="dxa" w:w="901"/>
            <w:shd w:fill="1F3864" w:color="auto" w:val="clear"/>
            <w:tcMar>
              <w:top w:type="dxa" w:w="60"/>
              <w:left w:type="dxa" w:w="90"/>
              <w:bottom w:type="dxa" w:w="60"/>
              <w:right w:type="dxa" w:w="90"/>
            </w:tcMar>
          </w:tcPr>
          <w:p>
            <w:pPr>
              <w:spacing w:after="0"/>
              <w:jc w:val="left"/>
            </w:pPr>
            <w:r>
              <w:rPr>
                <w:b/>
                <w:bCs/>
                <w:color w:val="FFFFFF"/>
                <w:sz w:val="18"/>
                <w:szCs w:val="18"/>
              </w:rPr>
              <w:t xml:space="preserve">Conviction</w:t>
            </w:r>
          </w:p>
        </w:tc>
        <w:tc>
          <w:tcPr>
            <w:tcW w:type="dxa" w:w="1079"/>
            <w:shd w:fill="1F3864" w:color="auto" w:val="clear"/>
            <w:tcMar>
              <w:top w:type="dxa" w:w="60"/>
              <w:left w:type="dxa" w:w="90"/>
              <w:bottom w:type="dxa" w:w="60"/>
              <w:right w:type="dxa" w:w="90"/>
            </w:tcMar>
          </w:tcPr>
          <w:p>
            <w:pPr>
              <w:spacing w:after="0"/>
              <w:jc w:val="left"/>
            </w:pPr>
            <w:r>
              <w:rPr>
                <w:b/>
                <w:bCs/>
                <w:color w:val="FFFFFF"/>
                <w:sz w:val="18"/>
                <w:szCs w:val="18"/>
              </w:rPr>
              <w:t xml:space="preserve">Q2 results</w:t>
            </w:r>
          </w:p>
        </w:tc>
      </w:tr>
      <w:tr>
        <w:tc>
          <w:tcPr>
            <w:tcW w:type="dxa" w:w="1441"/>
            <w:tcMar>
              <w:top w:type="dxa" w:w="60"/>
              <w:left w:type="dxa" w:w="90"/>
              <w:bottom w:type="dxa" w:w="60"/>
              <w:right w:type="dxa" w:w="90"/>
            </w:tcMar>
          </w:tcPr>
          <w:p>
            <w:pPr>
              <w:spacing w:after="0"/>
              <w:jc w:val="left"/>
            </w:pPr>
            <w:r>
              <w:rPr>
                <w:b w:val="false"/>
                <w:bCs w:val="false"/>
                <w:sz w:val="18"/>
                <w:szCs w:val="18"/>
              </w:rPr>
              <w:t xml:space="preserve">WELCORP</w:t>
            </w:r>
          </w:p>
        </w:tc>
        <w:tc>
          <w:tcPr>
            <w:tcW w:type="dxa" w:w="721"/>
            <w:tcMar>
              <w:top w:type="dxa" w:w="60"/>
              <w:left w:type="dxa" w:w="90"/>
              <w:bottom w:type="dxa" w:w="60"/>
              <w:right w:type="dxa" w:w="90"/>
            </w:tcMar>
          </w:tcPr>
          <w:p>
            <w:pPr>
              <w:spacing w:after="0"/>
              <w:jc w:val="right"/>
            </w:pPr>
            <w:r>
              <w:rPr>
                <w:b w:val="false"/>
                <w:bCs w:val="false"/>
                <w:sz w:val="18"/>
                <w:szCs w:val="18"/>
              </w:rPr>
              <w:t xml:space="preserve">23%</w:t>
            </w:r>
          </w:p>
        </w:tc>
        <w:tc>
          <w:tcPr>
            <w:tcW w:type="dxa" w:w="721"/>
            <w:tcMar>
              <w:top w:type="dxa" w:w="60"/>
              <w:left w:type="dxa" w:w="90"/>
              <w:bottom w:type="dxa" w:w="60"/>
              <w:right w:type="dxa" w:w="90"/>
            </w:tcMar>
          </w:tcPr>
          <w:p>
            <w:pPr>
              <w:spacing w:after="0"/>
              <w:jc w:val="right"/>
            </w:pPr>
            <w:r>
              <w:rPr>
                <w:b w:val="false"/>
                <w:bCs w:val="false"/>
                <w:sz w:val="18"/>
                <w:szCs w:val="18"/>
              </w:rPr>
              <w:t xml:space="preserve">14%</w:t>
            </w:r>
          </w:p>
        </w:tc>
        <w:tc>
          <w:tcPr>
            <w:tcW w:type="dxa" w:w="811"/>
            <w:tcMar>
              <w:top w:type="dxa" w:w="60"/>
              <w:left w:type="dxa" w:w="90"/>
              <w:bottom w:type="dxa" w:w="60"/>
              <w:right w:type="dxa" w:w="90"/>
            </w:tcMar>
          </w:tcPr>
          <w:p>
            <w:pPr>
              <w:spacing w:after="0"/>
              <w:jc w:val="right"/>
            </w:pPr>
            <w:r>
              <w:rPr>
                <w:b w:val="false"/>
                <w:bCs w:val="false"/>
                <w:sz w:val="18"/>
                <w:szCs w:val="18"/>
              </w:rPr>
              <w:t xml:space="preserve">0.26</w:t>
            </w:r>
          </w:p>
        </w:tc>
        <w:tc>
          <w:tcPr>
            <w:tcW w:type="dxa" w:w="721"/>
            <w:tcMar>
              <w:top w:type="dxa" w:w="60"/>
              <w:left w:type="dxa" w:w="90"/>
              <w:bottom w:type="dxa" w:w="60"/>
              <w:right w:type="dxa" w:w="90"/>
            </w:tcMar>
          </w:tcPr>
          <w:p>
            <w:pPr>
              <w:spacing w:after="0"/>
              <w:jc w:val="right"/>
            </w:pPr>
            <w:r>
              <w:rPr>
                <w:b w:val="false"/>
                <w:bCs w:val="false"/>
                <w:sz w:val="18"/>
                <w:szCs w:val="18"/>
              </w:rPr>
              <w:t xml:space="preserve">0.0%</w:t>
            </w:r>
          </w:p>
        </w:tc>
        <w:tc>
          <w:tcPr>
            <w:tcW w:type="dxa" w:w="1081"/>
            <w:tcMar>
              <w:top w:type="dxa" w:w="60"/>
              <w:left w:type="dxa" w:w="90"/>
              <w:bottom w:type="dxa" w:w="60"/>
              <w:right w:type="dxa" w:w="90"/>
            </w:tcMar>
          </w:tcPr>
          <w:p>
            <w:pPr>
              <w:spacing w:after="0"/>
              <w:jc w:val="right"/>
            </w:pPr>
            <w:r>
              <w:rPr>
                <w:b w:val="false"/>
                <w:bCs w:val="false"/>
                <w:sz w:val="18"/>
                <w:szCs w:val="18"/>
              </w:rPr>
              <w:t xml:space="preserve">74,716</w:t>
            </w:r>
          </w:p>
        </w:tc>
        <w:tc>
          <w:tcPr>
            <w:tcW w:type="dxa" w:w="2162"/>
            <w:tcMar>
              <w:top w:type="dxa" w:w="60"/>
              <w:left w:type="dxa" w:w="90"/>
              <w:bottom w:type="dxa" w:w="60"/>
              <w:right w:type="dxa" w:w="90"/>
            </w:tcMar>
          </w:tcPr>
          <w:p>
            <w:pPr>
              <w:spacing w:after="0"/>
              <w:jc w:val="left"/>
            </w:pPr>
            <w:r>
              <w:rPr>
                <w:b w:val="false"/>
                <w:bCs w:val="false"/>
                <w:sz w:val="18"/>
                <w:szCs w:val="18"/>
              </w:rPr>
              <w:t xml:space="preserve">LEADING / LEADING</w:t>
            </w:r>
          </w:p>
        </w:tc>
        <w:tc>
          <w:tcPr>
            <w:tcW w:type="dxa" w:w="901"/>
            <w:tcMar>
              <w:top w:type="dxa" w:w="60"/>
              <w:left w:type="dxa" w:w="90"/>
              <w:bottom w:type="dxa" w:w="60"/>
              <w:right w:type="dxa" w:w="90"/>
            </w:tcMar>
          </w:tcPr>
          <w:p>
            <w:pPr>
              <w:spacing w:after="0"/>
              <w:jc w:val="left"/>
            </w:pPr>
            <w:r>
              <w:rPr>
                <w:b w:val="false"/>
                <w:bCs w:val="false"/>
                <w:sz w:val="18"/>
                <w:szCs w:val="18"/>
              </w:rPr>
              <w:t xml:space="preserve">High</w:t>
            </w:r>
          </w:p>
        </w:tc>
        <w:tc>
          <w:tcPr>
            <w:tcW w:type="dxa" w:w="1079"/>
            <w:tcMar>
              <w:top w:type="dxa" w:w="60"/>
              <w:left w:type="dxa" w:w="90"/>
              <w:bottom w:type="dxa" w:w="60"/>
              <w:right w:type="dxa" w:w="90"/>
            </w:tcMar>
          </w:tcPr>
          <w:p>
            <w:pPr>
              <w:spacing w:after="0"/>
              <w:jc w:val="left"/>
            </w:pPr>
            <w:r>
              <w:rPr>
                <w:b w:val="false"/>
                <w:bCs w:val="false"/>
                <w:sz w:val="18"/>
                <w:szCs w:val="18"/>
              </w:rPr>
              <w:t xml:space="preserve">29-Oct-2026</w:t>
            </w:r>
          </w:p>
        </w:tc>
      </w:tr>
      <w:tr>
        <w:tc>
          <w:tcPr>
            <w:tcW w:type="dxa" w:w="1441"/>
            <w:shd w:fill="F2F2F2" w:color="auto" w:val="clear"/>
            <w:tcMar>
              <w:top w:type="dxa" w:w="60"/>
              <w:left w:type="dxa" w:w="90"/>
              <w:bottom w:type="dxa" w:w="60"/>
              <w:right w:type="dxa" w:w="90"/>
            </w:tcMar>
          </w:tcPr>
          <w:p>
            <w:pPr>
              <w:spacing w:after="0"/>
              <w:jc w:val="left"/>
            </w:pPr>
            <w:r>
              <w:rPr>
                <w:b w:val="false"/>
                <w:bCs w:val="false"/>
                <w:sz w:val="18"/>
                <w:szCs w:val="18"/>
              </w:rPr>
              <w:t xml:space="preserve">RPEL</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30%</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30%</w:t>
            </w:r>
          </w:p>
        </w:tc>
        <w:tc>
          <w:tcPr>
            <w:tcW w:type="dxa" w:w="811"/>
            <w:shd w:fill="F2F2F2" w:color="auto" w:val="clear"/>
            <w:tcMar>
              <w:top w:type="dxa" w:w="60"/>
              <w:left w:type="dxa" w:w="90"/>
              <w:bottom w:type="dxa" w:w="60"/>
              <w:right w:type="dxa" w:w="90"/>
            </w:tcMar>
          </w:tcPr>
          <w:p>
            <w:pPr>
              <w:spacing w:after="0"/>
              <w:jc w:val="right"/>
            </w:pPr>
            <w:r>
              <w:rPr>
                <w:b w:val="false"/>
                <w:bCs w:val="false"/>
                <w:sz w:val="18"/>
                <w:szCs w:val="18"/>
              </w:rPr>
              <w:t xml:space="preserve">0.02</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0.0%</w:t>
            </w:r>
          </w:p>
        </w:tc>
        <w:tc>
          <w:tcPr>
            <w:tcW w:type="dxa" w:w="1081"/>
            <w:shd w:fill="F2F2F2" w:color="auto" w:val="clear"/>
            <w:tcMar>
              <w:top w:type="dxa" w:w="60"/>
              <w:left w:type="dxa" w:w="90"/>
              <w:bottom w:type="dxa" w:w="60"/>
              <w:right w:type="dxa" w:w="90"/>
            </w:tcMar>
          </w:tcPr>
          <w:p>
            <w:pPr>
              <w:spacing w:after="0"/>
              <w:jc w:val="right"/>
            </w:pPr>
            <w:r>
              <w:rPr>
                <w:b w:val="false"/>
                <w:bCs w:val="false"/>
                <w:sz w:val="18"/>
                <w:szCs w:val="18"/>
              </w:rPr>
              <w:t xml:space="preserve">7,804</w:t>
            </w:r>
          </w:p>
        </w:tc>
        <w:tc>
          <w:tcPr>
            <w:tcW w:type="dxa" w:w="2162"/>
            <w:shd w:fill="F2F2F2" w:color="auto" w:val="clear"/>
            <w:tcMar>
              <w:top w:type="dxa" w:w="60"/>
              <w:left w:type="dxa" w:w="90"/>
              <w:bottom w:type="dxa" w:w="60"/>
              <w:right w:type="dxa" w:w="90"/>
            </w:tcMar>
          </w:tcPr>
          <w:p>
            <w:pPr>
              <w:spacing w:after="0"/>
              <w:jc w:val="left"/>
            </w:pPr>
            <w:r>
              <w:rPr>
                <w:b w:val="false"/>
                <w:bCs w:val="false"/>
                <w:sz w:val="18"/>
                <w:szCs w:val="18"/>
              </w:rPr>
              <w:t xml:space="preserve">WEAKENING / LEADING</w:t>
            </w:r>
          </w:p>
        </w:tc>
        <w:tc>
          <w:tcPr>
            <w:tcW w:type="dxa" w:w="901"/>
            <w:shd w:fill="F2F2F2" w:color="auto" w:val="clear"/>
            <w:tcMar>
              <w:top w:type="dxa" w:w="60"/>
              <w:left w:type="dxa" w:w="90"/>
              <w:bottom w:type="dxa" w:w="60"/>
              <w:right w:type="dxa" w:w="90"/>
            </w:tcMar>
          </w:tcPr>
          <w:p>
            <w:pPr>
              <w:spacing w:after="0"/>
              <w:jc w:val="left"/>
            </w:pPr>
            <w:r>
              <w:rPr>
                <w:b w:val="false"/>
                <w:bCs w:val="false"/>
                <w:sz w:val="18"/>
                <w:szCs w:val="18"/>
              </w:rPr>
              <w:t xml:space="preserve">Moderate</w:t>
            </w:r>
          </w:p>
        </w:tc>
        <w:tc>
          <w:tcPr>
            <w:tcW w:type="dxa" w:w="1079"/>
            <w:shd w:fill="F2F2F2" w:color="auto" w:val="clear"/>
            <w:tcMar>
              <w:top w:type="dxa" w:w="60"/>
              <w:left w:type="dxa" w:w="90"/>
              <w:bottom w:type="dxa" w:w="60"/>
              <w:right w:type="dxa" w:w="90"/>
            </w:tcMar>
          </w:tcPr>
          <w:p>
            <w:pPr>
              <w:spacing w:after="0"/>
              <w:jc w:val="left"/>
            </w:pPr>
            <w:r>
              <w:rPr>
                <w:b w:val="false"/>
                <w:bCs w:val="false"/>
                <w:sz w:val="18"/>
                <w:szCs w:val="18"/>
              </w:rPr>
              <w:t xml:space="preserve">26-Oct-2026</w:t>
            </w:r>
          </w:p>
        </w:tc>
      </w:tr>
      <w:tr>
        <w:tc>
          <w:tcPr>
            <w:tcW w:type="dxa" w:w="1441"/>
            <w:tcMar>
              <w:top w:type="dxa" w:w="60"/>
              <w:left w:type="dxa" w:w="90"/>
              <w:bottom w:type="dxa" w:w="60"/>
              <w:right w:type="dxa" w:w="90"/>
            </w:tcMar>
          </w:tcPr>
          <w:p>
            <w:pPr>
              <w:spacing w:after="0"/>
              <w:jc w:val="left"/>
            </w:pPr>
            <w:r>
              <w:rPr>
                <w:b w:val="false"/>
                <w:bCs w:val="false"/>
                <w:sz w:val="18"/>
                <w:szCs w:val="18"/>
              </w:rPr>
              <w:t xml:space="preserve">SBCL</w:t>
            </w:r>
          </w:p>
        </w:tc>
        <w:tc>
          <w:tcPr>
            <w:tcW w:type="dxa" w:w="721"/>
            <w:tcMar>
              <w:top w:type="dxa" w:w="60"/>
              <w:left w:type="dxa" w:w="90"/>
              <w:bottom w:type="dxa" w:w="60"/>
              <w:right w:type="dxa" w:w="90"/>
            </w:tcMar>
          </w:tcPr>
          <w:p>
            <w:pPr>
              <w:spacing w:after="0"/>
              <w:jc w:val="right"/>
            </w:pPr>
            <w:r>
              <w:rPr>
                <w:b w:val="false"/>
                <w:bCs w:val="false"/>
                <w:sz w:val="18"/>
                <w:szCs w:val="18"/>
              </w:rPr>
              <w:t xml:space="preserve">27%</w:t>
            </w:r>
          </w:p>
        </w:tc>
        <w:tc>
          <w:tcPr>
            <w:tcW w:type="dxa" w:w="721"/>
            <w:tcMar>
              <w:top w:type="dxa" w:w="60"/>
              <w:left w:type="dxa" w:w="90"/>
              <w:bottom w:type="dxa" w:w="60"/>
              <w:right w:type="dxa" w:w="90"/>
            </w:tcMar>
          </w:tcPr>
          <w:p>
            <w:pPr>
              <w:spacing w:after="0"/>
              <w:jc w:val="right"/>
            </w:pPr>
            <w:r>
              <w:rPr>
                <w:b w:val="false"/>
                <w:bCs w:val="false"/>
                <w:sz w:val="18"/>
                <w:szCs w:val="18"/>
              </w:rPr>
              <w:t xml:space="preserve">23%</w:t>
            </w:r>
          </w:p>
        </w:tc>
        <w:tc>
          <w:tcPr>
            <w:tcW w:type="dxa" w:w="811"/>
            <w:tcMar>
              <w:top w:type="dxa" w:w="60"/>
              <w:left w:type="dxa" w:w="90"/>
              <w:bottom w:type="dxa" w:w="60"/>
              <w:right w:type="dxa" w:w="90"/>
            </w:tcMar>
          </w:tcPr>
          <w:p>
            <w:pPr>
              <w:spacing w:after="0"/>
              <w:jc w:val="right"/>
            </w:pPr>
            <w:r>
              <w:rPr>
                <w:b w:val="false"/>
                <w:bCs w:val="false"/>
                <w:sz w:val="18"/>
                <w:szCs w:val="18"/>
              </w:rPr>
              <w:t xml:space="preserve">0.15</w:t>
            </w:r>
          </w:p>
        </w:tc>
        <w:tc>
          <w:tcPr>
            <w:tcW w:type="dxa" w:w="721"/>
            <w:tcMar>
              <w:top w:type="dxa" w:w="60"/>
              <w:left w:type="dxa" w:w="90"/>
              <w:bottom w:type="dxa" w:w="60"/>
              <w:right w:type="dxa" w:w="90"/>
            </w:tcMar>
          </w:tcPr>
          <w:p>
            <w:pPr>
              <w:spacing w:after="0"/>
              <w:jc w:val="right"/>
            </w:pPr>
            <w:r>
              <w:rPr>
                <w:b w:val="false"/>
                <w:bCs w:val="false"/>
                <w:sz w:val="18"/>
                <w:szCs w:val="18"/>
              </w:rPr>
              <w:t xml:space="preserve">0.0%</w:t>
            </w:r>
          </w:p>
        </w:tc>
        <w:tc>
          <w:tcPr>
            <w:tcW w:type="dxa" w:w="1081"/>
            <w:tcMar>
              <w:top w:type="dxa" w:w="60"/>
              <w:left w:type="dxa" w:w="90"/>
              <w:bottom w:type="dxa" w:w="60"/>
              <w:right w:type="dxa" w:w="90"/>
            </w:tcMar>
          </w:tcPr>
          <w:p>
            <w:pPr>
              <w:spacing w:after="0"/>
              <w:jc w:val="right"/>
            </w:pPr>
            <w:r>
              <w:rPr>
                <w:b w:val="false"/>
                <w:bCs w:val="false"/>
                <w:sz w:val="18"/>
                <w:szCs w:val="18"/>
              </w:rPr>
              <w:t xml:space="preserve">6,650</w:t>
            </w:r>
          </w:p>
        </w:tc>
        <w:tc>
          <w:tcPr>
            <w:tcW w:type="dxa" w:w="2162"/>
            <w:tcMar>
              <w:top w:type="dxa" w:w="60"/>
              <w:left w:type="dxa" w:w="90"/>
              <w:bottom w:type="dxa" w:w="60"/>
              <w:right w:type="dxa" w:w="90"/>
            </w:tcMar>
          </w:tcPr>
          <w:p>
            <w:pPr>
              <w:spacing w:after="0"/>
              <w:jc w:val="left"/>
            </w:pPr>
            <w:r>
              <w:rPr>
                <w:b w:val="false"/>
                <w:bCs w:val="false"/>
                <w:sz w:val="18"/>
                <w:szCs w:val="18"/>
              </w:rPr>
              <w:t xml:space="preserve">WEAKENING / LEADING</w:t>
            </w:r>
          </w:p>
        </w:tc>
        <w:tc>
          <w:tcPr>
            <w:tcW w:type="dxa" w:w="901"/>
            <w:tcMar>
              <w:top w:type="dxa" w:w="60"/>
              <w:left w:type="dxa" w:w="90"/>
              <w:bottom w:type="dxa" w:w="60"/>
              <w:right w:type="dxa" w:w="90"/>
            </w:tcMar>
          </w:tcPr>
          <w:p>
            <w:pPr>
              <w:spacing w:after="0"/>
              <w:jc w:val="left"/>
            </w:pPr>
            <w:r>
              <w:rPr>
                <w:b w:val="false"/>
                <w:bCs w:val="false"/>
                <w:sz w:val="18"/>
                <w:szCs w:val="18"/>
              </w:rPr>
              <w:t xml:space="preserve">Moderate</w:t>
            </w:r>
          </w:p>
        </w:tc>
        <w:tc>
          <w:tcPr>
            <w:tcW w:type="dxa" w:w="1079"/>
            <w:tcMar>
              <w:top w:type="dxa" w:w="60"/>
              <w:left w:type="dxa" w:w="90"/>
              <w:bottom w:type="dxa" w:w="60"/>
              <w:right w:type="dxa" w:w="90"/>
            </w:tcMar>
          </w:tcPr>
          <w:p>
            <w:pPr>
              <w:spacing w:after="0"/>
              <w:jc w:val="left"/>
            </w:pPr>
            <w:r>
              <w:rPr>
                <w:b w:val="false"/>
                <w:bCs w:val="false"/>
                <w:sz w:val="18"/>
                <w:szCs w:val="18"/>
              </w:rPr>
              <w:t xml:space="preserve">11-Nov-2026</w:t>
            </w:r>
          </w:p>
        </w:tc>
      </w:tr>
      <w:tr>
        <w:tc>
          <w:tcPr>
            <w:tcW w:type="dxa" w:w="1441"/>
            <w:shd w:fill="F2F2F2" w:color="auto" w:val="clear"/>
            <w:tcMar>
              <w:top w:type="dxa" w:w="60"/>
              <w:left w:type="dxa" w:w="90"/>
              <w:bottom w:type="dxa" w:w="60"/>
              <w:right w:type="dxa" w:w="90"/>
            </w:tcMar>
          </w:tcPr>
          <w:p>
            <w:pPr>
              <w:spacing w:after="0"/>
              <w:jc w:val="left"/>
            </w:pPr>
            <w:r>
              <w:rPr>
                <w:b w:val="false"/>
                <w:bCs w:val="false"/>
                <w:sz w:val="18"/>
                <w:szCs w:val="18"/>
              </w:rPr>
              <w:t xml:space="preserve">AEROFLEX</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19%</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23%</w:t>
            </w:r>
          </w:p>
        </w:tc>
        <w:tc>
          <w:tcPr>
            <w:tcW w:type="dxa" w:w="811"/>
            <w:shd w:fill="F2F2F2" w:color="auto" w:val="clear"/>
            <w:tcMar>
              <w:top w:type="dxa" w:w="60"/>
              <w:left w:type="dxa" w:w="90"/>
              <w:bottom w:type="dxa" w:w="60"/>
              <w:right w:type="dxa" w:w="90"/>
            </w:tcMar>
          </w:tcPr>
          <w:p>
            <w:pPr>
              <w:spacing w:after="0"/>
              <w:jc w:val="right"/>
            </w:pPr>
            <w:r>
              <w:rPr>
                <w:b w:val="false"/>
                <w:bCs w:val="false"/>
                <w:sz w:val="18"/>
                <w:szCs w:val="18"/>
              </w:rPr>
              <w:t xml:space="preserve">0.02</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0.0%</w:t>
            </w:r>
          </w:p>
        </w:tc>
        <w:tc>
          <w:tcPr>
            <w:tcW w:type="dxa" w:w="1081"/>
            <w:shd w:fill="F2F2F2" w:color="auto" w:val="clear"/>
            <w:tcMar>
              <w:top w:type="dxa" w:w="60"/>
              <w:left w:type="dxa" w:w="90"/>
              <w:bottom w:type="dxa" w:w="60"/>
              <w:right w:type="dxa" w:w="90"/>
            </w:tcMar>
          </w:tcPr>
          <w:p>
            <w:pPr>
              <w:spacing w:after="0"/>
              <w:jc w:val="right"/>
            </w:pPr>
            <w:r>
              <w:rPr>
                <w:b w:val="false"/>
                <w:bCs w:val="false"/>
                <w:sz w:val="18"/>
                <w:szCs w:val="18"/>
              </w:rPr>
              <w:t xml:space="preserve">6,957</w:t>
            </w:r>
          </w:p>
        </w:tc>
        <w:tc>
          <w:tcPr>
            <w:tcW w:type="dxa" w:w="2162"/>
            <w:shd w:fill="F2F2F2" w:color="auto" w:val="clear"/>
            <w:tcMar>
              <w:top w:type="dxa" w:w="60"/>
              <w:left w:type="dxa" w:w="90"/>
              <w:bottom w:type="dxa" w:w="60"/>
              <w:right w:type="dxa" w:w="90"/>
            </w:tcMar>
          </w:tcPr>
          <w:p>
            <w:pPr>
              <w:spacing w:after="0"/>
              <w:jc w:val="left"/>
            </w:pPr>
            <w:r>
              <w:rPr>
                <w:b w:val="false"/>
                <w:bCs w:val="false"/>
                <w:sz w:val="18"/>
                <w:szCs w:val="18"/>
              </w:rPr>
              <w:t xml:space="preserve">WEAKENING / WEAKENING</w:t>
            </w:r>
          </w:p>
        </w:tc>
        <w:tc>
          <w:tcPr>
            <w:tcW w:type="dxa" w:w="901"/>
            <w:shd w:fill="F2F2F2" w:color="auto" w:val="clear"/>
            <w:tcMar>
              <w:top w:type="dxa" w:w="60"/>
              <w:left w:type="dxa" w:w="90"/>
              <w:bottom w:type="dxa" w:w="60"/>
              <w:right w:type="dxa" w:w="90"/>
            </w:tcMar>
          </w:tcPr>
          <w:p>
            <w:pPr>
              <w:spacing w:after="0"/>
              <w:jc w:val="left"/>
            </w:pPr>
            <w:r>
              <w:rPr>
                <w:b w:val="false"/>
                <w:bCs w:val="false"/>
                <w:sz w:val="18"/>
                <w:szCs w:val="18"/>
              </w:rPr>
              <w:t xml:space="preserve">Low</w:t>
            </w:r>
          </w:p>
        </w:tc>
        <w:tc>
          <w:tcPr>
            <w:tcW w:type="dxa" w:w="1079"/>
            <w:shd w:fill="F2F2F2" w:color="auto" w:val="clear"/>
            <w:tcMar>
              <w:top w:type="dxa" w:w="60"/>
              <w:left w:type="dxa" w:w="90"/>
              <w:bottom w:type="dxa" w:w="60"/>
              <w:right w:type="dxa" w:w="90"/>
            </w:tcMar>
          </w:tcPr>
          <w:p>
            <w:pPr>
              <w:spacing w:after="0"/>
              <w:jc w:val="left"/>
            </w:pPr>
            <w:r>
              <w:rPr>
                <w:b w:val="false"/>
                <w:bCs w:val="false"/>
                <w:sz w:val="18"/>
                <w:szCs w:val="18"/>
              </w:rPr>
              <w:t xml:space="preserve">27-Oct-2026</w:t>
            </w:r>
          </w:p>
        </w:tc>
      </w:tr>
      <w:tr>
        <w:tc>
          <w:tcPr>
            <w:tcW w:type="dxa" w:w="1441"/>
            <w:tcMar>
              <w:top w:type="dxa" w:w="60"/>
              <w:left w:type="dxa" w:w="90"/>
              <w:bottom w:type="dxa" w:w="60"/>
              <w:right w:type="dxa" w:w="90"/>
            </w:tcMar>
          </w:tcPr>
          <w:p>
            <w:pPr>
              <w:spacing w:after="0"/>
              <w:jc w:val="left"/>
            </w:pPr>
            <w:r>
              <w:rPr>
                <w:b w:val="false"/>
                <w:bCs w:val="false"/>
                <w:sz w:val="18"/>
                <w:szCs w:val="18"/>
              </w:rPr>
              <w:t xml:space="preserve">TDPOWERSYS</w:t>
            </w:r>
          </w:p>
        </w:tc>
        <w:tc>
          <w:tcPr>
            <w:tcW w:type="dxa" w:w="721"/>
            <w:tcMar>
              <w:top w:type="dxa" w:w="60"/>
              <w:left w:type="dxa" w:w="90"/>
              <w:bottom w:type="dxa" w:w="60"/>
              <w:right w:type="dxa" w:w="90"/>
            </w:tcMar>
          </w:tcPr>
          <w:p>
            <w:pPr>
              <w:spacing w:after="0"/>
              <w:jc w:val="right"/>
            </w:pPr>
            <w:r>
              <w:rPr>
                <w:b w:val="false"/>
                <w:bCs w:val="false"/>
                <w:sz w:val="18"/>
                <w:szCs w:val="18"/>
              </w:rPr>
              <w:t xml:space="preserve">34%</w:t>
            </w:r>
          </w:p>
        </w:tc>
        <w:tc>
          <w:tcPr>
            <w:tcW w:type="dxa" w:w="721"/>
            <w:tcMar>
              <w:top w:type="dxa" w:w="60"/>
              <w:left w:type="dxa" w:w="90"/>
              <w:bottom w:type="dxa" w:w="60"/>
              <w:right w:type="dxa" w:w="90"/>
            </w:tcMar>
          </w:tcPr>
          <w:p>
            <w:pPr>
              <w:spacing w:after="0"/>
              <w:jc w:val="right"/>
            </w:pPr>
            <w:r>
              <w:rPr>
                <w:b w:val="false"/>
                <w:bCs w:val="false"/>
                <w:sz w:val="18"/>
                <w:szCs w:val="18"/>
              </w:rPr>
              <w:t xml:space="preserve">18%</w:t>
            </w:r>
          </w:p>
        </w:tc>
        <w:tc>
          <w:tcPr>
            <w:tcW w:type="dxa" w:w="811"/>
            <w:tcMar>
              <w:top w:type="dxa" w:w="60"/>
              <w:left w:type="dxa" w:w="90"/>
              <w:bottom w:type="dxa" w:w="60"/>
              <w:right w:type="dxa" w:w="90"/>
            </w:tcMar>
          </w:tcPr>
          <w:p>
            <w:pPr>
              <w:spacing w:after="0"/>
              <w:jc w:val="right"/>
            </w:pPr>
            <w:r>
              <w:rPr>
                <w:b w:val="false"/>
                <w:bCs w:val="false"/>
                <w:sz w:val="18"/>
                <w:szCs w:val="18"/>
              </w:rPr>
              <w:t xml:space="preserve">0.02</w:t>
            </w:r>
          </w:p>
        </w:tc>
        <w:tc>
          <w:tcPr>
            <w:tcW w:type="dxa" w:w="721"/>
            <w:tcMar>
              <w:top w:type="dxa" w:w="60"/>
              <w:left w:type="dxa" w:w="90"/>
              <w:bottom w:type="dxa" w:w="60"/>
              <w:right w:type="dxa" w:w="90"/>
            </w:tcMar>
          </w:tcPr>
          <w:p>
            <w:pPr>
              <w:spacing w:after="0"/>
              <w:jc w:val="right"/>
            </w:pPr>
            <w:r>
              <w:rPr>
                <w:b w:val="false"/>
                <w:bCs w:val="false"/>
                <w:sz w:val="18"/>
                <w:szCs w:val="18"/>
              </w:rPr>
              <w:t xml:space="preserve">0.0%</w:t>
            </w:r>
          </w:p>
        </w:tc>
        <w:tc>
          <w:tcPr>
            <w:tcW w:type="dxa" w:w="1081"/>
            <w:tcMar>
              <w:top w:type="dxa" w:w="60"/>
              <w:left w:type="dxa" w:w="90"/>
              <w:bottom w:type="dxa" w:w="60"/>
              <w:right w:type="dxa" w:w="90"/>
            </w:tcMar>
          </w:tcPr>
          <w:p>
            <w:pPr>
              <w:spacing w:after="0"/>
              <w:jc w:val="right"/>
            </w:pPr>
            <w:r>
              <w:rPr>
                <w:b w:val="false"/>
                <w:bCs w:val="false"/>
                <w:sz w:val="18"/>
                <w:szCs w:val="18"/>
              </w:rPr>
              <w:t xml:space="preserve">23,577</w:t>
            </w:r>
          </w:p>
        </w:tc>
        <w:tc>
          <w:tcPr>
            <w:tcW w:type="dxa" w:w="2162"/>
            <w:tcMar>
              <w:top w:type="dxa" w:w="60"/>
              <w:left w:type="dxa" w:w="90"/>
              <w:bottom w:type="dxa" w:w="60"/>
              <w:right w:type="dxa" w:w="90"/>
            </w:tcMar>
          </w:tcPr>
          <w:p>
            <w:pPr>
              <w:spacing w:after="0"/>
              <w:jc w:val="left"/>
            </w:pPr>
            <w:r>
              <w:rPr>
                <w:b w:val="false"/>
                <w:bCs w:val="false"/>
                <w:sz w:val="18"/>
                <w:szCs w:val="18"/>
              </w:rPr>
              <w:t xml:space="preserve">WEAKENING / WEAKENING</w:t>
            </w:r>
          </w:p>
        </w:tc>
        <w:tc>
          <w:tcPr>
            <w:tcW w:type="dxa" w:w="901"/>
            <w:tcMar>
              <w:top w:type="dxa" w:w="60"/>
              <w:left w:type="dxa" w:w="90"/>
              <w:bottom w:type="dxa" w:w="60"/>
              <w:right w:type="dxa" w:w="90"/>
            </w:tcMar>
          </w:tcPr>
          <w:p>
            <w:pPr>
              <w:spacing w:after="0"/>
              <w:jc w:val="left"/>
            </w:pPr>
            <w:r>
              <w:rPr>
                <w:b w:val="false"/>
                <w:bCs w:val="false"/>
                <w:sz w:val="18"/>
                <w:szCs w:val="18"/>
              </w:rPr>
              <w:t xml:space="preserve">Low</w:t>
            </w:r>
          </w:p>
        </w:tc>
        <w:tc>
          <w:tcPr>
            <w:tcW w:type="dxa" w:w="1079"/>
            <w:tcMar>
              <w:top w:type="dxa" w:w="60"/>
              <w:left w:type="dxa" w:w="90"/>
              <w:bottom w:type="dxa" w:w="60"/>
              <w:right w:type="dxa" w:w="90"/>
            </w:tcMar>
          </w:tcPr>
          <w:p>
            <w:pPr>
              <w:spacing w:after="0"/>
              <w:jc w:val="left"/>
            </w:pPr>
            <w:r>
              <w:rPr>
                <w:b w:val="false"/>
                <w:bCs w:val="false"/>
                <w:sz w:val="18"/>
                <w:szCs w:val="18"/>
              </w:rPr>
              <w:t xml:space="preserve">29-Oct-2026</w:t>
            </w:r>
          </w:p>
        </w:tc>
      </w:tr>
      <w:tr>
        <w:tc>
          <w:tcPr>
            <w:tcW w:type="dxa" w:w="1441"/>
            <w:shd w:fill="F2F2F2" w:color="auto" w:val="clear"/>
            <w:tcMar>
              <w:top w:type="dxa" w:w="60"/>
              <w:left w:type="dxa" w:w="90"/>
              <w:bottom w:type="dxa" w:w="60"/>
              <w:right w:type="dxa" w:w="90"/>
            </w:tcMar>
          </w:tcPr>
          <w:p>
            <w:pPr>
              <w:spacing w:after="0"/>
              <w:jc w:val="left"/>
            </w:pPr>
            <w:r>
              <w:rPr>
                <w:b w:val="false"/>
                <w:bCs w:val="false"/>
                <w:sz w:val="18"/>
                <w:szCs w:val="18"/>
              </w:rPr>
              <w:t xml:space="preserve">RAMRAT</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24%</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5%</w:t>
            </w:r>
          </w:p>
        </w:tc>
        <w:tc>
          <w:tcPr>
            <w:tcW w:type="dxa" w:w="811"/>
            <w:shd w:fill="F2F2F2" w:color="auto" w:val="clear"/>
            <w:tcMar>
              <w:top w:type="dxa" w:w="60"/>
              <w:left w:type="dxa" w:w="90"/>
              <w:bottom w:type="dxa" w:w="60"/>
              <w:right w:type="dxa" w:w="90"/>
            </w:tcMar>
          </w:tcPr>
          <w:p>
            <w:pPr>
              <w:spacing w:after="0"/>
              <w:jc w:val="right"/>
            </w:pPr>
            <w:r>
              <w:rPr>
                <w:b w:val="false"/>
                <w:bCs w:val="false"/>
                <w:sz w:val="18"/>
                <w:szCs w:val="18"/>
              </w:rPr>
              <w:t xml:space="preserve">1.17</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0.0%</w:t>
            </w:r>
          </w:p>
        </w:tc>
        <w:tc>
          <w:tcPr>
            <w:tcW w:type="dxa" w:w="1081"/>
            <w:shd w:fill="F2F2F2" w:color="auto" w:val="clear"/>
            <w:tcMar>
              <w:top w:type="dxa" w:w="60"/>
              <w:left w:type="dxa" w:w="90"/>
              <w:bottom w:type="dxa" w:w="60"/>
              <w:right w:type="dxa" w:w="90"/>
            </w:tcMar>
          </w:tcPr>
          <w:p>
            <w:pPr>
              <w:spacing w:after="0"/>
              <w:jc w:val="right"/>
            </w:pPr>
            <w:r>
              <w:rPr>
                <w:b w:val="false"/>
                <w:bCs w:val="false"/>
                <w:sz w:val="18"/>
                <w:szCs w:val="18"/>
              </w:rPr>
              <w:t xml:space="preserve">5,321</w:t>
            </w:r>
          </w:p>
        </w:tc>
        <w:tc>
          <w:tcPr>
            <w:tcW w:type="dxa" w:w="2162"/>
            <w:shd w:fill="F2F2F2" w:color="auto" w:val="clear"/>
            <w:tcMar>
              <w:top w:type="dxa" w:w="60"/>
              <w:left w:type="dxa" w:w="90"/>
              <w:bottom w:type="dxa" w:w="60"/>
              <w:right w:type="dxa" w:w="90"/>
            </w:tcMar>
          </w:tcPr>
          <w:p>
            <w:pPr>
              <w:spacing w:after="0"/>
              <w:jc w:val="left"/>
            </w:pPr>
            <w:r>
              <w:rPr>
                <w:b w:val="false"/>
                <w:bCs w:val="false"/>
                <w:sz w:val="18"/>
                <w:szCs w:val="18"/>
              </w:rPr>
              <w:t xml:space="preserve">WEAKENING / WEAKENING</w:t>
            </w:r>
          </w:p>
        </w:tc>
        <w:tc>
          <w:tcPr>
            <w:tcW w:type="dxa" w:w="901"/>
            <w:shd w:fill="F2F2F2" w:color="auto" w:val="clear"/>
            <w:tcMar>
              <w:top w:type="dxa" w:w="60"/>
              <w:left w:type="dxa" w:w="90"/>
              <w:bottom w:type="dxa" w:w="60"/>
              <w:right w:type="dxa" w:w="90"/>
            </w:tcMar>
          </w:tcPr>
          <w:p>
            <w:pPr>
              <w:spacing w:after="0"/>
              <w:jc w:val="left"/>
            </w:pPr>
            <w:r>
              <w:rPr>
                <w:b w:val="false"/>
                <w:bCs w:val="false"/>
                <w:sz w:val="18"/>
                <w:szCs w:val="18"/>
              </w:rPr>
              <w:t xml:space="preserve">Low</w:t>
            </w:r>
          </w:p>
        </w:tc>
        <w:tc>
          <w:tcPr>
            <w:tcW w:type="dxa" w:w="1079"/>
            <w:shd w:fill="F2F2F2" w:color="auto" w:val="clear"/>
            <w:tcMar>
              <w:top w:type="dxa" w:w="60"/>
              <w:left w:type="dxa" w:w="90"/>
              <w:bottom w:type="dxa" w:w="60"/>
              <w:right w:type="dxa" w:w="90"/>
            </w:tcMar>
          </w:tcPr>
          <w:p>
            <w:pPr>
              <w:spacing w:after="0"/>
              <w:jc w:val="left"/>
            </w:pPr>
            <w:r>
              <w:rPr>
                <w:b w:val="false"/>
                <w:bCs w:val="false"/>
                <w:sz w:val="18"/>
                <w:szCs w:val="18"/>
              </w:rPr>
              <w:t xml:space="preserve">11-Nov-2026</w:t>
            </w:r>
          </w:p>
        </w:tc>
      </w:tr>
      <w:tr>
        <w:tc>
          <w:tcPr>
            <w:tcW w:type="dxa" w:w="1441"/>
            <w:tcMar>
              <w:top w:type="dxa" w:w="60"/>
              <w:left w:type="dxa" w:w="90"/>
              <w:bottom w:type="dxa" w:w="60"/>
              <w:right w:type="dxa" w:w="90"/>
            </w:tcMar>
          </w:tcPr>
          <w:p>
            <w:pPr>
              <w:spacing w:after="0"/>
              <w:jc w:val="left"/>
            </w:pPr>
            <w:r>
              <w:rPr>
                <w:b w:val="false"/>
                <w:bCs w:val="false"/>
                <w:sz w:val="18"/>
                <w:szCs w:val="18"/>
              </w:rPr>
              <w:t xml:space="preserve">APARINDS</w:t>
            </w:r>
          </w:p>
        </w:tc>
        <w:tc>
          <w:tcPr>
            <w:tcW w:type="dxa" w:w="721"/>
            <w:tcMar>
              <w:top w:type="dxa" w:w="60"/>
              <w:left w:type="dxa" w:w="90"/>
              <w:bottom w:type="dxa" w:w="60"/>
              <w:right w:type="dxa" w:w="90"/>
            </w:tcMar>
          </w:tcPr>
          <w:p>
            <w:pPr>
              <w:spacing w:after="0"/>
              <w:jc w:val="right"/>
            </w:pPr>
            <w:r>
              <w:rPr>
                <w:b w:val="false"/>
                <w:bCs w:val="false"/>
                <w:sz w:val="18"/>
                <w:szCs w:val="18"/>
              </w:rPr>
              <w:t xml:space="preserve">32%</w:t>
            </w:r>
          </w:p>
        </w:tc>
        <w:tc>
          <w:tcPr>
            <w:tcW w:type="dxa" w:w="721"/>
            <w:tcMar>
              <w:top w:type="dxa" w:w="60"/>
              <w:left w:type="dxa" w:w="90"/>
              <w:bottom w:type="dxa" w:w="60"/>
              <w:right w:type="dxa" w:w="90"/>
            </w:tcMar>
          </w:tcPr>
          <w:p>
            <w:pPr>
              <w:spacing w:after="0"/>
              <w:jc w:val="right"/>
            </w:pPr>
            <w:r>
              <w:rPr>
                <w:b w:val="false"/>
                <w:bCs w:val="false"/>
                <w:sz w:val="18"/>
                <w:szCs w:val="18"/>
              </w:rPr>
              <w:t xml:space="preserve">9%</w:t>
            </w:r>
          </w:p>
        </w:tc>
        <w:tc>
          <w:tcPr>
            <w:tcW w:type="dxa" w:w="811"/>
            <w:tcMar>
              <w:top w:type="dxa" w:w="60"/>
              <w:left w:type="dxa" w:w="90"/>
              <w:bottom w:type="dxa" w:w="60"/>
              <w:right w:type="dxa" w:w="90"/>
            </w:tcMar>
          </w:tcPr>
          <w:p>
            <w:pPr>
              <w:spacing w:after="0"/>
              <w:jc w:val="right"/>
            </w:pPr>
            <w:r>
              <w:rPr>
                <w:b w:val="false"/>
                <w:bCs w:val="false"/>
                <w:sz w:val="18"/>
                <w:szCs w:val="18"/>
              </w:rPr>
              <w:t xml:space="preserve">0.18</w:t>
            </w:r>
          </w:p>
        </w:tc>
        <w:tc>
          <w:tcPr>
            <w:tcW w:type="dxa" w:w="721"/>
            <w:tcMar>
              <w:top w:type="dxa" w:w="60"/>
              <w:left w:type="dxa" w:w="90"/>
              <w:bottom w:type="dxa" w:w="60"/>
              <w:right w:type="dxa" w:w="90"/>
            </w:tcMar>
          </w:tcPr>
          <w:p>
            <w:pPr>
              <w:spacing w:after="0"/>
              <w:jc w:val="right"/>
            </w:pPr>
            <w:r>
              <w:rPr>
                <w:b w:val="false"/>
                <w:bCs w:val="false"/>
                <w:sz w:val="18"/>
                <w:szCs w:val="18"/>
              </w:rPr>
              <w:t xml:space="preserve">0.0%</w:t>
            </w:r>
          </w:p>
        </w:tc>
        <w:tc>
          <w:tcPr>
            <w:tcW w:type="dxa" w:w="1081"/>
            <w:tcMar>
              <w:top w:type="dxa" w:w="60"/>
              <w:left w:type="dxa" w:w="90"/>
              <w:bottom w:type="dxa" w:w="60"/>
              <w:right w:type="dxa" w:w="90"/>
            </w:tcMar>
          </w:tcPr>
          <w:p>
            <w:pPr>
              <w:spacing w:after="0"/>
              <w:jc w:val="right"/>
            </w:pPr>
            <w:r>
              <w:rPr>
                <w:b w:val="false"/>
                <w:bCs w:val="false"/>
                <w:sz w:val="18"/>
                <w:szCs w:val="18"/>
              </w:rPr>
              <w:t xml:space="preserve">74,432</w:t>
            </w:r>
          </w:p>
        </w:tc>
        <w:tc>
          <w:tcPr>
            <w:tcW w:type="dxa" w:w="2162"/>
            <w:tcMar>
              <w:top w:type="dxa" w:w="60"/>
              <w:left w:type="dxa" w:w="90"/>
              <w:bottom w:type="dxa" w:w="60"/>
              <w:right w:type="dxa" w:w="90"/>
            </w:tcMar>
          </w:tcPr>
          <w:p>
            <w:pPr>
              <w:spacing w:after="0"/>
              <w:jc w:val="left"/>
            </w:pPr>
            <w:r>
              <w:rPr>
                <w:b w:val="false"/>
                <w:bCs w:val="false"/>
                <w:sz w:val="18"/>
                <w:szCs w:val="18"/>
              </w:rPr>
              <w:t xml:space="preserve">WEAKENING / WEAKENING</w:t>
            </w:r>
          </w:p>
        </w:tc>
        <w:tc>
          <w:tcPr>
            <w:tcW w:type="dxa" w:w="901"/>
            <w:tcMar>
              <w:top w:type="dxa" w:w="60"/>
              <w:left w:type="dxa" w:w="90"/>
              <w:bottom w:type="dxa" w:w="60"/>
              <w:right w:type="dxa" w:w="90"/>
            </w:tcMar>
          </w:tcPr>
          <w:p>
            <w:pPr>
              <w:spacing w:after="0"/>
              <w:jc w:val="left"/>
            </w:pPr>
            <w:r>
              <w:rPr>
                <w:b w:val="false"/>
                <w:bCs w:val="false"/>
                <w:sz w:val="18"/>
                <w:szCs w:val="18"/>
              </w:rPr>
              <w:t xml:space="preserve">Low</w:t>
            </w:r>
          </w:p>
        </w:tc>
        <w:tc>
          <w:tcPr>
            <w:tcW w:type="dxa" w:w="1079"/>
            <w:tcMar>
              <w:top w:type="dxa" w:w="60"/>
              <w:left w:type="dxa" w:w="90"/>
              <w:bottom w:type="dxa" w:w="60"/>
              <w:right w:type="dxa" w:w="90"/>
            </w:tcMar>
          </w:tcPr>
          <w:p>
            <w:pPr>
              <w:spacing w:after="0"/>
              <w:jc w:val="left"/>
            </w:pPr>
            <w:r>
              <w:rPr>
                <w:b w:val="false"/>
                <w:bCs w:val="false"/>
                <w:sz w:val="18"/>
                <w:szCs w:val="18"/>
              </w:rPr>
              <w:t xml:space="preserve">28-Oct-2026</w:t>
            </w:r>
          </w:p>
        </w:tc>
      </w:tr>
      <w:tr>
        <w:tc>
          <w:tcPr>
            <w:tcW w:type="dxa" w:w="1441"/>
            <w:shd w:fill="F2F2F2" w:color="auto" w:val="clear"/>
            <w:tcMar>
              <w:top w:type="dxa" w:w="60"/>
              <w:left w:type="dxa" w:w="90"/>
              <w:bottom w:type="dxa" w:w="60"/>
              <w:right w:type="dxa" w:w="90"/>
            </w:tcMar>
          </w:tcPr>
          <w:p>
            <w:pPr>
              <w:spacing w:after="0"/>
              <w:jc w:val="left"/>
            </w:pPr>
            <w:r>
              <w:rPr>
                <w:b w:val="false"/>
                <w:bCs w:val="false"/>
                <w:sz w:val="18"/>
                <w:szCs w:val="18"/>
              </w:rPr>
              <w:t xml:space="preserve">ACMESOLAR</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9%</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w:t>
            </w:r>
          </w:p>
        </w:tc>
        <w:tc>
          <w:tcPr>
            <w:tcW w:type="dxa" w:w="811"/>
            <w:shd w:fill="F2F2F2" w:color="auto" w:val="clear"/>
            <w:tcMar>
              <w:top w:type="dxa" w:w="60"/>
              <w:left w:type="dxa" w:w="90"/>
              <w:bottom w:type="dxa" w:w="60"/>
              <w:right w:type="dxa" w:w="90"/>
            </w:tcMar>
          </w:tcPr>
          <w:p>
            <w:pPr>
              <w:spacing w:after="0"/>
              <w:jc w:val="right"/>
            </w:pPr>
            <w:r>
              <w:rPr>
                <w:b w:val="false"/>
                <w:bCs w:val="false"/>
                <w:sz w:val="18"/>
                <w:szCs w:val="18"/>
              </w:rPr>
              <w:t xml:space="preserve">—</w:t>
            </w:r>
          </w:p>
        </w:tc>
        <w:tc>
          <w:tcPr>
            <w:tcW w:type="dxa" w:w="721"/>
            <w:shd w:fill="F2F2F2" w:color="auto" w:val="clear"/>
            <w:tcMar>
              <w:top w:type="dxa" w:w="60"/>
              <w:left w:type="dxa" w:w="90"/>
              <w:bottom w:type="dxa" w:w="60"/>
              <w:right w:type="dxa" w:w="90"/>
            </w:tcMar>
          </w:tcPr>
          <w:p>
            <w:pPr>
              <w:spacing w:after="0"/>
              <w:jc w:val="right"/>
            </w:pPr>
            <w:r>
              <w:rPr>
                <w:b w:val="false"/>
                <w:bCs w:val="false"/>
                <w:sz w:val="18"/>
                <w:szCs w:val="18"/>
              </w:rPr>
              <w:t xml:space="preserve">0.0%</w:t>
            </w:r>
          </w:p>
        </w:tc>
        <w:tc>
          <w:tcPr>
            <w:tcW w:type="dxa" w:w="1081"/>
            <w:shd w:fill="F2F2F2" w:color="auto" w:val="clear"/>
            <w:tcMar>
              <w:top w:type="dxa" w:w="60"/>
              <w:left w:type="dxa" w:w="90"/>
              <w:bottom w:type="dxa" w:w="60"/>
              <w:right w:type="dxa" w:w="90"/>
            </w:tcMar>
          </w:tcPr>
          <w:p>
            <w:pPr>
              <w:spacing w:after="0"/>
              <w:jc w:val="right"/>
            </w:pPr>
            <w:r>
              <w:rPr>
                <w:b w:val="false"/>
                <w:bCs w:val="false"/>
                <w:sz w:val="18"/>
                <w:szCs w:val="18"/>
              </w:rPr>
              <w:t xml:space="preserve">31,307</w:t>
            </w:r>
          </w:p>
        </w:tc>
        <w:tc>
          <w:tcPr>
            <w:tcW w:type="dxa" w:w="2162"/>
            <w:shd w:fill="F2F2F2" w:color="auto" w:val="clear"/>
            <w:tcMar>
              <w:top w:type="dxa" w:w="60"/>
              <w:left w:type="dxa" w:w="90"/>
              <w:bottom w:type="dxa" w:w="60"/>
              <w:right w:type="dxa" w:w="90"/>
            </w:tcMar>
          </w:tcPr>
          <w:p>
            <w:pPr>
              <w:spacing w:after="0"/>
              <w:jc w:val="left"/>
            </w:pPr>
            <w:r>
              <w:rPr>
                <w:b w:val="false"/>
                <w:bCs w:val="false"/>
                <w:sz w:val="18"/>
                <w:szCs w:val="18"/>
              </w:rPr>
              <w:t xml:space="preserve">LEADING / LEADING</w:t>
            </w:r>
          </w:p>
        </w:tc>
        <w:tc>
          <w:tcPr>
            <w:tcW w:type="dxa" w:w="901"/>
            <w:shd w:fill="F2F2F2" w:color="auto" w:val="clear"/>
            <w:tcMar>
              <w:top w:type="dxa" w:w="60"/>
              <w:left w:type="dxa" w:w="90"/>
              <w:bottom w:type="dxa" w:w="60"/>
              <w:right w:type="dxa" w:w="90"/>
            </w:tcMar>
          </w:tcPr>
          <w:p>
            <w:pPr>
              <w:spacing w:after="0"/>
              <w:jc w:val="left"/>
            </w:pPr>
            <w:r>
              <w:rPr>
                <w:b w:val="false"/>
                <w:bCs w:val="false"/>
                <w:sz w:val="18"/>
                <w:szCs w:val="18"/>
              </w:rPr>
              <w:t xml:space="preserve">High</w:t>
            </w:r>
          </w:p>
        </w:tc>
        <w:tc>
          <w:tcPr>
            <w:tcW w:type="dxa" w:w="1079"/>
            <w:shd w:fill="F2F2F2" w:color="auto" w:val="clear"/>
            <w:tcMar>
              <w:top w:type="dxa" w:w="60"/>
              <w:left w:type="dxa" w:w="90"/>
              <w:bottom w:type="dxa" w:w="60"/>
              <w:right w:type="dxa" w:w="90"/>
            </w:tcMar>
          </w:tcPr>
          <w:p>
            <w:pPr>
              <w:spacing w:after="0"/>
              <w:jc w:val="left"/>
            </w:pPr>
            <w:r>
              <w:rPr>
                <w:b w:val="false"/>
                <w:bCs w:val="false"/>
                <w:sz w:val="18"/>
                <w:szCs w:val="18"/>
              </w:rPr>
              <w:t xml:space="preserve">02-Nov-2026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7"/>
        <w:gridCol w:w="784"/>
        <w:gridCol w:w="1121"/>
        <w:gridCol w:w="1121"/>
        <w:gridCol w:w="1121"/>
        <w:gridCol w:w="1345"/>
        <w:gridCol w:w="897"/>
        <w:gridCol w:w="1232"/>
      </w:tblGrid>
      <w:tr>
        <w:trPr>
          <w:tblHeader/>
        </w:trPr>
        <w:tc>
          <w:tcPr>
            <w:tcW w:type="dxa" w:w="2017"/>
            <w:shd w:fill="1F3864" w:color="auto" w:val="clear"/>
            <w:tcMar>
              <w:top w:type="dxa" w:w="60"/>
              <w:left w:type="dxa" w:w="90"/>
              <w:bottom w:type="dxa" w:w="60"/>
              <w:right w:type="dxa" w:w="90"/>
            </w:tcMar>
          </w:tcPr>
          <w:p>
            <w:pPr>
              <w:spacing w:after="0"/>
              <w:jc w:val="left"/>
            </w:pPr>
            <w:r>
              <w:rPr>
                <w:b/>
                <w:bCs/>
                <w:color w:val="FFFFFF"/>
                <w:sz w:val="18"/>
                <w:szCs w:val="18"/>
              </w:rPr>
              <w:t xml:space="preserve">Reserve (in order)</w:t>
            </w:r>
          </w:p>
        </w:tc>
        <w:tc>
          <w:tcPr>
            <w:tcW w:type="dxa" w:w="784"/>
            <w:shd w:fill="1F3864" w:color="auto" w:val="clear"/>
            <w:tcMar>
              <w:top w:type="dxa" w:w="60"/>
              <w:left w:type="dxa" w:w="90"/>
              <w:bottom w:type="dxa" w:w="60"/>
              <w:right w:type="dxa" w:w="90"/>
            </w:tcMar>
          </w:tcPr>
          <w:p>
            <w:pPr>
              <w:spacing w:after="0"/>
              <w:jc w:val="left"/>
            </w:pPr>
            <w:r>
              <w:rPr>
                <w:b/>
                <w:bCs/>
                <w:color w:val="FFFFFF"/>
                <w:sz w:val="18"/>
                <w:szCs w:val="18"/>
              </w:rPr>
              <w:t xml:space="preserve">Rank</w:t>
            </w:r>
          </w:p>
        </w:tc>
        <w:tc>
          <w:tcPr>
            <w:tcW w:type="dxa" w:w="1121"/>
            <w:shd w:fill="1F3864" w:color="auto" w:val="clear"/>
            <w:tcMar>
              <w:top w:type="dxa" w:w="60"/>
              <w:left w:type="dxa" w:w="90"/>
              <w:bottom w:type="dxa" w:w="60"/>
              <w:right w:type="dxa" w:w="90"/>
            </w:tcMar>
          </w:tcPr>
          <w:p>
            <w:pPr>
              <w:spacing w:after="0"/>
              <w:jc w:val="left"/>
            </w:pPr>
            <w:r>
              <w:rPr>
                <w:b/>
                <w:bCs/>
                <w:color w:val="FFFFFF"/>
                <w:sz w:val="18"/>
                <w:szCs w:val="18"/>
              </w:rPr>
              <w:t xml:space="preserve">6m RS</w:t>
            </w:r>
          </w:p>
        </w:tc>
        <w:tc>
          <w:tcPr>
            <w:tcW w:type="dxa" w:w="1121"/>
            <w:shd w:fill="1F3864" w:color="auto" w:val="clear"/>
            <w:tcMar>
              <w:top w:type="dxa" w:w="60"/>
              <w:left w:type="dxa" w:w="90"/>
              <w:bottom w:type="dxa" w:w="60"/>
              <w:right w:type="dxa" w:w="90"/>
            </w:tcMar>
          </w:tcPr>
          <w:p>
            <w:pPr>
              <w:spacing w:after="0"/>
              <w:jc w:val="left"/>
            </w:pPr>
            <w:r>
              <w:rPr>
                <w:b/>
                <w:bCs/>
                <w:color w:val="FFFFFF"/>
                <w:sz w:val="18"/>
                <w:szCs w:val="18"/>
              </w:rPr>
              <w:t xml:space="preserve">3m RS</w:t>
            </w:r>
          </w:p>
        </w:tc>
        <w:tc>
          <w:tcPr>
            <w:tcW w:type="dxa" w:w="1121"/>
            <w:shd w:fill="1F3864" w:color="auto" w:val="clear"/>
            <w:tcMar>
              <w:top w:type="dxa" w:w="60"/>
              <w:left w:type="dxa" w:w="90"/>
              <w:bottom w:type="dxa" w:w="60"/>
              <w:right w:type="dxa" w:w="90"/>
            </w:tcMar>
          </w:tcPr>
          <w:p>
            <w:pPr>
              <w:spacing w:after="0"/>
              <w:jc w:val="left"/>
            </w:pPr>
            <w:r>
              <w:rPr>
                <w:b/>
                <w:bCs/>
                <w:color w:val="FFFFFF"/>
                <w:sz w:val="18"/>
                <w:szCs w:val="18"/>
              </w:rPr>
              <w:t xml:space="preserve">Profit YoY</w:t>
            </w:r>
          </w:p>
        </w:tc>
        <w:tc>
          <w:tcPr>
            <w:tcW w:type="dxa" w:w="1345"/>
            <w:shd w:fill="1F3864" w:color="auto" w:val="clear"/>
            <w:tcMar>
              <w:top w:type="dxa" w:w="60"/>
              <w:left w:type="dxa" w:w="90"/>
              <w:bottom w:type="dxa" w:w="60"/>
              <w:right w:type="dxa" w:w="90"/>
            </w:tcMar>
          </w:tcPr>
          <w:p>
            <w:pPr>
              <w:spacing w:after="0"/>
              <w:jc w:val="left"/>
            </w:pPr>
            <w:r>
              <w:rPr>
                <w:b/>
                <w:bCs/>
                <w:color w:val="FFFFFF"/>
                <w:sz w:val="18"/>
                <w:szCs w:val="18"/>
              </w:rPr>
              <w:t xml:space="preserve">Turnover ₹cr/d</w:t>
            </w:r>
          </w:p>
        </w:tc>
        <w:tc>
          <w:tcPr>
            <w:tcW w:type="dxa" w:w="897"/>
            <w:shd w:fill="1F3864" w:color="auto" w:val="clear"/>
            <w:tcMar>
              <w:top w:type="dxa" w:w="60"/>
              <w:left w:type="dxa" w:w="90"/>
              <w:bottom w:type="dxa" w:w="60"/>
              <w:right w:type="dxa" w:w="90"/>
            </w:tcMar>
          </w:tcPr>
          <w:p>
            <w:pPr>
              <w:spacing w:after="0"/>
              <w:jc w:val="left"/>
            </w:pPr>
            <w:r>
              <w:rPr>
                <w:b/>
                <w:bCs/>
                <w:color w:val="FFFFFF"/>
                <w:sz w:val="18"/>
                <w:szCs w:val="18"/>
              </w:rPr>
              <w:t xml:space="preserve">P/E</w:t>
            </w:r>
          </w:p>
        </w:tc>
        <w:tc>
          <w:tcPr>
            <w:tcW w:type="dxa" w:w="1232"/>
            <w:shd w:fill="1F3864" w:color="auto" w:val="clear"/>
            <w:tcMar>
              <w:top w:type="dxa" w:w="60"/>
              <w:left w:type="dxa" w:w="90"/>
              <w:bottom w:type="dxa" w:w="60"/>
              <w:right w:type="dxa" w:w="90"/>
            </w:tcMar>
          </w:tcPr>
          <w:p>
            <w:pPr>
              <w:spacing w:after="0"/>
              <w:jc w:val="left"/>
            </w:pPr>
            <w:r>
              <w:rPr>
                <w:b/>
                <w:bCs/>
                <w:color w:val="FFFFFF"/>
                <w:sz w:val="18"/>
                <w:szCs w:val="18"/>
              </w:rPr>
              <w:t xml:space="preserve">Conviction</w:t>
            </w:r>
          </w:p>
        </w:tc>
      </w:tr>
      <w:tr>
        <w:tc>
          <w:tcPr>
            <w:tcW w:type="dxa" w:w="2017"/>
            <w:tcMar>
              <w:top w:type="dxa" w:w="60"/>
              <w:left w:type="dxa" w:w="90"/>
              <w:bottom w:type="dxa" w:w="60"/>
              <w:right w:type="dxa" w:w="90"/>
            </w:tcMar>
          </w:tcPr>
          <w:p>
            <w:pPr>
              <w:spacing w:after="0"/>
              <w:jc w:val="left"/>
            </w:pPr>
            <w:r>
              <w:rPr>
                <w:b w:val="false"/>
                <w:bCs w:val="false"/>
                <w:sz w:val="18"/>
                <w:szCs w:val="18"/>
              </w:rPr>
              <w:t xml:space="preserve">QPOWER</w:t>
            </w:r>
          </w:p>
        </w:tc>
        <w:tc>
          <w:tcPr>
            <w:tcW w:type="dxa" w:w="784"/>
            <w:tcMar>
              <w:top w:type="dxa" w:w="60"/>
              <w:left w:type="dxa" w:w="90"/>
              <w:bottom w:type="dxa" w:w="60"/>
              <w:right w:type="dxa" w:w="90"/>
            </w:tcMar>
          </w:tcPr>
          <w:p>
            <w:pPr>
              <w:spacing w:after="0"/>
              <w:jc w:val="right"/>
            </w:pPr>
            <w:r>
              <w:rPr>
                <w:b w:val="false"/>
                <w:bCs w:val="false"/>
                <w:sz w:val="18"/>
                <w:szCs w:val="18"/>
              </w:rPr>
              <w:t xml:space="preserve">9</w:t>
            </w:r>
          </w:p>
        </w:tc>
        <w:tc>
          <w:tcPr>
            <w:tcW w:type="dxa" w:w="1121"/>
            <w:tcMar>
              <w:top w:type="dxa" w:w="60"/>
              <w:left w:type="dxa" w:w="90"/>
              <w:bottom w:type="dxa" w:w="60"/>
              <w:right w:type="dxa" w:w="90"/>
            </w:tcMar>
          </w:tcPr>
          <w:p>
            <w:pPr>
              <w:spacing w:after="0"/>
              <w:jc w:val="right"/>
            </w:pPr>
            <w:r>
              <w:rPr>
                <w:b w:val="false"/>
                <w:bCs w:val="false"/>
                <w:sz w:val="18"/>
                <w:szCs w:val="18"/>
              </w:rPr>
              <w:t xml:space="preserve">+49%</w:t>
            </w:r>
          </w:p>
        </w:tc>
        <w:tc>
          <w:tcPr>
            <w:tcW w:type="dxa" w:w="1121"/>
            <w:tcMar>
              <w:top w:type="dxa" w:w="60"/>
              <w:left w:type="dxa" w:w="90"/>
              <w:bottom w:type="dxa" w:w="60"/>
              <w:right w:type="dxa" w:w="90"/>
            </w:tcMar>
          </w:tcPr>
          <w:p>
            <w:pPr>
              <w:spacing w:after="0"/>
              <w:jc w:val="right"/>
            </w:pPr>
            <w:r>
              <w:rPr>
                <w:b w:val="false"/>
                <w:bCs w:val="false"/>
                <w:sz w:val="18"/>
                <w:szCs w:val="18"/>
              </w:rPr>
              <w:t xml:space="preserve">+27%</w:t>
            </w:r>
          </w:p>
        </w:tc>
        <w:tc>
          <w:tcPr>
            <w:tcW w:type="dxa" w:w="1121"/>
            <w:tcMar>
              <w:top w:type="dxa" w:w="60"/>
              <w:left w:type="dxa" w:w="90"/>
              <w:bottom w:type="dxa" w:w="60"/>
              <w:right w:type="dxa" w:w="90"/>
            </w:tcMar>
          </w:tcPr>
          <w:p>
            <w:pPr>
              <w:spacing w:after="0"/>
              <w:jc w:val="right"/>
            </w:pPr>
            <w:r>
              <w:rPr>
                <w:b w:val="false"/>
                <w:bCs w:val="false"/>
                <w:sz w:val="18"/>
                <w:szCs w:val="18"/>
              </w:rPr>
              <w:t xml:space="preserve">+50%</w:t>
            </w:r>
          </w:p>
        </w:tc>
        <w:tc>
          <w:tcPr>
            <w:tcW w:type="dxa" w:w="1345"/>
            <w:tcMar>
              <w:top w:type="dxa" w:w="60"/>
              <w:left w:type="dxa" w:w="90"/>
              <w:bottom w:type="dxa" w:w="60"/>
              <w:right w:type="dxa" w:w="90"/>
            </w:tcMar>
          </w:tcPr>
          <w:p>
            <w:pPr>
              <w:spacing w:after="0"/>
              <w:jc w:val="right"/>
            </w:pPr>
            <w:r>
              <w:rPr>
                <w:b w:val="false"/>
                <w:bCs w:val="false"/>
                <w:sz w:val="18"/>
                <w:szCs w:val="18"/>
              </w:rPr>
              <w:t xml:space="preserve">24</w:t>
            </w:r>
          </w:p>
        </w:tc>
        <w:tc>
          <w:tcPr>
            <w:tcW w:type="dxa" w:w="897"/>
            <w:tcMar>
              <w:top w:type="dxa" w:w="60"/>
              <w:left w:type="dxa" w:w="90"/>
              <w:bottom w:type="dxa" w:w="60"/>
              <w:right w:type="dxa" w:w="90"/>
            </w:tcMar>
          </w:tcPr>
          <w:p>
            <w:pPr>
              <w:spacing w:after="0"/>
              <w:jc w:val="right"/>
            </w:pPr>
            <w:r>
              <w:rPr>
                <w:b w:val="false"/>
                <w:bCs w:val="false"/>
                <w:sz w:val="18"/>
                <w:szCs w:val="18"/>
              </w:rPr>
              <w:t xml:space="preserve">88</w:t>
            </w:r>
          </w:p>
        </w:tc>
        <w:tc>
          <w:tcPr>
            <w:tcW w:type="dxa" w:w="1232"/>
            <w:tcMar>
              <w:top w:type="dxa" w:w="60"/>
              <w:left w:type="dxa" w:w="90"/>
              <w:bottom w:type="dxa" w:w="60"/>
              <w:right w:type="dxa" w:w="90"/>
            </w:tcMar>
          </w:tcPr>
          <w:p>
            <w:pPr>
              <w:spacing w:after="0"/>
              <w:jc w:val="left"/>
            </w:pPr>
            <w:r>
              <w:rPr>
                <w:b w:val="false"/>
                <w:bCs w:val="false"/>
                <w:sz w:val="18"/>
                <w:szCs w:val="18"/>
              </w:rPr>
              <w:t xml:space="preserve">Low</w:t>
            </w:r>
          </w:p>
        </w:tc>
      </w:tr>
      <w:tr>
        <w:tc>
          <w:tcPr>
            <w:tcW w:type="dxa" w:w="2017"/>
            <w:shd w:fill="F2F2F2" w:color="auto" w:val="clear"/>
            <w:tcMar>
              <w:top w:type="dxa" w:w="60"/>
              <w:left w:type="dxa" w:w="90"/>
              <w:bottom w:type="dxa" w:w="60"/>
              <w:right w:type="dxa" w:w="90"/>
            </w:tcMar>
          </w:tcPr>
          <w:p>
            <w:pPr>
              <w:spacing w:after="0"/>
              <w:jc w:val="left"/>
            </w:pPr>
            <w:r>
              <w:rPr>
                <w:b w:val="false"/>
                <w:bCs w:val="false"/>
                <w:sz w:val="18"/>
                <w:szCs w:val="18"/>
              </w:rPr>
              <w:t xml:space="preserve">FINCABLES</w:t>
            </w:r>
          </w:p>
        </w:tc>
        <w:tc>
          <w:tcPr>
            <w:tcW w:type="dxa" w:w="784"/>
            <w:shd w:fill="F2F2F2" w:color="auto" w:val="clear"/>
            <w:tcMar>
              <w:top w:type="dxa" w:w="60"/>
              <w:left w:type="dxa" w:w="90"/>
              <w:bottom w:type="dxa" w:w="60"/>
              <w:right w:type="dxa" w:w="90"/>
            </w:tcMar>
          </w:tcPr>
          <w:p>
            <w:pPr>
              <w:spacing w:after="0"/>
              <w:jc w:val="right"/>
            </w:pPr>
            <w:r>
              <w:rPr>
                <w:b w:val="false"/>
                <w:bCs w:val="false"/>
                <w:sz w:val="18"/>
                <w:szCs w:val="18"/>
              </w:rPr>
              <w:t xml:space="preserve">10</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+45%</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+26%</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1345"/>
            <w:shd w:fill="F2F2F2" w:color="auto" w:val="clear"/>
            <w:tcMar>
              <w:top w:type="dxa" w:w="60"/>
              <w:left w:type="dxa" w:w="90"/>
              <w:bottom w:type="dxa" w:w="60"/>
              <w:right w:type="dxa" w:w="90"/>
            </w:tcMar>
          </w:tcPr>
          <w:p>
            <w:pPr>
              <w:spacing w:after="0"/>
              <w:jc w:val="right"/>
            </w:pPr>
            <w:r>
              <w:rPr>
                <w:b w:val="false"/>
                <w:bCs w:val="false"/>
                <w:sz w:val="18"/>
                <w:szCs w:val="18"/>
              </w:rPr>
              <w:t xml:space="preserve">56</w:t>
            </w:r>
          </w:p>
        </w:tc>
        <w:tc>
          <w:tcPr>
            <w:tcW w:type="dxa" w:w="897"/>
            <w:shd w:fill="F2F2F2" w:color="auto" w:val="clear"/>
            <w:tcMar>
              <w:top w:type="dxa" w:w="60"/>
              <w:left w:type="dxa" w:w="90"/>
              <w:bottom w:type="dxa" w:w="60"/>
              <w:right w:type="dxa" w:w="90"/>
            </w:tcMar>
          </w:tcPr>
          <w:p>
            <w:pPr>
              <w:spacing w:after="0"/>
              <w:jc w:val="right"/>
            </w:pPr>
            <w:r>
              <w:rPr>
                <w:b w:val="false"/>
                <w:bCs w:val="false"/>
                <w:sz w:val="18"/>
                <w:szCs w:val="18"/>
              </w:rPr>
              <w:t xml:space="preserve">28</w:t>
            </w:r>
          </w:p>
        </w:tc>
        <w:tc>
          <w:tcPr>
            <w:tcW w:type="dxa" w:w="1232"/>
            <w:shd w:fill="F2F2F2" w:color="auto" w:val="clear"/>
            <w:tcMar>
              <w:top w:type="dxa" w:w="60"/>
              <w:left w:type="dxa" w:w="90"/>
              <w:bottom w:type="dxa" w:w="60"/>
              <w:right w:type="dxa" w:w="90"/>
            </w:tcMar>
          </w:tcPr>
          <w:p>
            <w:pPr>
              <w:spacing w:after="0"/>
              <w:jc w:val="left"/>
            </w:pPr>
            <w:r>
              <w:rPr>
                <w:b w:val="false"/>
                <w:bCs w:val="false"/>
                <w:sz w:val="18"/>
                <w:szCs w:val="18"/>
              </w:rPr>
              <w:t xml:space="preserve">High</w:t>
            </w:r>
          </w:p>
        </w:tc>
      </w:tr>
      <w:tr>
        <w:tc>
          <w:tcPr>
            <w:tcW w:type="dxa" w:w="2017"/>
            <w:tcMar>
              <w:top w:type="dxa" w:w="60"/>
              <w:left w:type="dxa" w:w="90"/>
              <w:bottom w:type="dxa" w:w="60"/>
              <w:right w:type="dxa" w:w="90"/>
            </w:tcMar>
          </w:tcPr>
          <w:p>
            <w:pPr>
              <w:spacing w:after="0"/>
              <w:jc w:val="left"/>
            </w:pPr>
            <w:r>
              <w:rPr>
                <w:b w:val="false"/>
                <w:bCs w:val="false"/>
                <w:sz w:val="18"/>
                <w:szCs w:val="18"/>
              </w:rPr>
              <w:t xml:space="preserve">GRINDWELL</w:t>
            </w:r>
          </w:p>
        </w:tc>
        <w:tc>
          <w:tcPr>
            <w:tcW w:type="dxa" w:w="784"/>
            <w:tcMar>
              <w:top w:type="dxa" w:w="60"/>
              <w:left w:type="dxa" w:w="90"/>
              <w:bottom w:type="dxa" w:w="60"/>
              <w:right w:type="dxa" w:w="90"/>
            </w:tcMar>
          </w:tcPr>
          <w:p>
            <w:pPr>
              <w:spacing w:after="0"/>
              <w:jc w:val="right"/>
            </w:pPr>
            <w:r>
              <w:rPr>
                <w:b w:val="false"/>
                <w:bCs w:val="false"/>
                <w:sz w:val="18"/>
                <w:szCs w:val="18"/>
              </w:rPr>
              <w:t xml:space="preserve">11</w:t>
            </w:r>
          </w:p>
        </w:tc>
        <w:tc>
          <w:tcPr>
            <w:tcW w:type="dxa" w:w="1121"/>
            <w:tcMar>
              <w:top w:type="dxa" w:w="60"/>
              <w:left w:type="dxa" w:w="90"/>
              <w:bottom w:type="dxa" w:w="60"/>
              <w:right w:type="dxa" w:w="90"/>
            </w:tcMar>
          </w:tcPr>
          <w:p>
            <w:pPr>
              <w:spacing w:after="0"/>
              <w:jc w:val="right"/>
            </w:pPr>
            <w:r>
              <w:rPr>
                <w:b w:val="false"/>
                <w:bCs w:val="false"/>
                <w:sz w:val="18"/>
                <w:szCs w:val="18"/>
              </w:rPr>
              <w:t xml:space="preserve">+37%</w:t>
            </w:r>
          </w:p>
        </w:tc>
        <w:tc>
          <w:tcPr>
            <w:tcW w:type="dxa" w:w="1121"/>
            <w:tcMar>
              <w:top w:type="dxa" w:w="60"/>
              <w:left w:type="dxa" w:w="90"/>
              <w:bottom w:type="dxa" w:w="60"/>
              <w:right w:type="dxa" w:w="90"/>
            </w:tcMar>
          </w:tcPr>
          <w:p>
            <w:pPr>
              <w:spacing w:after="0"/>
              <w:jc w:val="right"/>
            </w:pPr>
            <w:r>
              <w:rPr>
                <w:b w:val="false"/>
                <w:bCs w:val="false"/>
                <w:sz w:val="18"/>
                <w:szCs w:val="18"/>
              </w:rPr>
              <w:t xml:space="preserve">-6%</w:t>
            </w:r>
          </w:p>
        </w:tc>
        <w:tc>
          <w:tcPr>
            <w:tcW w:type="dxa" w:w="1121"/>
            <w:tcMar>
              <w:top w:type="dxa" w:w="60"/>
              <w:left w:type="dxa" w:w="90"/>
              <w:bottom w:type="dxa" w:w="60"/>
              <w:right w:type="dxa" w:w="90"/>
            </w:tcMar>
          </w:tcPr>
          <w:p>
            <w:pPr>
              <w:spacing w:after="0"/>
              <w:jc w:val="right"/>
            </w:pPr>
            <w:r>
              <w:rPr>
                <w:b w:val="false"/>
                <w:bCs w:val="false"/>
                <w:sz w:val="18"/>
                <w:szCs w:val="18"/>
              </w:rPr>
              <w:t xml:space="preserve">+22%</w:t>
            </w:r>
          </w:p>
        </w:tc>
        <w:tc>
          <w:tcPr>
            <w:tcW w:type="dxa" w:w="1345"/>
            <w:tcMar>
              <w:top w:type="dxa" w:w="60"/>
              <w:left w:type="dxa" w:w="90"/>
              <w:bottom w:type="dxa" w:w="60"/>
              <w:right w:type="dxa" w:w="90"/>
            </w:tcMar>
          </w:tcPr>
          <w:p>
            <w:pPr>
              <w:spacing w:after="0"/>
              <w:jc w:val="right"/>
            </w:pPr>
            <w:r>
              <w:rPr>
                <w:b w:val="false"/>
                <w:bCs w:val="false"/>
                <w:sz w:val="18"/>
                <w:szCs w:val="18"/>
              </w:rPr>
              <w:t xml:space="preserve">6</w:t>
            </w:r>
          </w:p>
        </w:tc>
        <w:tc>
          <w:tcPr>
            <w:tcW w:type="dxa" w:w="897"/>
            <w:tcMar>
              <w:top w:type="dxa" w:w="60"/>
              <w:left w:type="dxa" w:w="90"/>
              <w:bottom w:type="dxa" w:w="60"/>
              <w:right w:type="dxa" w:w="90"/>
            </w:tcMar>
          </w:tcPr>
          <w:p>
            <w:pPr>
              <w:spacing w:after="0"/>
              <w:jc w:val="right"/>
            </w:pPr>
            <w:r>
              <w:rPr>
                <w:b w:val="false"/>
                <w:bCs w:val="false"/>
                <w:sz w:val="18"/>
                <w:szCs w:val="18"/>
              </w:rPr>
              <w:t xml:space="preserve">50</w:t>
            </w:r>
          </w:p>
        </w:tc>
        <w:tc>
          <w:tcPr>
            <w:tcW w:type="dxa" w:w="1232"/>
            <w:tcMar>
              <w:top w:type="dxa" w:w="60"/>
              <w:left w:type="dxa" w:w="90"/>
              <w:bottom w:type="dxa" w:w="60"/>
              <w:right w:type="dxa" w:w="90"/>
            </w:tcMar>
          </w:tcPr>
          <w:p>
            <w:pPr>
              <w:spacing w:after="0"/>
              <w:jc w:val="left"/>
            </w:pPr>
            <w:r>
              <w:rPr>
                <w:b w:val="false"/>
                <w:bCs w:val="false"/>
                <w:sz w:val="18"/>
                <w:szCs w:val="18"/>
              </w:rPr>
              <w:t xml:space="preserve">Low</w:t>
            </w:r>
          </w:p>
        </w:tc>
      </w:tr>
      <w:tr>
        <w:tc>
          <w:tcPr>
            <w:tcW w:type="dxa" w:w="2017"/>
            <w:shd w:fill="F2F2F2" w:color="auto" w:val="clear"/>
            <w:tcMar>
              <w:top w:type="dxa" w:w="60"/>
              <w:left w:type="dxa" w:w="90"/>
              <w:bottom w:type="dxa" w:w="60"/>
              <w:right w:type="dxa" w:w="90"/>
            </w:tcMar>
          </w:tcPr>
          <w:p>
            <w:pPr>
              <w:spacing w:after="0"/>
              <w:jc w:val="left"/>
            </w:pPr>
            <w:r>
              <w:rPr>
                <w:b w:val="false"/>
                <w:bCs w:val="false"/>
                <w:sz w:val="18"/>
                <w:szCs w:val="18"/>
              </w:rPr>
              <w:t xml:space="preserve">ACE</w:t>
            </w:r>
          </w:p>
        </w:tc>
        <w:tc>
          <w:tcPr>
            <w:tcW w:type="dxa" w:w="784"/>
            <w:shd w:fill="F2F2F2" w:color="auto" w:val="clear"/>
            <w:tcMar>
              <w:top w:type="dxa" w:w="60"/>
              <w:left w:type="dxa" w:w="90"/>
              <w:bottom w:type="dxa" w:w="60"/>
              <w:right w:type="dxa" w:w="90"/>
            </w:tcMar>
          </w:tcPr>
          <w:p>
            <w:pPr>
              <w:spacing w:after="0"/>
              <w:jc w:val="right"/>
            </w:pPr>
            <w:r>
              <w:rPr>
                <w:b w:val="false"/>
                <w:bCs w:val="false"/>
                <w:sz w:val="18"/>
                <w:szCs w:val="18"/>
              </w:rPr>
              <w:t xml:space="preserve">12</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+33%</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+26%</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+22%</w:t>
            </w:r>
          </w:p>
        </w:tc>
        <w:tc>
          <w:tcPr>
            <w:tcW w:type="dxa" w:w="1345"/>
            <w:shd w:fill="F2F2F2"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897"/>
            <w:shd w:fill="F2F2F2" w:color="auto" w:val="clear"/>
            <w:tcMar>
              <w:top w:type="dxa" w:w="60"/>
              <w:left w:type="dxa" w:w="90"/>
              <w:bottom w:type="dxa" w:w="60"/>
              <w:right w:type="dxa" w:w="90"/>
            </w:tcMar>
          </w:tcPr>
          <w:p>
            <w:pPr>
              <w:spacing w:after="0"/>
              <w:jc w:val="right"/>
            </w:pPr>
            <w:r>
              <w:rPr>
                <w:b w:val="false"/>
                <w:bCs w:val="false"/>
                <w:sz w:val="18"/>
                <w:szCs w:val="18"/>
              </w:rPr>
              <w:t xml:space="preserve">33</w:t>
            </w:r>
          </w:p>
        </w:tc>
        <w:tc>
          <w:tcPr>
            <w:tcW w:type="dxa" w:w="1232"/>
            <w:shd w:fill="F2F2F2" w:color="auto" w:val="clear"/>
            <w:tcMar>
              <w:top w:type="dxa" w:w="60"/>
              <w:left w:type="dxa" w:w="90"/>
              <w:bottom w:type="dxa" w:w="60"/>
              <w:right w:type="dxa" w:w="90"/>
            </w:tcMar>
          </w:tcPr>
          <w:p>
            <w:pPr>
              <w:spacing w:after="0"/>
              <w:jc w:val="left"/>
            </w:pPr>
            <w:r>
              <w:rPr>
                <w:b w:val="false"/>
                <w:bCs w:val="false"/>
                <w:sz w:val="18"/>
                <w:szCs w:val="18"/>
              </w:rPr>
              <w:t xml:space="preserve">High</w:t>
            </w:r>
          </w:p>
        </w:tc>
      </w:tr>
      <w:tr>
        <w:tc>
          <w:tcPr>
            <w:tcW w:type="dxa" w:w="2017"/>
            <w:tcMar>
              <w:top w:type="dxa" w:w="60"/>
              <w:left w:type="dxa" w:w="90"/>
              <w:bottom w:type="dxa" w:w="60"/>
              <w:right w:type="dxa" w:w="90"/>
            </w:tcMar>
          </w:tcPr>
          <w:p>
            <w:pPr>
              <w:spacing w:after="0"/>
              <w:jc w:val="left"/>
            </w:pPr>
            <w:r>
              <w:rPr>
                <w:b w:val="false"/>
                <w:bCs w:val="false"/>
                <w:sz w:val="18"/>
                <w:szCs w:val="18"/>
              </w:rPr>
              <w:t xml:space="preserve">CARBORUNIV</w:t>
            </w:r>
          </w:p>
        </w:tc>
        <w:tc>
          <w:tcPr>
            <w:tcW w:type="dxa" w:w="784"/>
            <w:tcMar>
              <w:top w:type="dxa" w:w="60"/>
              <w:left w:type="dxa" w:w="90"/>
              <w:bottom w:type="dxa" w:w="60"/>
              <w:right w:type="dxa" w:w="90"/>
            </w:tcMar>
          </w:tcPr>
          <w:p>
            <w:pPr>
              <w:spacing w:after="0"/>
              <w:jc w:val="right"/>
            </w:pPr>
            <w:r>
              <w:rPr>
                <w:b w:val="false"/>
                <w:bCs w:val="false"/>
                <w:sz w:val="18"/>
                <w:szCs w:val="18"/>
              </w:rPr>
              <w:t xml:space="preserve">13</w:t>
            </w:r>
          </w:p>
        </w:tc>
        <w:tc>
          <w:tcPr>
            <w:tcW w:type="dxa" w:w="1121"/>
            <w:tcMar>
              <w:top w:type="dxa" w:w="60"/>
              <w:left w:type="dxa" w:w="90"/>
              <w:bottom w:type="dxa" w:w="60"/>
              <w:right w:type="dxa" w:w="90"/>
            </w:tcMar>
          </w:tcPr>
          <w:p>
            <w:pPr>
              <w:spacing w:after="0"/>
              <w:jc w:val="right"/>
            </w:pPr>
            <w:r>
              <w:rPr>
                <w:b w:val="false"/>
                <w:bCs w:val="false"/>
                <w:sz w:val="18"/>
                <w:szCs w:val="18"/>
              </w:rPr>
              <w:t xml:space="preserve">+32%</w:t>
            </w:r>
          </w:p>
        </w:tc>
        <w:tc>
          <w:tcPr>
            <w:tcW w:type="dxa" w:w="1121"/>
            <w:tcMar>
              <w:top w:type="dxa" w:w="60"/>
              <w:left w:type="dxa" w:w="90"/>
              <w:bottom w:type="dxa" w:w="60"/>
              <w:right w:type="dxa" w:w="90"/>
            </w:tcMar>
          </w:tcPr>
          <w:p>
            <w:pPr>
              <w:spacing w:after="0"/>
              <w:jc w:val="right"/>
            </w:pPr>
            <w:r>
              <w:rPr>
                <w:b w:val="false"/>
                <w:bCs w:val="false"/>
                <w:sz w:val="18"/>
                <w:szCs w:val="18"/>
              </w:rPr>
              <w:t xml:space="preserve">+9%</w:t>
            </w:r>
          </w:p>
        </w:tc>
        <w:tc>
          <w:tcPr>
            <w:tcW w:type="dxa" w:w="1121"/>
            <w:tcMar>
              <w:top w:type="dxa" w:w="60"/>
              <w:left w:type="dxa" w:w="90"/>
              <w:bottom w:type="dxa" w:w="60"/>
              <w:right w:type="dxa" w:w="90"/>
            </w:tcMar>
          </w:tcPr>
          <w:p>
            <w:pPr>
              <w:spacing w:after="0"/>
              <w:jc w:val="right"/>
            </w:pPr>
            <w:r>
              <w:rPr>
                <w:b w:val="false"/>
                <w:bCs w:val="false"/>
                <w:sz w:val="18"/>
                <w:szCs w:val="18"/>
              </w:rPr>
              <w:t xml:space="preserve">+23%</w:t>
            </w:r>
          </w:p>
        </w:tc>
        <w:tc>
          <w:tcPr>
            <w:tcW w:type="dxa" w:w="1345"/>
            <w:tcMar>
              <w:top w:type="dxa" w:w="60"/>
              <w:left w:type="dxa" w:w="90"/>
              <w:bottom w:type="dxa" w:w="60"/>
              <w:right w:type="dxa" w:w="90"/>
            </w:tcMar>
          </w:tcPr>
          <w:p>
            <w:pPr>
              <w:spacing w:after="0"/>
              <w:jc w:val="right"/>
            </w:pPr>
            <w:r>
              <w:rPr>
                <w:b w:val="false"/>
                <w:bCs w:val="false"/>
                <w:sz w:val="18"/>
                <w:szCs w:val="18"/>
              </w:rPr>
              <w:t xml:space="preserve">19</w:t>
            </w:r>
          </w:p>
        </w:tc>
        <w:tc>
          <w:tcPr>
            <w:tcW w:type="dxa" w:w="897"/>
            <w:tcMar>
              <w:top w:type="dxa" w:w="60"/>
              <w:left w:type="dxa" w:w="90"/>
              <w:bottom w:type="dxa" w:w="60"/>
              <w:right w:type="dxa" w:w="90"/>
            </w:tcMar>
          </w:tcPr>
          <w:p>
            <w:pPr>
              <w:spacing w:after="0"/>
              <w:jc w:val="right"/>
            </w:pPr>
            <w:r>
              <w:rPr>
                <w:b w:val="false"/>
                <w:bCs w:val="false"/>
                <w:sz w:val="18"/>
                <w:szCs w:val="18"/>
              </w:rPr>
              <w:t xml:space="preserve">97</w:t>
            </w:r>
          </w:p>
        </w:tc>
        <w:tc>
          <w:tcPr>
            <w:tcW w:type="dxa" w:w="1232"/>
            <w:tcMar>
              <w:top w:type="dxa" w:w="60"/>
              <w:left w:type="dxa" w:w="90"/>
              <w:bottom w:type="dxa" w:w="60"/>
              <w:right w:type="dxa" w:w="90"/>
            </w:tcMar>
          </w:tcPr>
          <w:p>
            <w:pPr>
              <w:spacing w:after="0"/>
              <w:jc w:val="left"/>
            </w:pPr>
            <w:r>
              <w:rPr>
                <w:b w:val="false"/>
                <w:bCs w:val="false"/>
                <w:sz w:val="18"/>
                <w:szCs w:val="18"/>
              </w:rPr>
              <w:t xml:space="preserve">High</w:t>
            </w:r>
          </w:p>
        </w:tc>
      </w:tr>
      <w:tr>
        <w:tc>
          <w:tcPr>
            <w:tcW w:type="dxa" w:w="2017"/>
            <w:shd w:fill="F2F2F2" w:color="auto" w:val="clear"/>
            <w:tcMar>
              <w:top w:type="dxa" w:w="60"/>
              <w:left w:type="dxa" w:w="90"/>
              <w:bottom w:type="dxa" w:w="60"/>
              <w:right w:type="dxa" w:w="90"/>
            </w:tcMar>
          </w:tcPr>
          <w:p>
            <w:pPr>
              <w:spacing w:after="0"/>
              <w:jc w:val="left"/>
            </w:pPr>
            <w:r>
              <w:rPr>
                <w:b w:val="false"/>
                <w:bCs w:val="false"/>
                <w:sz w:val="18"/>
                <w:szCs w:val="18"/>
              </w:rPr>
              <w:t xml:space="preserve">GOODLUCK</w:t>
            </w:r>
          </w:p>
        </w:tc>
        <w:tc>
          <w:tcPr>
            <w:tcW w:type="dxa" w:w="784"/>
            <w:shd w:fill="F2F2F2" w:color="auto" w:val="clear"/>
            <w:tcMar>
              <w:top w:type="dxa" w:w="60"/>
              <w:left w:type="dxa" w:w="90"/>
              <w:bottom w:type="dxa" w:w="60"/>
              <w:right w:type="dxa" w:w="90"/>
            </w:tcMar>
          </w:tcPr>
          <w:p>
            <w:pPr>
              <w:spacing w:after="0"/>
              <w:jc w:val="right"/>
            </w:pPr>
            <w:r>
              <w:rPr>
                <w:b w:val="false"/>
                <w:bCs w:val="false"/>
                <w:sz w:val="18"/>
                <w:szCs w:val="18"/>
              </w:rPr>
              <w:t xml:space="preserve">14</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+30%</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+9%</w:t>
            </w:r>
          </w:p>
        </w:tc>
        <w:tc>
          <w:tcPr>
            <w:tcW w:type="dxa" w:w="1121"/>
            <w:shd w:fill="F2F2F2" w:color="auto" w:val="clear"/>
            <w:tcMar>
              <w:top w:type="dxa" w:w="60"/>
              <w:left w:type="dxa" w:w="90"/>
              <w:bottom w:type="dxa" w:w="60"/>
              <w:right w:type="dxa" w:w="90"/>
            </w:tcMar>
          </w:tcPr>
          <w:p>
            <w:pPr>
              <w:spacing w:after="0"/>
              <w:jc w:val="right"/>
            </w:pPr>
            <w:r>
              <w:rPr>
                <w:b w:val="false"/>
                <w:bCs w:val="false"/>
                <w:sz w:val="18"/>
                <w:szCs w:val="18"/>
              </w:rPr>
              <w:t xml:space="preserve">+60%</w:t>
            </w:r>
          </w:p>
        </w:tc>
        <w:tc>
          <w:tcPr>
            <w:tcW w:type="dxa" w:w="1345"/>
            <w:shd w:fill="F2F2F2" w:color="auto" w:val="clear"/>
            <w:tcMar>
              <w:top w:type="dxa" w:w="60"/>
              <w:left w:type="dxa" w:w="90"/>
              <w:bottom w:type="dxa" w:w="60"/>
              <w:right w:type="dxa" w:w="90"/>
            </w:tcMar>
          </w:tcPr>
          <w:p>
            <w:pPr>
              <w:spacing w:after="0"/>
              <w:jc w:val="right"/>
            </w:pPr>
            <w:r>
              <w:rPr>
                <w:b w:val="false"/>
                <w:bCs w:val="false"/>
                <w:sz w:val="18"/>
                <w:szCs w:val="18"/>
              </w:rPr>
              <w:t xml:space="preserve">27</w:t>
            </w:r>
          </w:p>
        </w:tc>
        <w:tc>
          <w:tcPr>
            <w:tcW w:type="dxa" w:w="897"/>
            <w:shd w:fill="F2F2F2" w:color="auto" w:val="clear"/>
            <w:tcMar>
              <w:top w:type="dxa" w:w="60"/>
              <w:left w:type="dxa" w:w="90"/>
              <w:bottom w:type="dxa" w:w="60"/>
              <w:right w:type="dxa" w:w="90"/>
            </w:tcMar>
          </w:tcPr>
          <w:p>
            <w:pPr>
              <w:spacing w:after="0"/>
              <w:jc w:val="right"/>
            </w:pPr>
            <w:r>
              <w:rPr>
                <w:b w:val="false"/>
                <w:bCs w:val="false"/>
                <w:sz w:val="18"/>
                <w:szCs w:val="18"/>
              </w:rPr>
              <w:t xml:space="preserve">26</w:t>
            </w:r>
          </w:p>
        </w:tc>
        <w:tc>
          <w:tcPr>
            <w:tcW w:type="dxa" w:w="1232"/>
            <w:shd w:fill="F2F2F2" w:color="auto" w:val="clear"/>
            <w:tcMar>
              <w:top w:type="dxa" w:w="60"/>
              <w:left w:type="dxa" w:w="90"/>
              <w:bottom w:type="dxa" w:w="60"/>
              <w:right w:type="dxa" w:w="90"/>
            </w:tcMar>
          </w:tcPr>
          <w:p>
            <w:pPr>
              <w:spacing w:after="0"/>
              <w:jc w:val="left"/>
            </w:pPr>
            <w:r>
              <w:rPr>
                <w:b w:val="false"/>
                <w:bCs w:val="false"/>
                <w:sz w:val="18"/>
                <w:szCs w:val="18"/>
              </w:rPr>
              <w:t xml:space="preserve">High</w:t>
            </w:r>
          </w:p>
        </w:tc>
      </w:tr>
      <w:tr>
        <w:tc>
          <w:tcPr>
            <w:tcW w:type="dxa" w:w="2017"/>
            <w:tcMar>
              <w:top w:type="dxa" w:w="60"/>
              <w:left w:type="dxa" w:w="90"/>
              <w:bottom w:type="dxa" w:w="60"/>
              <w:right w:type="dxa" w:w="90"/>
            </w:tcMar>
          </w:tcPr>
          <w:p>
            <w:pPr>
              <w:spacing w:after="0"/>
              <w:jc w:val="left"/>
            </w:pPr>
            <w:r>
              <w:rPr>
                <w:b w:val="false"/>
                <w:bCs w:val="false"/>
                <w:sz w:val="18"/>
                <w:szCs w:val="18"/>
              </w:rPr>
              <w:t xml:space="preserve">ENGINERSIN</w:t>
            </w:r>
          </w:p>
        </w:tc>
        <w:tc>
          <w:tcPr>
            <w:tcW w:type="dxa" w:w="784"/>
            <w:tcMar>
              <w:top w:type="dxa" w:w="60"/>
              <w:left w:type="dxa" w:w="90"/>
              <w:bottom w:type="dxa" w:w="60"/>
              <w:right w:type="dxa" w:w="90"/>
            </w:tcMar>
          </w:tcPr>
          <w:p>
            <w:pPr>
              <w:spacing w:after="0"/>
              <w:jc w:val="right"/>
            </w:pPr>
            <w:r>
              <w:rPr>
                <w:b w:val="false"/>
                <w:bCs w:val="false"/>
                <w:sz w:val="18"/>
                <w:szCs w:val="18"/>
              </w:rPr>
              <w:t xml:space="preserve">15</w:t>
            </w:r>
          </w:p>
        </w:tc>
        <w:tc>
          <w:tcPr>
            <w:tcW w:type="dxa" w:w="1121"/>
            <w:tcMar>
              <w:top w:type="dxa" w:w="60"/>
              <w:left w:type="dxa" w:w="90"/>
              <w:bottom w:type="dxa" w:w="60"/>
              <w:right w:type="dxa" w:w="90"/>
            </w:tcMar>
          </w:tcPr>
          <w:p>
            <w:pPr>
              <w:spacing w:after="0"/>
              <w:jc w:val="right"/>
            </w:pPr>
            <w:r>
              <w:rPr>
                <w:b w:val="false"/>
                <w:bCs w:val="false"/>
                <w:sz w:val="18"/>
                <w:szCs w:val="18"/>
              </w:rPr>
              <w:t xml:space="preserve">+24%</w:t>
            </w:r>
          </w:p>
        </w:tc>
        <w:tc>
          <w:tcPr>
            <w:tcW w:type="dxa" w:w="1121"/>
            <w:tcMar>
              <w:top w:type="dxa" w:w="60"/>
              <w:left w:type="dxa" w:w="90"/>
              <w:bottom w:type="dxa" w:w="60"/>
              <w:right w:type="dxa" w:w="90"/>
            </w:tcMar>
          </w:tcPr>
          <w:p>
            <w:pPr>
              <w:spacing w:after="0"/>
              <w:jc w:val="right"/>
            </w:pPr>
            <w:r>
              <w:rPr>
                <w:b w:val="false"/>
                <w:bCs w:val="false"/>
                <w:sz w:val="18"/>
                <w:szCs w:val="18"/>
              </w:rPr>
              <w:t xml:space="preserve">+31%</w:t>
            </w:r>
          </w:p>
        </w:tc>
        <w:tc>
          <w:tcPr>
            <w:tcW w:type="dxa" w:w="1121"/>
            <w:tcMar>
              <w:top w:type="dxa" w:w="60"/>
              <w:left w:type="dxa" w:w="90"/>
              <w:bottom w:type="dxa" w:w="60"/>
              <w:right w:type="dxa" w:w="90"/>
            </w:tcMar>
          </w:tcPr>
          <w:p>
            <w:pPr>
              <w:spacing w:after="0"/>
              <w:jc w:val="right"/>
            </w:pPr>
            <w:r>
              <w:rPr>
                <w:b w:val="false"/>
                <w:bCs w:val="false"/>
                <w:sz w:val="18"/>
                <w:szCs w:val="18"/>
              </w:rPr>
              <w:t xml:space="preserve">+142%</w:t>
            </w:r>
          </w:p>
        </w:tc>
        <w:tc>
          <w:tcPr>
            <w:tcW w:type="dxa" w:w="1345"/>
            <w:tcMar>
              <w:top w:type="dxa" w:w="60"/>
              <w:left w:type="dxa" w:w="90"/>
              <w:bottom w:type="dxa" w:w="60"/>
              <w:right w:type="dxa" w:w="90"/>
            </w:tcMar>
          </w:tcPr>
          <w:p>
            <w:pPr>
              <w:spacing w:after="0"/>
              <w:jc w:val="right"/>
            </w:pPr>
            <w:r>
              <w:rPr>
                <w:b w:val="false"/>
                <w:bCs w:val="false"/>
                <w:sz w:val="18"/>
                <w:szCs w:val="18"/>
              </w:rPr>
              <w:t xml:space="preserve">49</w:t>
            </w:r>
          </w:p>
        </w:tc>
        <w:tc>
          <w:tcPr>
            <w:tcW w:type="dxa" w:w="897"/>
            <w:tcMar>
              <w:top w:type="dxa" w:w="60"/>
              <w:left w:type="dxa" w:w="90"/>
              <w:bottom w:type="dxa" w:w="60"/>
              <w:right w:type="dxa" w:w="90"/>
            </w:tcMar>
          </w:tcPr>
          <w:p>
            <w:pPr>
              <w:spacing w:after="0"/>
              <w:jc w:val="right"/>
            </w:pPr>
            <w:r>
              <w:rPr>
                <w:b w:val="false"/>
                <w:bCs w:val="false"/>
                <w:sz w:val="18"/>
                <w:szCs w:val="18"/>
              </w:rPr>
              <w:t xml:space="preserve">23</w:t>
            </w:r>
          </w:p>
        </w:tc>
        <w:tc>
          <w:tcPr>
            <w:tcW w:type="dxa" w:w="1232"/>
            <w:tcMar>
              <w:top w:type="dxa" w:w="60"/>
              <w:left w:type="dxa" w:w="90"/>
              <w:bottom w:type="dxa" w:w="60"/>
              <w:right w:type="dxa" w:w="90"/>
            </w:tcMar>
          </w:tcPr>
          <w:p>
            <w:pPr>
              <w:spacing w:after="0"/>
              <w:jc w:val="left"/>
            </w:pPr>
            <w:r>
              <w:rPr>
                <w:b w:val="false"/>
                <w:bCs w:val="false"/>
                <w:sz w:val="18"/>
                <w:szCs w:val="18"/>
              </w:rPr>
              <w:t xml:space="preserve">High</w:t>
            </w:r>
          </w:p>
        </w:tc>
      </w:tr>
    </w:tbl>
    <w:p>
      <w:pPr>
        <w:spacing w:after="120"/>
      </w:pPr>
    </w:p>
    <w:p>
      <w:pPr>
        <w:pStyle w:val="Heading2"/>
      </w:pPr>
      <w:r>
        <w:t xml:space="preserve">6.2 Invested stocks</w:t>
      </w:r>
    </w:p>
    <w:p>
      <w:pPr>
        <w:pStyle w:val="Heading3"/>
      </w:pPr>
      <w:r>
        <w:t xml:space="preserve">WELCORP: Welspun Corp (rank 1, weight 13.85%)</w:t>
      </w:r>
    </w:p>
    <w:p>
      <w:pPr>
        <w:spacing w:after="120" w:line="276"/>
      </w:pPr>
      <w:r>
        <w:rPr>
          <w:b/>
          <w:bCs/>
        </w:rPr>
        <w:t xml:space="preserve">Business and theme fit.</w:t>
      </w:r>
      <w:r>
        <w:t xml:space="preserve"> Large-diameter line pipe (oil, gas and water pipelines) is the core, plus DI pipes, steel billets/TMT for its own chain and Sintex water tanks; Nifty Capital Goods member.</w:t>
      </w:r>
    </w:p>
    <w:p>
      <w:pPr>
        <w:spacing w:after="120" w:line="276"/>
      </w:pPr>
      <w:r>
        <w:rPr>
          <w:b/>
          <w:bCs/>
        </w:rPr>
        <w:t xml:space="preserve">Why it is in.</w:t>
      </w:r>
      <w:r>
        <w:t xml:space="preserve"> The strongest momentum stock in the universe (6-month RS +185%, 3-month RS +89%), with the fundamentals behind it: latest-quarter profit +199%, debt/equity 0.26, ROCE 23%, no pledged shares, ₹219 cr traded a day. The rally after its July results was driven by NEW orders, not old news: a ~₹2,000 cr Saudi Aramco contract through its associate EPIC (20-Sep) and its largest-ever US order, ~₹4,000 cr of HFIW pipe (24-Sep), taking the order book to a record ~₹45,000 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₹2,832</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474 / ₹13,42,558</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₹2,440 (13.9%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₹2,240 / ₹2,836</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42.5 / 13.9 / 66.3</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42.6% / 1.25</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13.8% a year (3.3%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83%</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1.54</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29-Oct-2026 (estimate)</w:t>
            </w:r>
          </w:p>
        </w:tc>
      </w:tr>
    </w:tbl>
    <w:p>
      <w:pPr>
        <w:spacing w:after="120"/>
      </w:pPr>
    </w:p>
    <w:p>
      <w:pPr>
        <w:spacing w:after="120" w:line="276"/>
      </w:pPr>
      <w:r>
        <w:rPr>
          <w:b/>
          <w:bCs/>
        </w:rPr>
        <w:t xml:space="preserve">What the professor may raise.</w:t>
      </w:r>
      <w:r>
        <w:t xml:space="preserve"> Up about 4x from its February low, at its 52-week high and ~31% above its 50-day average; the one consensus target we found (~₹2,000, date unclear) is well below today's ~₹2,830. Q2 results due around 29-Oct (estimate).</w:t>
      </w:r>
    </w:p>
    <w:p>
      <w:pPr>
        <w:spacing w:after="120" w:line="276"/>
      </w:pPr>
      <w:r>
        <w:rPr>
          <w:b/>
          <w:bCs/>
        </w:rPr>
        <w:t xml:space="preserve">Our answer.</w:t>
      </w:r>
      <w:r>
        <w:t xml:space="preserve"> The momentum is backed by fresh, dated order wins and a doubling of quarterly profit, so it is not a stale story. The extension is the reason it has a stop-loss 13.9% below the price and an equal-risk weight (13.9%) rather than a conviction-sized bet.</w:t>
      </w:r>
    </w:p>
    <w:p>
      <w:pPr>
        <w:pStyle w:val="Heading3"/>
      </w:pPr>
      <w:r>
        <w:t xml:space="preserve">RPEL: Raghav Productivity Enhancers (rank 2, weight 11.21%)</w:t>
      </w:r>
    </w:p>
    <w:p>
      <w:pPr>
        <w:spacing w:after="120" w:line="276"/>
      </w:pPr>
      <w:r>
        <w:rPr>
          <w:b/>
          <w:bCs/>
        </w:rPr>
        <w:t xml:space="preserve">Business and theme fit.</w:t>
      </w:r>
      <w:r>
        <w:t xml:space="preserve"> Ramming mass, the refractory lining of induction furnaces, sold to secondary steel makers (mostly TMT for construction). An industrial consumable, not equipment; NSE classes it Capital Goods &gt; Industrial Products &gt; Electrodes &amp; Refractories.</w:t>
      </w:r>
    </w:p>
    <w:p>
      <w:pPr>
        <w:spacing w:after="120" w:line="276"/>
      </w:pPr>
      <w:r>
        <w:rPr>
          <w:b/>
          <w:bCs/>
        </w:rPr>
        <w:t xml:space="preserve">Why it is in.</w:t>
      </w:r>
      <w:r>
        <w:t xml:space="preserve"> #2 by 6-month RS (+179%); latest-quarter profit +68% on sales +49%; ROCE 30%, OPM 30%, debt/equity 0.02. Market leader in ramming mass (the refractory lining of induction furnaces used by secondary steel makers, mostly producing TMT for construction), so its volumes track construction steel.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₹1,700</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639 / ₹10,85,981</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₹1,408 (17.2%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₹1,507 / ₹1,700</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29.5 / 6.5 / 53.6</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53.0% / 1.68</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16.9% a year (4.0%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80%</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1.54</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26-Oct-2026 (estimate)</w:t>
            </w:r>
          </w:p>
        </w:tc>
      </w:tr>
    </w:tbl>
    <w:p>
      <w:pPr>
        <w:spacing w:after="120"/>
      </w:pPr>
    </w:p>
    <w:p>
      <w:pPr>
        <w:spacing w:after="120" w:line="276"/>
      </w:pPr>
      <w:r>
        <w:rPr>
          <w:b/>
          <w:bCs/>
        </w:rPr>
        <w:t xml:space="preserve">What the professor may raise.</w:t>
      </w:r>
      <w:r>
        <w:t xml:space="preserve"> Valuation: P/E ~124, so results must stay very strong. Theme fit is BORDERLINE: it sells a consumable, not equipment. Smallest traded value among the invested (₹11 cr/day, still &gt;5x our threshold).</w:t>
      </w:r>
    </w:p>
    <w:p>
      <w:pPr>
        <w:spacing w:after="120" w:line="276"/>
      </w:pPr>
      <w:r>
        <w:rPr>
          <w:b/>
          <w:bCs/>
        </w:rPr>
        <w:t xml:space="preserve">Our answer.</w:t>
      </w:r>
      <w:r>
        <w:t xml:space="preserve"> NSE's own industry classification places it in Capital Goods &gt; Industrial Products &gt; Electrodes &amp; Refractories, and its demand is infrastructure-driven (construction steel). We state the borderline openly rather than hide it. The high P/E is a risk to results-day gaps, which the stop-loss (17.2% below) and the reserve list cover.</w:t>
      </w:r>
    </w:p>
    <w:p>
      <w:pPr>
        <w:pStyle w:val="Heading3"/>
      </w:pPr>
      <w:r>
        <w:t xml:space="preserve">SBCL: Shivalik Bimetal Controls (rank 3, weight 12.70%)</w:t>
      </w:r>
    </w:p>
    <w:p>
      <w:pPr>
        <w:spacing w:after="120" w:line="276"/>
      </w:pPr>
      <w:r>
        <w:rPr>
          <w:b/>
          <w:bCs/>
        </w:rPr>
        <w:t xml:space="preserve">Business and theme fit.</w:t>
      </w:r>
      <w:r>
        <w:t xml:space="preserve"> Precision electrical components. Thermostatic bimetals (~40% of revenue; ~65% of that goes into switchgear and circuit breakers), shunt resistors (~40%: smart meters, EV battery management, energy storage) and electrical contacts (~19%). Mostly power distribution / switchgear supply chain; the EV part is a minority. Screener's 'Iron &amp; Steel Products' label understates this.</w:t>
      </w:r>
    </w:p>
    <w:p>
      <w:pPr>
        <w:spacing w:after="120" w:line="276"/>
      </w:pPr>
      <w:r>
        <w:rPr>
          <w:b/>
          <w:bCs/>
        </w:rPr>
        <w:t xml:space="preserve">Why it is in.</w:t>
      </w:r>
      <w:r>
        <w:t xml:space="preserve"> #3 by 6-month RS (+152%). Shivalik Bimetal makes thermostatic bimetals (~40% of revenue, ~65% of it into switchgear and circuit breakers), shunt resistors (~40%: smart meters, EV battery management, energy storage) and electrical contacts (~19%). Q1 FY27: revenue +33%, profit +45%; the stock hit a 20% upper circuit on results (7-Aug) and kept rising (+50% since), the classic post-results drift.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₹1,155</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1067 / ₹12,31,852</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₹976 (15.4%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₹987 / ₹1,156</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34.3 / 10.9 / 62.2</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55.8% / 1.43</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15.1% a year (3.6%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87%</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1.81</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11-Nov-2026 (estimate)</w:t>
            </w:r>
          </w:p>
        </w:tc>
      </w:tr>
    </w:tbl>
    <w:p>
      <w:pPr>
        <w:spacing w:after="120"/>
      </w:pPr>
    </w:p>
    <w:p>
      <w:pPr>
        <w:spacing w:after="120" w:line="276"/>
      </w:pPr>
      <w:r>
        <w:rPr>
          <w:b/>
          <w:bCs/>
        </w:rPr>
        <w:t xml:space="preserve">What the professor may raise.</w:t>
      </w:r>
      <w:r>
        <w:t xml:space="preserve"> P/E ~62; EV/auto exposure is a minority but real; Screener files it under 'Iron &amp; Steel Products', which understates its electrical-equipment nature.</w:t>
      </w:r>
    </w:p>
    <w:p>
      <w:pPr>
        <w:spacing w:after="120" w:line="276"/>
      </w:pPr>
      <w:r>
        <w:rPr>
          <w:b/>
          <w:bCs/>
        </w:rPr>
        <w:t xml:space="preserve">Our answer.</w:t>
      </w:r>
      <w:r>
        <w:t xml:space="preserve"> Its end-markets are the power-distribution supply chain (switchgear, smart meters), squarely in the capex/infra theme. The results reaction shows the market is still catching up with the news, the opposite of 'priced in'.</w:t>
      </w:r>
    </w:p>
    <w:p>
      <w:pPr>
        <w:pStyle w:val="Heading3"/>
      </w:pPr>
      <w:r>
        <w:t xml:space="preserve">AEROFLEX: Aeroflex Industries (rank 4, weight 9.21%)</w:t>
      </w:r>
    </w:p>
    <w:p>
      <w:pPr>
        <w:spacing w:after="120" w:line="276"/>
      </w:pPr>
      <w:r>
        <w:rPr>
          <w:b/>
          <w:bCs/>
        </w:rPr>
        <w:t xml:space="preserve">Business and theme fit.</w:t>
      </w:r>
      <w:r>
        <w:t xml:space="preserve"> Stainless-steel metallic flexible hoses, bellows and flow assemblies for industrial, oil &amp; gas, HVAC and process plants (Sat Industries group).</w:t>
      </w:r>
    </w:p>
    <w:p>
      <w:pPr>
        <w:spacing w:after="120" w:line="276"/>
      </w:pPr>
      <w:r>
        <w:rPr>
          <w:b/>
          <w:bCs/>
        </w:rPr>
        <w:t xml:space="preserve">Why it is in.</w:t>
      </w:r>
      <w:r>
        <w:t xml:space="preserve"> #4 by 6-month RS (+126%). Stainless-steel flexible hoses, bellows and flow assemblies for industrial, oil &amp; gas, HVAC and process plants. Q1 FY27: revenue +72%, profit +162%, EBITDA margin up to 23%; management raised FY27 revenue-growth guidance 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₹526</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1699 / ₹8,93,164</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₹445 (15.4%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₹457 / ₹542</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27.0 / 5.2 / 53.6</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60.3% / 1.91</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18.4% a year (4.3%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80%</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1.96</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27-Oct-2026 (estimate)</w:t>
            </w:r>
          </w:p>
        </w:tc>
      </w:tr>
    </w:tbl>
    <w:p>
      <w:pPr>
        <w:spacing w:after="120"/>
      </w:pPr>
    </w:p>
    <w:p>
      <w:pPr>
        <w:spacing w:after="120" w:line="276"/>
      </w:pPr>
      <w:r>
        <w:rPr>
          <w:b/>
          <w:bCs/>
        </w:rPr>
        <w:t xml:space="preserve">What the professor may raise.</w:t>
      </w:r>
      <w:r>
        <w:t xml:space="preserve"> RRG conviction is Low: its short-term momentum has cooled sharply (RS-momentum -20.9). P/E ~104. Highest volatility among the invested (60%), hence the smallest weight (9.2%).</w:t>
      </w:r>
    </w:p>
    <w:p>
      <w:pPr>
        <w:spacing w:after="120" w:line="276"/>
      </w:pPr>
      <w:r>
        <w:rPr>
          <w:b/>
          <w:bCs/>
        </w:rPr>
        <w:t xml:space="preserve">Our answer.</w:t>
      </w:r>
      <w:r>
        <w:t xml:space="preserve"> Our pre-registered backtest found that skipping 'fading momentum' names LOWERED returns (see Section 5), so a cooling short-term trend is not a reason to exclude a stock with this 6-month strength and this earnings growth. Equal-risk weighting automatically gives it less money because it is more volatile.</w:t>
      </w:r>
    </w:p>
    <w:p>
      <w:pPr>
        <w:pStyle w:val="Heading3"/>
      </w:pPr>
      <w:r>
        <w:t xml:space="preserve">TDPOWERSYS: TD Power Systems (rank 5, weight 11.33%)</w:t>
      </w:r>
    </w:p>
    <w:p>
      <w:pPr>
        <w:spacing w:after="120" w:line="276"/>
      </w:pPr>
      <w:r>
        <w:rPr>
          <w:b/>
          <w:bCs/>
        </w:rPr>
        <w:t xml:space="preserve">Business and theme fit.</w:t>
      </w:r>
      <w:r>
        <w:t xml:space="preserve"> AC generators (steam, gas, hydro, wind turbine generators up to 250 MVA) and electric and traction motors; power-generation equipment.</w:t>
      </w:r>
    </w:p>
    <w:p>
      <w:pPr>
        <w:spacing w:after="120" w:line="276"/>
      </w:pPr>
      <w:r>
        <w:rPr>
          <w:b/>
          <w:bCs/>
        </w:rPr>
        <w:t xml:space="preserve">Why it is in.</w:t>
      </w:r>
      <w:r>
        <w:t xml:space="preserve"> #5 by 6-month RS (+64%). AC generators (steam, gas, hydro, wind turbine generators up to 250 MVA) and electric/traction motors: core power-generation equipment. Q1 FY27 revenue and profit +72%; FY27 guidance raised to ~₹2,600 cr; order book ~₹2,207 cr (~3.4x a quarter's sales), 93% exports. The stock rose ~20% 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₹752</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1462 / ₹10,98,766</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₹641 (14.7%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₹717 / ₹765</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28.5 / 10.6 / 53.0</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54.8% / 1.19</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13.4% a year (3.2%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91%</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1.87</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29-Oct-2026 (estimate)</w:t>
            </w:r>
          </w:p>
        </w:tc>
      </w:tr>
    </w:tbl>
    <w:p>
      <w:pPr>
        <w:spacing w:after="120"/>
      </w:pPr>
    </w:p>
    <w:p>
      <w:pPr>
        <w:spacing w:after="120" w:line="276"/>
      </w:pPr>
      <w:r>
        <w:rPr>
          <w:b/>
          <w:bCs/>
        </w:rPr>
        <w:t xml:space="preserve">What the professor may raise.</w:t>
      </w:r>
      <w:r>
        <w:t xml:space="preserve"> Shareholders approved a QIP (qualified institutional placement) on 10-Sep: new shares usually come at a discount and can cap the price for a while. P/E ~86. RRG conviction Low.</w:t>
      </w:r>
    </w:p>
    <w:p>
      <w:pPr>
        <w:spacing w:after="120" w:line="276"/>
      </w:pPr>
      <w:r>
        <w:rPr>
          <w:b/>
          <w:bCs/>
        </w:rPr>
        <w:t xml:space="preserve">Our answer.</w:t>
      </w:r>
      <w:r>
        <w:t xml:space="preserve"> The QIP is known and disclosed; it funds capacity for a business growing 70% a year. It is a genuine near-term overhang, which is exactly what the stop (14.7% below) is for; if it is hit, the reserve list replaces it.</w:t>
      </w:r>
    </w:p>
    <w:p>
      <w:pPr>
        <w:pStyle w:val="Heading3"/>
      </w:pPr>
      <w:r>
        <w:t xml:space="preserve">RAMRAT: Ram Ratna Wires (rank 6, weight 14.32%)</w:t>
      </w:r>
    </w:p>
    <w:p>
      <w:pPr>
        <w:spacing w:after="120" w:line="276"/>
      </w:pPr>
      <w:r>
        <w:rPr>
          <w:b/>
          <w:bCs/>
        </w:rPr>
        <w:t xml:space="preserve">Business and theme fit.</w:t>
      </w:r>
      <w:r>
        <w:t xml:space="preserve"> Enamelled copper winding wires, the windings of motors, transformers and generators (2nd largest in South Asia); electrical-equipment supply chain. Soft exceptions: OPM, operating cash flow.</w:t>
      </w:r>
    </w:p>
    <w:p>
      <w:pPr>
        <w:spacing w:after="120" w:line="276"/>
      </w:pPr>
      <w:r>
        <w:rPr>
          <w:b/>
          <w:bCs/>
        </w:rPr>
        <w:t xml:space="preserve">Why it is in.</w:t>
      </w:r>
      <w:r>
        <w:t xml:space="preserve"> #6 by 6-month RS (+61%). Enamelled copper winding wires, the windings inside motors, transformers and generators (2nd largest in South Asia): a direct supplier to the electrical-equipment capex cycle. Q1 FY27 revenue +89%, profit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₹570</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2436 / ₹13,88,520</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₹494 (13.4%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₹500 / ₹581</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25.2 / 13.1 / 61.4</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43.0% / 1.30</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14.2% a year (3.4%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82%</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1.61</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11-Nov-2026 (estimate)</w:t>
            </w:r>
          </w:p>
        </w:tc>
      </w:tr>
    </w:tbl>
    <w:p>
      <w:pPr>
        <w:spacing w:after="120"/>
      </w:pPr>
    </w:p>
    <w:p>
      <w:pPr>
        <w:spacing w:after="120" w:line="276"/>
      </w:pPr>
      <w:r>
        <w:rPr>
          <w:b/>
          <w:bCs/>
        </w:rPr>
        <w:t xml:space="preserve">What the professor may raise.</w:t>
      </w:r>
      <w:r>
        <w:t xml:space="preserve"> Part of the revenue jump is higher copper prices passed through. Two SOFT exceptions: OPM (5%, thin like any wire-drawer) and negative operating cash flow last year (working capital for growth). It FELL 6.6% on its results (the Tata Power pattern) before rising 27% vs the Nifty since. Debt/equity 1.17 (below our 1.5 hard limit). Traded value ₹8.3 cr/day.</w:t>
      </w:r>
    </w:p>
    <w:p>
      <w:pPr>
        <w:spacing w:after="120" w:line="276"/>
      </w:pPr>
      <w:r>
        <w:rPr>
          <w:b/>
          <w:bCs/>
        </w:rPr>
        <w:t xml:space="preserve">Our answer.</w:t>
      </w:r>
      <w:r>
        <w:t xml:space="preserve"> Soft criteria describe long-run business quality and are already in the price; over 3 months the hard risks (pledge, leverage, interest cover) matter, and it passes those. Our earnings study found that dropping stocks marked down on results did NOT improve returns, and the market has since re-rated it.</w:t>
      </w:r>
    </w:p>
    <w:p>
      <w:pPr>
        <w:pStyle w:val="Heading3"/>
      </w:pPr>
      <w:r>
        <w:t xml:space="preserve">APARINDS: Apar Industries (rank 7, weight 12.37%)</w:t>
      </w:r>
    </w:p>
    <w:p>
      <w:pPr>
        <w:spacing w:after="120" w:line="276"/>
      </w:pPr>
      <w:r>
        <w:rPr>
          <w:b/>
          <w:bCs/>
        </w:rPr>
        <w:t xml:space="preserve">Business and theme fit.</w:t>
      </w:r>
      <w:r>
        <w:t xml:space="preserve"> Power-transmission conductors (~51%, world's largest aluminium conductor maker), transformer and speciality oils, power and telecom cables; Nifty Capital Goods member.</w:t>
      </w:r>
    </w:p>
    <w:p>
      <w:pPr>
        <w:spacing w:after="120" w:line="276"/>
      </w:pPr>
      <w:r>
        <w:rPr>
          <w:b/>
          <w:bCs/>
        </w:rPr>
        <w:t xml:space="preserve">Why it is in.</w:t>
      </w:r>
      <w:r>
        <w:t xml:space="preserve"> #7 by 6-month RS (+60%). World's largest aluminium-conductor maker (~51% of revenue: transmission lines, HTLS, railway conductors), plus transformer oils and power/telecom cables: the grid build-out in one stock. Q1 FY27 profit +78%; +34 pp vs the Nifty since results. Nifty Capital Goods index member; ₹214 cr traded a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₹17,776</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67 / ₹11,90,992</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₹15,381 (13.5% below, 3x ATR)</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₹16,199 / ₹18,132</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28.7 / 5.7 / 53.7</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46.8% / 1.37</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14.6% a year (3.5%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83%</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1.74</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28-Oct-2026 (estimate)</w:t>
            </w:r>
          </w:p>
        </w:tc>
      </w:tr>
    </w:tbl>
    <w:p>
      <w:pPr>
        <w:spacing w:after="120"/>
      </w:pPr>
    </w:p>
    <w:p>
      <w:pPr>
        <w:spacing w:after="120" w:line="276"/>
      </w:pPr>
      <w:r>
        <w:rPr>
          <w:b/>
          <w:bCs/>
        </w:rPr>
        <w:t xml:space="preserve">What the professor may raise.</w:t>
      </w:r>
      <w:r>
        <w:t xml:space="preserve"> P/E ~62; RRG conviction Low (momentum cooled after a strong run). Aluminium/copper price swings pass through its revenue.</w:t>
      </w:r>
    </w:p>
    <w:p>
      <w:pPr>
        <w:spacing w:after="120" w:line="276"/>
      </w:pPr>
      <w:r>
        <w:rPr>
          <w:b/>
          <w:bCs/>
        </w:rPr>
        <w:t xml:space="preserve">Our answer.</w:t>
      </w:r>
      <w:r>
        <w:t xml:space="preserve"> No priced-in concern found: steady post-results drift, large and liquid, and the cleanest theme fit in the portfolio (power transmission).</w:t>
      </w:r>
    </w:p>
    <w:p>
      <w:pPr>
        <w:pStyle w:val="Heading3"/>
      </w:pPr>
      <w:r>
        <w:t xml:space="preserve">ACMESOLAR: ACME Solar Holdings (rank 8, weight 15.00%)</w:t>
      </w:r>
    </w:p>
    <w:p>
      <w:pPr>
        <w:spacing w:after="120" w:line="276"/>
      </w:pPr>
      <w:r>
        <w:rPr>
          <w:b/>
          <w:bCs/>
        </w:rPr>
        <w:t xml:space="preserve">Business and theme fit.</w:t>
      </w:r>
      <w:r>
        <w:t xml:space="preserve"> Renewable independent power producer (solar, wind, hybrid, firm power), 25-year PPAs.</w:t>
      </w:r>
    </w:p>
    <w:p>
      <w:pPr>
        <w:spacing w:after="120" w:line="276"/>
      </w:pPr>
      <w:r>
        <w:rPr>
          <w:b/>
          <w:bCs/>
        </w:rPr>
        <w:t xml:space="preserve">Why it is in.</w:t>
      </w:r>
      <w:r>
        <w:t xml:space="preserve"> #8 by 6-month RS (+53%) and the only Power stock that made the cut. Renewable IPP (solar, wind, hybrid, firm power and battery storage) on 25-year PPAs. Q1 FY27 profit +80%, revenue +63%; capex guidance raised; crossed 4 GWh of operational battery storage in September. Beta 0.40, the portfolio's natural diversifier.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6"/>
        <w:gridCol w:w="2313"/>
        <w:gridCol w:w="2506"/>
      </w:tblGrid>
      <w:tr>
        <w:trPr>
          <w:tblHeader/>
        </w:trPr>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c>
          <w:tcPr>
            <w:tcW w:type="dxa" w:w="2313"/>
            <w:shd w:fill="1F3864" w:color="auto" w:val="clear"/>
            <w:tcMar>
              <w:top w:type="dxa" w:w="60"/>
              <w:left w:type="dxa" w:w="90"/>
              <w:bottom w:type="dxa" w:w="60"/>
              <w:right w:type="dxa" w:w="90"/>
            </w:tcMar>
          </w:tcPr>
          <w:p>
            <w:pPr>
              <w:spacing w:after="0"/>
              <w:jc w:val="left"/>
            </w:pPr>
            <w:r>
              <w:rPr>
                <w:b/>
                <w:bCs/>
                <w:color w:val="FFFFFF"/>
                <w:sz w:val="18"/>
                <w:szCs w:val="18"/>
              </w:rPr>
              <w:t xml:space="preserve">Metric</w:t>
            </w:r>
          </w:p>
        </w:tc>
        <w:tc>
          <w:tcPr>
            <w:tcW w:type="dxa" w:w="2506"/>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Price (25-Sep)</w:t>
            </w:r>
          </w:p>
        </w:tc>
        <w:tc>
          <w:tcPr>
            <w:tcW w:type="dxa" w:w="2506"/>
            <w:tcMar>
              <w:top w:type="dxa" w:w="60"/>
              <w:left w:type="dxa" w:w="90"/>
              <w:bottom w:type="dxa" w:w="60"/>
              <w:right w:type="dxa" w:w="90"/>
            </w:tcMar>
          </w:tcPr>
          <w:p>
            <w:pPr>
              <w:spacing w:after="0"/>
              <w:jc w:val="left"/>
            </w:pPr>
            <w:r>
              <w:rPr>
                <w:b w:val="false"/>
                <w:bCs w:val="false"/>
                <w:sz w:val="18"/>
                <w:szCs w:val="18"/>
              </w:rPr>
              <w:t xml:space="preserve">₹443</w:t>
            </w:r>
          </w:p>
        </w:tc>
        <w:tc>
          <w:tcPr>
            <w:tcW w:type="dxa" w:w="2313"/>
            <w:tcMar>
              <w:top w:type="dxa" w:w="60"/>
              <w:left w:type="dxa" w:w="90"/>
              <w:bottom w:type="dxa" w:w="60"/>
              <w:right w:type="dxa" w:w="90"/>
            </w:tcMar>
          </w:tcPr>
          <w:p>
            <w:pPr>
              <w:spacing w:after="0"/>
              <w:jc w:val="left"/>
            </w:pPr>
            <w:r>
              <w:rPr>
                <w:b w:val="false"/>
                <w:bCs w:val="false"/>
                <w:sz w:val="18"/>
                <w:szCs w:val="18"/>
              </w:rPr>
              <w:t xml:space="preserve">Shares / amount</w:t>
            </w:r>
          </w:p>
        </w:tc>
        <w:tc>
          <w:tcPr>
            <w:tcW w:type="dxa" w:w="2506"/>
            <w:tcMar>
              <w:top w:type="dxa" w:w="60"/>
              <w:left w:type="dxa" w:w="90"/>
              <w:bottom w:type="dxa" w:w="60"/>
              <w:right w:type="dxa" w:w="90"/>
            </w:tcMar>
          </w:tcPr>
          <w:p>
            <w:pPr>
              <w:spacing w:after="0"/>
              <w:jc w:val="left"/>
            </w:pPr>
            <w:r>
              <w:rPr>
                <w:b w:val="false"/>
                <w:bCs w:val="false"/>
                <w:sz w:val="18"/>
                <w:szCs w:val="18"/>
              </w:rPr>
              <w:t xml:space="preserve">3285 / ₹14,54,927</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Stop-loss</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₹378 (14.7% below, support-adjusted)</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Support / resistance</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₹383 / ₹464</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ADX / DI gap / RSI</w:t>
            </w:r>
          </w:p>
        </w:tc>
        <w:tc>
          <w:tcPr>
            <w:tcW w:type="dxa" w:w="2506"/>
            <w:tcMar>
              <w:top w:type="dxa" w:w="60"/>
              <w:left w:type="dxa" w:w="90"/>
              <w:bottom w:type="dxa" w:w="60"/>
              <w:right w:type="dxa" w:w="90"/>
            </w:tcMar>
          </w:tcPr>
          <w:p>
            <w:pPr>
              <w:spacing w:after="0"/>
              <w:jc w:val="left"/>
            </w:pPr>
            <w:r>
              <w:rPr>
                <w:b w:val="false"/>
                <w:bCs w:val="false"/>
                <w:sz w:val="18"/>
                <w:szCs w:val="18"/>
              </w:rPr>
              <w:t xml:space="preserve">33.1 / 15.4 / 63.0</w:t>
            </w:r>
          </w:p>
        </w:tc>
        <w:tc>
          <w:tcPr>
            <w:tcW w:type="dxa" w:w="2313"/>
            <w:tcMar>
              <w:top w:type="dxa" w:w="60"/>
              <w:left w:type="dxa" w:w="90"/>
              <w:bottom w:type="dxa" w:w="60"/>
              <w:right w:type="dxa" w:w="90"/>
            </w:tcMar>
          </w:tcPr>
          <w:p>
            <w:pPr>
              <w:spacing w:after="0"/>
              <w:jc w:val="left"/>
            </w:pPr>
            <w:r>
              <w:rPr>
                <w:b w:val="false"/>
                <w:bCs w:val="false"/>
                <w:sz w:val="18"/>
                <w:szCs w:val="18"/>
              </w:rPr>
              <w:t xml:space="preserve">Volatility / beta</w:t>
            </w:r>
          </w:p>
        </w:tc>
        <w:tc>
          <w:tcPr>
            <w:tcW w:type="dxa" w:w="2506"/>
            <w:tcMar>
              <w:top w:type="dxa" w:w="60"/>
              <w:left w:type="dxa" w:w="90"/>
              <w:bottom w:type="dxa" w:w="60"/>
              <w:right w:type="dxa" w:w="90"/>
            </w:tcMar>
          </w:tcPr>
          <w:p>
            <w:pPr>
              <w:spacing w:after="0"/>
              <w:jc w:val="left"/>
            </w:pPr>
            <w:r>
              <w:rPr>
                <w:b w:val="false"/>
                <w:bCs w:val="false"/>
                <w:sz w:val="18"/>
                <w:szCs w:val="18"/>
              </w:rPr>
              <w:t xml:space="preserve">37.9% / 0.40</w:t>
            </w:r>
          </w:p>
        </w:tc>
      </w:tr>
      <w:tr>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CAPM expected return</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7.8% a year (1.9% over 3 months)</w:t>
            </w:r>
          </w:p>
        </w:tc>
        <w:tc>
          <w:tcPr>
            <w:tcW w:type="dxa" w:w="2313"/>
            <w:shd w:fill="F2F2F2" w:color="auto" w:val="clear"/>
            <w:tcMar>
              <w:top w:type="dxa" w:w="60"/>
              <w:left w:type="dxa" w:w="90"/>
              <w:bottom w:type="dxa" w:w="60"/>
              <w:right w:type="dxa" w:w="90"/>
            </w:tcMar>
          </w:tcPr>
          <w:p>
            <w:pPr>
              <w:spacing w:after="0"/>
              <w:jc w:val="left"/>
            </w:pPr>
            <w:r>
              <w:rPr>
                <w:b w:val="false"/>
                <w:bCs w:val="false"/>
                <w:sz w:val="18"/>
                <w:szCs w:val="18"/>
              </w:rPr>
              <w:t xml:space="preserve">Unexplained (stock-specific) risk</w:t>
            </w:r>
          </w:p>
        </w:tc>
        <w:tc>
          <w:tcPr>
            <w:tcW w:type="dxa" w:w="2506"/>
            <w:shd w:fill="F2F2F2" w:color="auto" w:val="clear"/>
            <w:tcMar>
              <w:top w:type="dxa" w:w="60"/>
              <w:left w:type="dxa" w:w="90"/>
              <w:bottom w:type="dxa" w:w="60"/>
              <w:right w:type="dxa" w:w="90"/>
            </w:tcMar>
          </w:tcPr>
          <w:p>
            <w:pPr>
              <w:spacing w:after="0"/>
              <w:jc w:val="left"/>
            </w:pPr>
            <w:r>
              <w:rPr>
                <w:b w:val="false"/>
                <w:bCs w:val="false"/>
                <w:sz w:val="18"/>
                <w:szCs w:val="18"/>
              </w:rPr>
              <w:t xml:space="preserve">98%</w:t>
            </w:r>
          </w:p>
        </w:tc>
      </w:tr>
      <w:tr>
        <w:tc>
          <w:tcPr>
            <w:tcW w:type="dxa" w:w="2313"/>
            <w:tcMar>
              <w:top w:type="dxa" w:w="60"/>
              <w:left w:type="dxa" w:w="90"/>
              <w:bottom w:type="dxa" w:w="60"/>
              <w:right w:type="dxa" w:w="90"/>
            </w:tcMar>
          </w:tcPr>
          <w:p>
            <w:pPr>
              <w:spacing w:after="0"/>
              <w:jc w:val="left"/>
            </w:pPr>
            <w:r>
              <w:rPr>
                <w:b w:val="false"/>
                <w:bCs w:val="false"/>
                <w:sz w:val="18"/>
                <w:szCs w:val="18"/>
              </w:rPr>
              <w:t xml:space="preserve">Reward/risk (1-s.d. 3-month upside ÷ distance to stop)</w:t>
            </w:r>
          </w:p>
        </w:tc>
        <w:tc>
          <w:tcPr>
            <w:tcW w:type="dxa" w:w="2506"/>
            <w:tcMar>
              <w:top w:type="dxa" w:w="60"/>
              <w:left w:type="dxa" w:w="90"/>
              <w:bottom w:type="dxa" w:w="60"/>
              <w:right w:type="dxa" w:w="90"/>
            </w:tcMar>
          </w:tcPr>
          <w:p>
            <w:pPr>
              <w:spacing w:after="0"/>
              <w:jc w:val="left"/>
            </w:pPr>
            <w:r>
              <w:rPr>
                <w:b w:val="false"/>
                <w:bCs w:val="false"/>
                <w:sz w:val="18"/>
                <w:szCs w:val="18"/>
              </w:rPr>
              <w:t xml:space="preserve">1.29</w:t>
            </w:r>
          </w:p>
        </w:tc>
        <w:tc>
          <w:tcPr>
            <w:tcW w:type="dxa" w:w="2313"/>
            <w:tcMar>
              <w:top w:type="dxa" w:w="60"/>
              <w:left w:type="dxa" w:w="90"/>
              <w:bottom w:type="dxa" w:w="60"/>
              <w:right w:type="dxa" w:w="90"/>
            </w:tcMar>
          </w:tcPr>
          <w:p>
            <w:pPr>
              <w:spacing w:after="0"/>
              <w:jc w:val="left"/>
            </w:pPr>
            <w:r>
              <w:rPr>
                <w:b w:val="false"/>
                <w:bCs w:val="false"/>
                <w:sz w:val="18"/>
                <w:szCs w:val="18"/>
              </w:rPr>
              <w:t xml:space="preserve">Q2 results</w:t>
            </w:r>
          </w:p>
        </w:tc>
        <w:tc>
          <w:tcPr>
            <w:tcW w:type="dxa" w:w="2506"/>
            <w:tcMar>
              <w:top w:type="dxa" w:w="60"/>
              <w:left w:type="dxa" w:w="90"/>
              <w:bottom w:type="dxa" w:w="60"/>
              <w:right w:type="dxa" w:w="90"/>
            </w:tcMar>
          </w:tcPr>
          <w:p>
            <w:pPr>
              <w:spacing w:after="0"/>
              <w:jc w:val="left"/>
            </w:pPr>
            <w:r>
              <w:rPr>
                <w:b w:val="false"/>
                <w:bCs w:val="false"/>
                <w:sz w:val="18"/>
                <w:szCs w:val="18"/>
              </w:rPr>
              <w:t xml:space="preserve">02-Nov-2026 (estimate)</w:t>
            </w:r>
          </w:p>
        </w:tc>
      </w:tr>
    </w:tbl>
    <w:p>
      <w:pPr>
        <w:spacing w:after="120"/>
      </w:pPr>
    </w:p>
    <w:p>
      <w:pPr>
        <w:spacing w:after="120" w:line="276"/>
      </w:pPr>
      <w:r>
        <w:rPr>
          <w:b/>
          <w:bCs/>
        </w:rPr>
        <w:t xml:space="preserve">What the professor may raise.</w:t>
      </w:r>
      <w:r>
        <w:t xml:space="preserve"> Up ~103% in 8 months, at an all-time high; 70% of its 3-month outperformance came in the last 10 sessions (a run-up flag). Capped at the 15% maximum weight because it is the least volatile.</w:t>
      </w:r>
    </w:p>
    <w:p>
      <w:pPr>
        <w:spacing w:after="120" w:line="276"/>
      </w:pPr>
      <w:r>
        <w:rPr>
          <w:b/>
          <w:bCs/>
        </w:rPr>
        <w:t xml:space="preserve">Our answer.</w:t>
      </w:r>
      <w:r>
        <w:t xml:space="preserve"> Our study found momentum built from news-driven jumps kept going BETTER than smooth trends in this universe (Section 5.4), so the run-up is not a reason to exclude it. Its low beta makes it the stock that most reduces portfolio risk, which is why equal-risk weighting would give it even more than the 15% cap allows.</w:t>
      </w:r>
    </w:p>
    <w:p>
      <w:pPr>
        <w:pStyle w:val="Heading2"/>
      </w:pPr>
      <w:r>
        <w:t xml:space="preserve">6.3 Reserve stocks (bought only on a stop-out, and only if they still pass every rule that day)</w:t>
      </w:r>
    </w:p>
    <w:p>
      <w:pPr>
        <w:pStyle w:val="Heading3"/>
      </w:pPr>
      <w:r>
        <w:t xml:space="preserve">QPOWER: Quality Power Electrical Equipments (rank 9)</w:t>
      </w:r>
    </w:p>
    <w:p>
      <w:pPr>
        <w:spacing w:after="120" w:line="276"/>
      </w:pPr>
      <w:r>
        <w:rPr>
          <w:b/>
          <w:bCs/>
        </w:rPr>
        <w:t xml:space="preserve">Business.</w:t>
      </w:r>
      <w:r>
        <w:t xml:space="preserve"> High-voltage grid equipment (reactors, HVDC/FACTS components) for power transmission and energy transition.</w:t>
      </w:r>
    </w:p>
    <w:p>
      <w:pPr>
        <w:spacing w:after="120" w:line="276"/>
      </w:pPr>
      <w:r>
        <w:rPr>
          <w:b/>
          <w:bCs/>
        </w:rPr>
        <w:t xml:space="preserve">Case.</w:t>
      </w:r>
      <w:r>
        <w:t xml:space="preserve"> High-voltage grid equipment (reactors, HVDC/FACTS components) for transmission and energy transition. 6-month RS +49%, profit +50%.  </w:t>
      </w:r>
      <w:r>
        <w:rPr>
          <w:b/>
          <w:bCs/>
        </w:rPr>
        <w:t xml:space="preserve">Risk.</w:t>
      </w:r>
      <w:r>
        <w:t xml:space="preserve"> P/E ~88; RRG Low; recent listing history just above one year.  </w:t>
      </w:r>
      <w:r>
        <w:rPr>
          <w:b/>
          <w:bCs/>
        </w:rPr>
        <w:t xml:space="preserve">Answer.</w:t>
      </w:r>
      <w:r>
        <w:t xml:space="preserve"> First in the reserve queue: bought only if a holding hits its stop AND it still passes every rule that day.</w:t>
      </w:r>
    </w:p>
    <w:p>
      <w:pPr>
        <w:pStyle w:val="Heading3"/>
      </w:pPr>
      <w:r>
        <w:t xml:space="preserve">FINCABLES: Finolex Cables (rank 10)</w:t>
      </w:r>
    </w:p>
    <w:p>
      <w:pPr>
        <w:spacing w:after="120" w:line="276"/>
      </w:pPr>
      <w:r>
        <w:rPr>
          <w:b/>
          <w:bCs/>
        </w:rPr>
        <w:t xml:space="preserve">Business.</w:t>
      </w:r>
      <w:r>
        <w:t xml:space="preserve"> Electrical and communication cables are most of revenue; a small consumer-electricals (FMEG) line. Nifty Capital Goods member.</w:t>
      </w:r>
    </w:p>
    <w:p>
      <w:pPr>
        <w:spacing w:after="120" w:line="276"/>
      </w:pPr>
      <w:r>
        <w:rPr>
          <w:b/>
          <w:bCs/>
        </w:rPr>
        <w:t xml:space="preserve">Case.</w:t>
      </w:r>
      <w:r>
        <w:t xml:space="preserve"> Electrical and communication cables; Q1 profit +53%, margin +230 bp; +21% on results. 6-month RS +45%.  </w:t>
      </w:r>
      <w:r>
        <w:rPr>
          <w:b/>
          <w:bCs/>
        </w:rPr>
        <w:t xml:space="preserve">Risk.</w:t>
      </w:r>
      <w:r>
        <w:t xml:space="preserve"> Part of the 44% revenue jump is copper price pass-through; could reverse if copper falls.  </w:t>
      </w:r>
      <w:r>
        <w:rPr>
          <w:b/>
          <w:bCs/>
        </w:rPr>
        <w:t xml:space="preserve">Answer.</w:t>
      </w:r>
      <w:r>
        <w:t xml:space="preserve"> Moved from invested to reserve only because the conviction filter was dropped and four higher-ranked stocks re-entered; its own numbers did not change.</w:t>
      </w:r>
    </w:p>
    <w:p>
      <w:pPr>
        <w:pStyle w:val="Heading3"/>
      </w:pPr>
      <w:r>
        <w:t xml:space="preserve">GRINDWELL: Grindwell Norton (rank 11)</w:t>
      </w:r>
    </w:p>
    <w:p>
      <w:pPr>
        <w:spacing w:after="120" w:line="276"/>
      </w:pPr>
      <w:r>
        <w:rPr>
          <w:b/>
          <w:bCs/>
        </w:rPr>
        <w:t xml:space="preserve">Business.</w:t>
      </w:r>
      <w:r>
        <w:t xml:space="preserve"> Abrasives and performance ceramics for manufacturing (Saint-Gobain subsidiary), like CARBORUNIV; small plastics and IT-services lines.</w:t>
      </w:r>
    </w:p>
    <w:p>
      <w:pPr>
        <w:spacing w:after="120" w:line="276"/>
      </w:pPr>
      <w:r>
        <w:rPr>
          <w:b/>
          <w:bCs/>
        </w:rPr>
        <w:t xml:space="preserve">Case.</w:t>
      </w:r>
      <w:r>
        <w:t xml:space="preserve"> Abrasives and performance ceramics (Saint-Gobain subsidiary). 6-month RS +37%, profit +22%.  </w:t>
      </w:r>
      <w:r>
        <w:rPr>
          <w:b/>
          <w:bCs/>
        </w:rPr>
        <w:t xml:space="preserve">Risk.</w:t>
      </w:r>
      <w:r>
        <w:t xml:space="preserve"> Currently trailing the Nifty over 3 months (-6.4 pp); traded value ₹6.2 cr/day, just above our threshold.  </w:t>
      </w:r>
      <w:r>
        <w:rPr>
          <w:b/>
          <w:bCs/>
        </w:rPr>
        <w:t xml:space="preserve">Answer.</w:t>
      </w:r>
      <w:r>
        <w:t xml:space="preserve"> Reserve #3; if called on it must still pass the trend and liquidity rules that day.</w:t>
      </w:r>
    </w:p>
    <w:p>
      <w:pPr>
        <w:pStyle w:val="Heading3"/>
      </w:pPr>
      <w:r>
        <w:t xml:space="preserve">ACE: Action Construction Equipment (rank 12)</w:t>
      </w:r>
    </w:p>
    <w:p>
      <w:pPr>
        <w:spacing w:after="120" w:line="276"/>
      </w:pPr>
      <w:r>
        <w:rPr>
          <w:b/>
          <w:bCs/>
        </w:rPr>
        <w:t xml:space="preserve">Business.</w:t>
      </w:r>
      <w:r>
        <w:t xml:space="preserve"> Cranes, construction and material-handling equipment ~92% of FY25 revenue; agri equipment (incl. tractors) ~8%.</w:t>
      </w:r>
    </w:p>
    <w:p>
      <w:pPr>
        <w:spacing w:after="120" w:line="276"/>
      </w:pPr>
      <w:r>
        <w:rPr>
          <w:b/>
          <w:bCs/>
        </w:rPr>
        <w:t xml:space="preserve">Case.</w:t>
      </w:r>
      <w:r>
        <w:t xml:space="preserve"> Cranes (world's largest pick-and-carry maker, 63% Indian mobile-crane share), construction and material-handling equipment ~92% of revenue. Best-ever Q1, profit +22%.  </w:t>
      </w:r>
      <w:r>
        <w:rPr>
          <w:b/>
          <w:bCs/>
        </w:rPr>
        <w:t xml:space="preserve">Risk.</w:t>
      </w:r>
      <w:r>
        <w:t xml:space="preserve"> Steel costs up ~20%, being passed on in prices.  </w:t>
      </w:r>
      <w:r>
        <w:rPr>
          <w:b/>
          <w:bCs/>
        </w:rPr>
        <w:t xml:space="preserve">Answer.</w:t>
      </w:r>
      <w:r>
        <w:t xml:space="preserve"> No concern found; reserve #4. It left the invested 8 only because higher-ranked names re-entered.</w:t>
      </w:r>
    </w:p>
    <w:p>
      <w:pPr>
        <w:pStyle w:val="Heading3"/>
      </w:pPr>
      <w:r>
        <w:t xml:space="preserve">CARBORUNIV: Carborundum Universal (rank 13)</w:t>
      </w:r>
    </w:p>
    <w:p>
      <w:pPr>
        <w:spacing w:after="120" w:line="276"/>
      </w:pPr>
      <w:r>
        <w:rPr>
          <w:b/>
          <w:bCs/>
        </w:rPr>
        <w:t xml:space="preserve">Business.</w:t>
      </w:r>
      <w:r>
        <w:t xml:space="preserve"> Abrasives (~44%), technical ceramics and refractories (wear linings for mining, power, steel) and electrominerals; industrial consumables and engineered materials for manufacturing. Nifty Capital Goods member.</w:t>
      </w:r>
    </w:p>
    <w:p>
      <w:pPr>
        <w:spacing w:after="120" w:line="276"/>
      </w:pPr>
      <w:r>
        <w:rPr>
          <w:b/>
          <w:bCs/>
        </w:rPr>
        <w:t xml:space="preserve">Case.</w:t>
      </w:r>
      <w:r>
        <w:t xml:space="preserve"> Abrasives, technical ceramics and electrominerals (Murugappa group); Nifty Capital Goods member. Profit +23%.  </w:t>
      </w:r>
      <w:r>
        <w:rPr>
          <w:b/>
          <w:bCs/>
        </w:rPr>
        <w:t xml:space="preserve">Risk.</w:t>
      </w:r>
      <w:r>
        <w:t xml:space="preserve"> +24% in 8 sessions with no news (a technical breakout to a 52-week high on ~3x delivery volume); P/E ~97.  </w:t>
      </w:r>
      <w:r>
        <w:rPr>
          <w:b/>
          <w:bCs/>
        </w:rPr>
        <w:t xml:space="preserve">Answer.</w:t>
      </w:r>
      <w:r>
        <w:t xml:space="preserve"> Reserve #5. The earlier run-up concern is now moot for the money, and our frog-in-the-pan study suggests such jumps are not a negative signal here.</w:t>
      </w:r>
    </w:p>
    <w:p>
      <w:pPr>
        <w:pStyle w:val="Heading3"/>
      </w:pPr>
      <w:r>
        <w:t xml:space="preserve">GOODLUCK: Goodluck India (rank 14)</w:t>
      </w:r>
    </w:p>
    <w:p>
      <w:pPr>
        <w:spacing w:after="120" w:line="276"/>
      </w:pPr>
      <w:r>
        <w:rPr>
          <w:b/>
          <w:bCs/>
        </w:rPr>
        <w:t xml:space="preserve">Business.</w:t>
      </w:r>
      <w:r>
        <w:t xml:space="preserve"> Steel engineering products. CR coils, pipes and tubes (~37%: roads, bridges, railways) and engineering structures (~23%: transmission towers, solar structures) fit; precision and auto tubes (~25%) are automotive; forgings (~15%) include a new defence (shell) unit.</w:t>
      </w:r>
    </w:p>
    <w:p>
      <w:pPr>
        <w:spacing w:after="120" w:line="276"/>
      </w:pPr>
      <w:r>
        <w:rPr>
          <w:b/>
          <w:bCs/>
        </w:rPr>
        <w:t xml:space="preserve">Case.</w:t>
      </w:r>
      <w:r>
        <w:t xml:space="preserve"> Steel engineering products: CR coils/pipes (~37%) and engineering structures incl. transmission towers (~23%); profit +60%.  </w:t>
      </w:r>
      <w:r>
        <w:rPr>
          <w:b/>
          <w:bCs/>
        </w:rPr>
        <w:t xml:space="preserve">Risk.</w:t>
      </w:r>
      <w:r>
        <w:t xml:space="preserve"> ~25% of revenue is automotive tubes (a borderline theme fit); weakest post-results follow-through.  </w:t>
      </w:r>
      <w:r>
        <w:rPr>
          <w:b/>
          <w:bCs/>
        </w:rPr>
        <w:t xml:space="preserve">Answer.</w:t>
      </w:r>
      <w:r>
        <w:t xml:space="preserve"> Reserve #6; borderline theme fit disclosed on the dashboard.</w:t>
      </w:r>
    </w:p>
    <w:p>
      <w:pPr>
        <w:pStyle w:val="Heading3"/>
      </w:pPr>
      <w:r>
        <w:t xml:space="preserve">ENGINERSIN: Engineers India (rank 15)</w:t>
      </w:r>
    </w:p>
    <w:p>
      <w:pPr>
        <w:spacing w:after="120" w:line="276"/>
      </w:pPr>
      <w:r>
        <w:rPr>
          <w:b/>
          <w:bCs/>
        </w:rPr>
        <w:t xml:space="preserve">Business.</w:t>
      </w:r>
      <w:r>
        <w:t xml:space="preserve"> Engineering consultancy and turnkey (LSTK) EPC for refineries, petrochemicals, fertilisers and infrastructure; Screener: Construction &gt; Civil Construction (EPC).</w:t>
      </w:r>
    </w:p>
    <w:p>
      <w:pPr>
        <w:spacing w:after="120" w:line="276"/>
      </w:pPr>
      <w:r>
        <w:rPr>
          <w:b/>
          <w:bCs/>
        </w:rPr>
        <w:t xml:space="preserve">Case.</w:t>
      </w:r>
      <w:r>
        <w:t xml:space="preserve"> Engineers India: engineering consultancy and turnkey (LSTK) EPC for refineries, petrochemicals, fertilisers and infrastructure; the only EPC stock that passes every rule. 6-month RS +24%, profit +142%, debt-free.  </w:t>
      </w:r>
      <w:r>
        <w:rPr>
          <w:b/>
          <w:bCs/>
        </w:rPr>
        <w:t xml:space="preserve">Risk.</w:t>
      </w:r>
      <w:r>
        <w:t xml:space="preserve"> Profit jumped while sales fell 6% (other income and margin mix, not volume); a sharp late run-up (57% of its 3-month outperformance in the last 10 sessions), RSI 73.  </w:t>
      </w:r>
      <w:r>
        <w:rPr>
          <w:b/>
          <w:bCs/>
        </w:rPr>
        <w:t xml:space="preserve">Answer.</w:t>
      </w:r>
      <w:r>
        <w:t xml:space="preserve"> Reserve #7. It entered when EPC contractors joined the universe (the professor's theme includes EPC); it replaced VOLTAMP, which now ranks #16.</w:t>
      </w:r>
    </w:p>
    <w:p>
      <w:pPr>
        <w:pStyle w:val="Heading2"/>
      </w:pPr>
      <w:r>
        <w:t xml:space="preserve">6.4 'Is the good news already priced in?'</w:t>
      </w:r>
    </w:p>
    <w:p>
      <w:pPr>
        <w:spacing w:after="120" w:line="276"/>
      </w:pPr>
      <w:r>
        <w:t xml:space="preserve">Checked for every invested stock: the price reaction in the two sessions after its latest results and the move since, against the Nifty 500, plus a news search. None sold off on strong results the way Tata Power did earlier, except RAMRAT (−6.6% on results, then +27 pp since). Most kept rising after results, which is the post-earnings drift pattern (the market still catching up), not a sign that the news was already in the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shd w:fill="1F3864" w:color="auto" w:val="clear"/>
            <w:tcMar>
              <w:top w:type="dxa" w:w="60"/>
              <w:left w:type="dxa" w:w="90"/>
              <w:bottom w:type="dxa" w:w="60"/>
              <w:right w:type="dxa" w:w="90"/>
            </w:tcMar>
          </w:tcPr>
          <w:p>
            <w:pPr>
              <w:spacing w:after="0"/>
              <w:jc w:val="left"/>
            </w:pPr>
            <w:r>
              <w:rPr>
                <w:b/>
                <w:bCs/>
                <w:color w:val="FFFFFF"/>
                <w:sz w:val="18"/>
                <w:szCs w:val="18"/>
              </w:rPr>
              <w:t xml:space="preserve">Stock</w:t>
            </w:r>
          </w:p>
        </w:tc>
        <w:tc>
          <w:tcPr>
            <w:tcW w:type="dxa" w:w="8032"/>
            <w:shd w:fill="1F3864" w:color="auto" w:val="clear"/>
            <w:tcMar>
              <w:top w:type="dxa" w:w="60"/>
              <w:left w:type="dxa" w:w="90"/>
              <w:bottom w:type="dxa" w:w="60"/>
              <w:right w:type="dxa" w:w="90"/>
            </w:tcMar>
          </w:tcPr>
          <w:p>
            <w:pPr>
              <w:spacing w:after="0"/>
              <w:jc w:val="left"/>
            </w:pPr>
            <w:r>
              <w:rPr>
                <w:b/>
                <w:bCs/>
                <w:color w:val="FFFFFF"/>
                <w:sz w:val="18"/>
                <w:szCs w:val="18"/>
              </w:rPr>
              <w:t xml:space="preserve">Finding</w:t>
            </w:r>
          </w:p>
        </w:tc>
      </w:tr>
      <w:tr>
        <w:tc>
          <w:tcPr>
            <w:tcW w:type="dxa" w:w="1606"/>
            <w:tcMar>
              <w:top w:type="dxa" w:w="60"/>
              <w:left w:type="dxa" w:w="90"/>
              <w:bottom w:type="dxa" w:w="60"/>
              <w:right w:type="dxa" w:w="90"/>
            </w:tcMar>
          </w:tcPr>
          <w:p>
            <w:pPr>
              <w:spacing w:after="0"/>
              <w:jc w:val="left"/>
            </w:pPr>
            <w:r>
              <w:rPr>
                <w:b w:val="false"/>
                <w:bCs w:val="false"/>
                <w:sz w:val="18"/>
                <w:szCs w:val="18"/>
              </w:rPr>
              <w:t xml:space="preserve">WELCORP</w:t>
            </w:r>
          </w:p>
        </w:tc>
        <w:tc>
          <w:tcPr>
            <w:tcW w:type="dxa" w:w="8032"/>
            <w:tcMar>
              <w:top w:type="dxa" w:w="60"/>
              <w:left w:type="dxa" w:w="90"/>
              <w:bottom w:type="dxa" w:w="60"/>
              <w:right w:type="dxa" w:w="90"/>
            </w:tcMar>
          </w:tcPr>
          <w:p>
            <w:pPr>
              <w:spacing w:after="0"/>
              <w:jc w:val="left"/>
            </w:pPr>
            <w:r>
              <w:rPr>
                <w:b w:val="false"/>
                <w:bCs w:val="false"/>
                <w:sz w:val="18"/>
                <w:szCs w:val="18"/>
              </w:rPr>
              <w:t xml:space="preserve">Stretched (4x from Feb low) but driven by new orders on 20-Sep and 24-Sep, not old news.</w:t>
            </w:r>
          </w:p>
        </w:tc>
      </w:tr>
      <w:tr>
        <w:tc>
          <w:tcPr>
            <w:tcW w:type="dxa" w:w="1606"/>
            <w:shd w:fill="F2F2F2" w:color="auto" w:val="clear"/>
            <w:tcMar>
              <w:top w:type="dxa" w:w="60"/>
              <w:left w:type="dxa" w:w="90"/>
              <w:bottom w:type="dxa" w:w="60"/>
              <w:right w:type="dxa" w:w="90"/>
            </w:tcMar>
          </w:tcPr>
          <w:p>
            <w:pPr>
              <w:spacing w:after="0"/>
              <w:jc w:val="left"/>
            </w:pPr>
            <w:r>
              <w:rPr>
                <w:b w:val="false"/>
                <w:bCs w:val="false"/>
                <w:sz w:val="18"/>
                <w:szCs w:val="18"/>
              </w:rPr>
              <w:t xml:space="preserve">RPEL</w:t>
            </w:r>
          </w:p>
        </w:tc>
        <w:tc>
          <w:tcPr>
            <w:tcW w:type="dxa" w:w="8032"/>
            <w:shd w:fill="F2F2F2" w:color="auto" w:val="clear"/>
            <w:tcMar>
              <w:top w:type="dxa" w:w="60"/>
              <w:left w:type="dxa" w:w="90"/>
              <w:bottom w:type="dxa" w:w="60"/>
              <w:right w:type="dxa" w:w="90"/>
            </w:tcMar>
          </w:tcPr>
          <w:p>
            <w:pPr>
              <w:spacing w:after="0"/>
              <w:jc w:val="left"/>
            </w:pPr>
            <w:r>
              <w:rPr>
                <w:b w:val="false"/>
                <w:bCs w:val="false"/>
                <w:sz w:val="18"/>
                <w:szCs w:val="18"/>
              </w:rPr>
              <w:t xml:space="preserve">Expensive (P/E ~124): results must stay strong.</w:t>
            </w:r>
          </w:p>
        </w:tc>
      </w:tr>
      <w:tr>
        <w:tc>
          <w:tcPr>
            <w:tcW w:type="dxa" w:w="1606"/>
            <w:tcMar>
              <w:top w:type="dxa" w:w="60"/>
              <w:left w:type="dxa" w:w="90"/>
              <w:bottom w:type="dxa" w:w="60"/>
              <w:right w:type="dxa" w:w="90"/>
            </w:tcMar>
          </w:tcPr>
          <w:p>
            <w:pPr>
              <w:spacing w:after="0"/>
              <w:jc w:val="left"/>
            </w:pPr>
            <w:r>
              <w:rPr>
                <w:b w:val="false"/>
                <w:bCs w:val="false"/>
                <w:sz w:val="18"/>
                <w:szCs w:val="18"/>
              </w:rPr>
              <w:t xml:space="preserve">SBCL</w:t>
            </w:r>
          </w:p>
        </w:tc>
        <w:tc>
          <w:tcPr>
            <w:tcW w:type="dxa" w:w="8032"/>
            <w:tcMar>
              <w:top w:type="dxa" w:w="60"/>
              <w:left w:type="dxa" w:w="90"/>
              <w:bottom w:type="dxa" w:w="60"/>
              <w:right w:type="dxa" w:w="90"/>
            </w:tcMar>
          </w:tcPr>
          <w:p>
            <w:pPr>
              <w:spacing w:after="0"/>
              <w:jc w:val="left"/>
            </w:pPr>
            <w:r>
              <w:rPr>
                <w:b w:val="false"/>
                <w:bCs w:val="false"/>
                <w:sz w:val="18"/>
                <w:szCs w:val="18"/>
              </w:rPr>
              <w:t xml:space="preserve">Upper circuit on results, +50% since: genuine drift. No concern beyond valuation.</w:t>
            </w:r>
          </w:p>
        </w:tc>
      </w:tr>
      <w:tr>
        <w:tc>
          <w:tcPr>
            <w:tcW w:type="dxa" w:w="1606"/>
            <w:shd w:fill="F2F2F2" w:color="auto" w:val="clear"/>
            <w:tcMar>
              <w:top w:type="dxa" w:w="60"/>
              <w:left w:type="dxa" w:w="90"/>
              <w:bottom w:type="dxa" w:w="60"/>
              <w:right w:type="dxa" w:w="90"/>
            </w:tcMar>
          </w:tcPr>
          <w:p>
            <w:pPr>
              <w:spacing w:after="0"/>
              <w:jc w:val="left"/>
            </w:pPr>
            <w:r>
              <w:rPr>
                <w:b w:val="false"/>
                <w:bCs w:val="false"/>
                <w:sz w:val="18"/>
                <w:szCs w:val="18"/>
              </w:rPr>
              <w:t xml:space="preserve">AEROFLEX</w:t>
            </w:r>
          </w:p>
        </w:tc>
        <w:tc>
          <w:tcPr>
            <w:tcW w:type="dxa" w:w="8032"/>
            <w:shd w:fill="F2F2F2" w:color="auto" w:val="clear"/>
            <w:tcMar>
              <w:top w:type="dxa" w:w="60"/>
              <w:left w:type="dxa" w:w="90"/>
              <w:bottom w:type="dxa" w:w="60"/>
              <w:right w:type="dxa" w:w="90"/>
            </w:tcMar>
          </w:tcPr>
          <w:p>
            <w:pPr>
              <w:spacing w:after="0"/>
              <w:jc w:val="left"/>
            </w:pPr>
            <w:r>
              <w:rPr>
                <w:b w:val="false"/>
                <w:bCs w:val="false"/>
                <w:sz w:val="18"/>
                <w:szCs w:val="18"/>
              </w:rPr>
              <w:t xml:space="preserve">Profit +162%, guidance raised; momentum cooled recently. No priced-in concern.</w:t>
            </w:r>
          </w:p>
        </w:tc>
      </w:tr>
      <w:tr>
        <w:tc>
          <w:tcPr>
            <w:tcW w:type="dxa" w:w="1606"/>
            <w:tcMar>
              <w:top w:type="dxa" w:w="60"/>
              <w:left w:type="dxa" w:w="90"/>
              <w:bottom w:type="dxa" w:w="60"/>
              <w:right w:type="dxa" w:w="90"/>
            </w:tcMar>
          </w:tcPr>
          <w:p>
            <w:pPr>
              <w:spacing w:after="0"/>
              <w:jc w:val="left"/>
            </w:pPr>
            <w:r>
              <w:rPr>
                <w:b w:val="false"/>
                <w:bCs w:val="false"/>
                <w:sz w:val="18"/>
                <w:szCs w:val="18"/>
              </w:rPr>
              <w:t xml:space="preserve">TDPOWERSYS</w:t>
            </w:r>
          </w:p>
        </w:tc>
        <w:tc>
          <w:tcPr>
            <w:tcW w:type="dxa" w:w="8032"/>
            <w:tcMar>
              <w:top w:type="dxa" w:w="60"/>
              <w:left w:type="dxa" w:w="90"/>
              <w:bottom w:type="dxa" w:w="60"/>
              <w:right w:type="dxa" w:w="90"/>
            </w:tcMar>
          </w:tcPr>
          <w:p>
            <w:pPr>
              <w:spacing w:after="0"/>
              <w:jc w:val="left"/>
            </w:pPr>
            <w:r>
              <w:rPr>
                <w:b w:val="false"/>
                <w:bCs w:val="false"/>
                <w:sz w:val="18"/>
                <w:szCs w:val="18"/>
              </w:rPr>
              <w:t xml:space="preserve">Strong results; QIP approved 10-Sep may cap the price near term.</w:t>
            </w:r>
          </w:p>
        </w:tc>
      </w:tr>
      <w:tr>
        <w:tc>
          <w:tcPr>
            <w:tcW w:type="dxa" w:w="1606"/>
            <w:shd w:fill="F2F2F2" w:color="auto" w:val="clear"/>
            <w:tcMar>
              <w:top w:type="dxa" w:w="60"/>
              <w:left w:type="dxa" w:w="90"/>
              <w:bottom w:type="dxa" w:w="60"/>
              <w:right w:type="dxa" w:w="90"/>
            </w:tcMar>
          </w:tcPr>
          <w:p>
            <w:pPr>
              <w:spacing w:after="0"/>
              <w:jc w:val="left"/>
            </w:pPr>
            <w:r>
              <w:rPr>
                <w:b w:val="false"/>
                <w:bCs w:val="false"/>
                <w:sz w:val="18"/>
                <w:szCs w:val="18"/>
              </w:rPr>
              <w:t xml:space="preserve">RAMRAT</w:t>
            </w:r>
          </w:p>
        </w:tc>
        <w:tc>
          <w:tcPr>
            <w:tcW w:type="dxa" w:w="8032"/>
            <w:shd w:fill="F2F2F2" w:color="auto" w:val="clear"/>
            <w:tcMar>
              <w:top w:type="dxa" w:w="60"/>
              <w:left w:type="dxa" w:w="90"/>
              <w:bottom w:type="dxa" w:w="60"/>
              <w:right w:type="dxa" w:w="90"/>
            </w:tcMar>
          </w:tcPr>
          <w:p>
            <w:pPr>
              <w:spacing w:after="0"/>
              <w:jc w:val="left"/>
            </w:pPr>
            <w:r>
              <w:rPr>
                <w:b w:val="false"/>
                <w:bCs w:val="false"/>
                <w:sz w:val="18"/>
                <w:szCs w:val="18"/>
              </w:rPr>
              <w:t xml:space="preserve">Fell on results despite +121% profit, then recovered; copper pass-through and negative cash flow.</w:t>
            </w:r>
          </w:p>
        </w:tc>
      </w:tr>
      <w:tr>
        <w:tc>
          <w:tcPr>
            <w:tcW w:type="dxa" w:w="1606"/>
            <w:tcMar>
              <w:top w:type="dxa" w:w="60"/>
              <w:left w:type="dxa" w:w="90"/>
              <w:bottom w:type="dxa" w:w="60"/>
              <w:right w:type="dxa" w:w="90"/>
            </w:tcMar>
          </w:tcPr>
          <w:p>
            <w:pPr>
              <w:spacing w:after="0"/>
              <w:jc w:val="left"/>
            </w:pPr>
            <w:r>
              <w:rPr>
                <w:b w:val="false"/>
                <w:bCs w:val="false"/>
                <w:sz w:val="18"/>
                <w:szCs w:val="18"/>
              </w:rPr>
              <w:t xml:space="preserve">APARINDS</w:t>
            </w:r>
          </w:p>
        </w:tc>
        <w:tc>
          <w:tcPr>
            <w:tcW w:type="dxa" w:w="8032"/>
            <w:tcMar>
              <w:top w:type="dxa" w:w="60"/>
              <w:left w:type="dxa" w:w="90"/>
              <w:bottom w:type="dxa" w:w="60"/>
              <w:right w:type="dxa" w:w="90"/>
            </w:tcMar>
          </w:tcPr>
          <w:p>
            <w:pPr>
              <w:spacing w:after="0"/>
              <w:jc w:val="left"/>
            </w:pPr>
            <w:r>
              <w:rPr>
                <w:b w:val="false"/>
                <w:bCs w:val="false"/>
                <w:sz w:val="18"/>
                <w:szCs w:val="18"/>
              </w:rPr>
              <w:t xml:space="preserve">Steady post-results drift. No concern.</w:t>
            </w:r>
          </w:p>
        </w:tc>
      </w:tr>
      <w:tr>
        <w:tc>
          <w:tcPr>
            <w:tcW w:type="dxa" w:w="1606"/>
            <w:shd w:fill="F2F2F2" w:color="auto" w:val="clear"/>
            <w:tcMar>
              <w:top w:type="dxa" w:w="60"/>
              <w:left w:type="dxa" w:w="90"/>
              <w:bottom w:type="dxa" w:w="60"/>
              <w:right w:type="dxa" w:w="90"/>
            </w:tcMar>
          </w:tcPr>
          <w:p>
            <w:pPr>
              <w:spacing w:after="0"/>
              <w:jc w:val="left"/>
            </w:pPr>
            <w:r>
              <w:rPr>
                <w:b w:val="false"/>
                <w:bCs w:val="false"/>
                <w:sz w:val="18"/>
                <w:szCs w:val="18"/>
              </w:rPr>
              <w:t xml:space="preserve">ACMESOLAR</w:t>
            </w:r>
          </w:p>
        </w:tc>
        <w:tc>
          <w:tcPr>
            <w:tcW w:type="dxa" w:w="8032"/>
            <w:shd w:fill="F2F2F2" w:color="auto" w:val="clear"/>
            <w:tcMar>
              <w:top w:type="dxa" w:w="60"/>
              <w:left w:type="dxa" w:w="90"/>
              <w:bottom w:type="dxa" w:w="60"/>
              <w:right w:type="dxa" w:w="90"/>
            </w:tcMar>
          </w:tcPr>
          <w:p>
            <w:pPr>
              <w:spacing w:after="0"/>
              <w:jc w:val="left"/>
            </w:pPr>
            <w:r>
              <w:rPr>
                <w:b w:val="false"/>
                <w:bCs w:val="false"/>
                <w:sz w:val="18"/>
                <w:szCs w:val="18"/>
              </w:rPr>
              <w:t xml:space="preserve">Late run-up (70% of 3-month outperformance in 10 days); strong results and guidance.</w:t>
            </w:r>
          </w:p>
        </w:tc>
      </w:tr>
    </w:tbl>
    <w:p>
      <w:pPr>
        <w:spacing w:after="120"/>
      </w:pPr>
    </w:p>
    <w:p>
      <w:pPr>
        <w:pStyle w:val="Heading1"/>
        <w:pageBreakBefore/>
      </w:pPr>
      <w:r>
        <w:t xml:space="preserve">7. Why not…? The names we rejected</w:t>
      </w:r>
    </w:p>
    <w:p>
      <w:pPr>
        <w:spacing w:after="120" w:line="276"/>
      </w:pPr>
      <w:r>
        <w:t xml:space="preserve">The professor will name stocks. For each, the exact rule that excludes it: never 'we did not like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shd w:fill="1F3864" w:color="auto" w:val="clear"/>
            <w:tcMar>
              <w:top w:type="dxa" w:w="60"/>
              <w:left w:type="dxa" w:w="90"/>
              <w:bottom w:type="dxa" w:w="60"/>
              <w:right w:type="dxa" w:w="90"/>
            </w:tcMar>
          </w:tcPr>
          <w:p>
            <w:pPr>
              <w:spacing w:after="0"/>
              <w:jc w:val="left"/>
            </w:pPr>
            <w:r>
              <w:rPr>
                <w:b/>
                <w:bCs/>
                <w:color w:val="FFFFFF"/>
                <w:sz w:val="18"/>
                <w:szCs w:val="18"/>
              </w:rPr>
              <w:t xml:space="preserve">Stock</w:t>
            </w:r>
          </w:p>
        </w:tc>
        <w:tc>
          <w:tcPr>
            <w:tcW w:type="dxa" w:w="7559"/>
            <w:shd w:fill="1F3864" w:color="auto" w:val="clear"/>
            <w:tcMar>
              <w:top w:type="dxa" w:w="60"/>
              <w:left w:type="dxa" w:w="90"/>
              <w:bottom w:type="dxa" w:w="60"/>
              <w:right w:type="dxa" w:w="90"/>
            </w:tcMar>
          </w:tcPr>
          <w:p>
            <w:pPr>
              <w:spacing w:after="0"/>
              <w:jc w:val="left"/>
            </w:pPr>
            <w:r>
              <w:rPr>
                <w:b/>
                <w:bCs/>
                <w:color w:val="FFFFFF"/>
                <w:sz w:val="18"/>
                <w:szCs w:val="18"/>
              </w:rPr>
              <w:t xml:space="preserve">Why it is not in the 15</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TATAPOWER</w:t>
            </w:r>
          </w:p>
        </w:tc>
        <w:tc>
          <w:tcPr>
            <w:tcW w:type="dxa" w:w="7559"/>
            <w:tcMar>
              <w:top w:type="dxa" w:w="60"/>
              <w:left w:type="dxa" w:w="90"/>
              <w:bottom w:type="dxa" w:w="60"/>
              <w:right w:type="dxa" w:w="90"/>
            </w:tcMar>
          </w:tcPr>
          <w:p>
            <w:pPr>
              <w:spacing w:after="0"/>
              <w:jc w:val="left"/>
            </w:pPr>
            <w:r>
              <w:rPr>
                <w:b w:val="false"/>
                <w:bCs w:val="false"/>
                <w:sz w:val="18"/>
                <w:szCs w:val="18"/>
              </w:rPr>
              <w:t xml:space="preserve">6-month RS −19.9%, rank 34 of 34 eligible. Earlier it sold off on strong Q1 results: the good news was in the price.</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L&amp;T (LT)</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In the universe (EPC, via Screener's Construction export) but not in an uptrend: DI gap −3.8, 6-month RS +6.8%.</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VOLTAMP</w:t>
            </w:r>
          </w:p>
        </w:tc>
        <w:tc>
          <w:tcPr>
            <w:tcW w:type="dxa" w:w="7559"/>
            <w:tcMar>
              <w:top w:type="dxa" w:w="60"/>
              <w:left w:type="dxa" w:w="90"/>
              <w:bottom w:type="dxa" w:w="60"/>
              <w:right w:type="dxa" w:w="90"/>
            </w:tcMar>
          </w:tcPr>
          <w:p>
            <w:pPr>
              <w:spacing w:after="0"/>
              <w:jc w:val="left"/>
            </w:pPr>
            <w:r>
              <w:rPr>
                <w:b w:val="false"/>
                <w:bCs w:val="false"/>
                <w:sz w:val="18"/>
                <w:szCs w:val="18"/>
              </w:rPr>
              <w:t xml:space="preserve">Passes every rule; rank 16 (6-month RS +18%). It was reserve #7 until EPC joined the universe and ENGINERSIN (+24%) ranked above it.</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CEMPRO (Cemindia, ex-ITD Cementation)</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The strongest EPC stock (6-month RS +139%) but no real trend now: DI gap 0.6 &lt; 2.</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HCC, KPIL (Kalpataru)</w:t>
            </w:r>
          </w:p>
        </w:tc>
        <w:tc>
          <w:tcPr>
            <w:tcW w:type="dxa" w:w="7559"/>
            <w:tcMar>
              <w:top w:type="dxa" w:w="60"/>
              <w:left w:type="dxa" w:w="90"/>
              <w:bottom w:type="dxa" w:w="60"/>
              <w:right w:type="dxa" w:w="90"/>
            </w:tcMar>
          </w:tcPr>
          <w:p>
            <w:pPr>
              <w:spacing w:after="0"/>
              <w:jc w:val="left"/>
            </w:pPr>
            <w:r>
              <w:rPr>
                <w:b w:val="false"/>
                <w:bCs w:val="false"/>
                <w:sz w:val="18"/>
                <w:szCs w:val="18"/>
              </w:rPr>
              <w:t xml:space="preserve">Fail the HARD pledge rule: 82% and 25% of promoter shares pledged (limit 15%).</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WELENT (Welspun Enterprises)</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Latest-quarter profit −27% year on year: fails the profit rule going into results.</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KEC, RVNL, NCC, IRCON</w:t>
            </w:r>
          </w:p>
        </w:tc>
        <w:tc>
          <w:tcPr>
            <w:tcW w:type="dxa" w:w="7559"/>
            <w:tcMar>
              <w:top w:type="dxa" w:w="60"/>
              <w:left w:type="dxa" w:w="90"/>
              <w:bottom w:type="dxa" w:w="60"/>
              <w:right w:type="dxa" w:w="90"/>
            </w:tcMar>
          </w:tcPr>
          <w:p>
            <w:pPr>
              <w:spacing w:after="0"/>
              <w:jc w:val="left"/>
            </w:pPr>
            <w:r>
              <w:rPr>
                <w:b w:val="false"/>
                <w:bCs w:val="false"/>
                <w:sz w:val="18"/>
                <w:szCs w:val="18"/>
              </w:rPr>
              <w:t xml:space="preserve">Not in an uptrend (negative DI gap) and lagging the Nifty 500 over 6 months.</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APLAPOLLO</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Passes every rule but 6-month RS ~0%: rank 25, below the 15.</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JKCEMENT</w:t>
            </w:r>
          </w:p>
        </w:tc>
        <w:tc>
          <w:tcPr>
            <w:tcW w:type="dxa" w:w="7559"/>
            <w:tcMar>
              <w:top w:type="dxa" w:w="60"/>
              <w:left w:type="dxa" w:w="90"/>
              <w:bottom w:type="dxa" w:w="60"/>
              <w:right w:type="dxa" w:w="90"/>
            </w:tcMar>
          </w:tcPr>
          <w:p>
            <w:pPr>
              <w:spacing w:after="0"/>
              <w:jc w:val="left"/>
            </w:pPr>
            <w:r>
              <w:rPr>
                <w:b w:val="false"/>
                <w:bCs w:val="false"/>
                <w:sz w:val="18"/>
                <w:szCs w:val="18"/>
              </w:rPr>
              <w:t xml:space="preserve">Trend too weak (DI gap 0.5 &lt; 2) and latest-quarter profit −14%.</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NUVOCO (Cement)</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Passes every rule but 6-month RS ~+1%: rank 24, below the 15.</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GRASIM</w:t>
            </w:r>
          </w:p>
        </w:tc>
        <w:tc>
          <w:tcPr>
            <w:tcW w:type="dxa" w:w="7559"/>
            <w:tcMar>
              <w:top w:type="dxa" w:w="60"/>
              <w:left w:type="dxa" w:w="90"/>
              <w:bottom w:type="dxa" w:w="60"/>
              <w:right w:type="dxa" w:w="90"/>
            </w:tcMar>
          </w:tcPr>
          <w:p>
            <w:pPr>
              <w:spacing w:after="0"/>
              <w:jc w:val="left"/>
            </w:pPr>
            <w:r>
              <w:rPr>
                <w:b w:val="false"/>
                <w:bCs w:val="false"/>
                <w:sz w:val="18"/>
                <w:szCs w:val="18"/>
              </w:rPr>
              <w:t xml:space="preserve">Fails a HARD rule (debt/equity 2.2, driven by its finance arm); a conglomerate, poor theme fit.</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ADANIPOWER</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Bearish trend (DI gap −12.8), lagging in both RRG views.</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POLYCAB</w:t>
            </w:r>
          </w:p>
        </w:tc>
        <w:tc>
          <w:tcPr>
            <w:tcW w:type="dxa" w:w="7559"/>
            <w:tcMar>
              <w:top w:type="dxa" w:w="60"/>
              <w:left w:type="dxa" w:w="90"/>
              <w:bottom w:type="dxa" w:w="60"/>
              <w:right w:type="dxa" w:w="90"/>
            </w:tcMar>
          </w:tcPr>
          <w:p>
            <w:pPr>
              <w:spacing w:after="0"/>
              <w:jc w:val="left"/>
            </w:pPr>
            <w:r>
              <w:rPr>
                <w:b w:val="false"/>
                <w:bCs w:val="false"/>
                <w:sz w:val="18"/>
                <w:szCs w:val="18"/>
              </w:rPr>
              <w:t xml:space="preserve">Bearish trend (DI gap −7.7) despite good fundamentals; momentum only starting to improve.</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BIRLACORPN</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Bearish trend and thin trading (~₹3 cr/day).</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HAL, BEL, BDL, MAZDOCK, COCHINSHIP</w:t>
            </w:r>
          </w:p>
        </w:tc>
        <w:tc>
          <w:tcPr>
            <w:tcW w:type="dxa" w:w="7559"/>
            <w:tcMar>
              <w:top w:type="dxa" w:w="60"/>
              <w:left w:type="dxa" w:w="90"/>
              <w:bottom w:type="dxa" w:w="60"/>
              <w:right w:type="dxa" w:w="90"/>
            </w:tcMar>
          </w:tcPr>
          <w:p>
            <w:pPr>
              <w:spacing w:after="0"/>
              <w:jc w:val="left"/>
            </w:pPr>
            <w:r>
              <w:rPr>
                <w:b w:val="false"/>
                <w:bCs w:val="false"/>
                <w:sz w:val="18"/>
                <w:szCs w:val="18"/>
              </w:rPr>
              <w:t xml:space="preserve">Defence/shipbuilding: outside the theme by rule (not capex/infra).</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GREAVESCOT</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Latest-quarter profit −23%; overbought (RSI 77).</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BEML</w:t>
            </w:r>
          </w:p>
        </w:tc>
        <w:tc>
          <w:tcPr>
            <w:tcW w:type="dxa" w:w="7559"/>
            <w:tcMar>
              <w:top w:type="dxa" w:w="60"/>
              <w:left w:type="dxa" w:w="90"/>
              <w:bottom w:type="dxa" w:w="60"/>
              <w:right w:type="dxa" w:w="90"/>
            </w:tcMar>
          </w:tcPr>
          <w:p>
            <w:pPr>
              <w:spacing w:after="0"/>
              <w:jc w:val="left"/>
            </w:pPr>
            <w:r>
              <w:rPr>
                <w:b w:val="false"/>
                <w:bCs w:val="false"/>
                <w:sz w:val="18"/>
                <w:szCs w:val="18"/>
              </w:rPr>
              <w:t xml:space="preserve">Made a ₹27 cr loss in the latest quarter (Screener showed '+58% growth' because the loss narrowed).</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UTLSOLAR</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Only 211 sessions of prices, under the one-year rule.</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PTCIL, DYNAMATECH</w:t>
            </w:r>
          </w:p>
        </w:tc>
        <w:tc>
          <w:tcPr>
            <w:tcW w:type="dxa" w:w="7559"/>
            <w:tcMar>
              <w:top w:type="dxa" w:w="60"/>
              <w:left w:type="dxa" w:w="90"/>
              <w:bottom w:type="dxa" w:w="60"/>
              <w:right w:type="dxa" w:w="90"/>
            </w:tcMar>
          </w:tcPr>
          <w:p>
            <w:pPr>
              <w:spacing w:after="0"/>
              <w:jc w:val="left"/>
            </w:pPr>
            <w:r>
              <w:rPr>
                <w:b w:val="false"/>
                <w:bCs w:val="false"/>
                <w:sz w:val="18"/>
                <w:szCs w:val="18"/>
              </w:rPr>
              <w:t xml:space="preserve">Aerospace/defence businesses filed under castings and hydraulics: theme exclusion.</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KABRAEXTRU, RATNAVEER, QUADFUTURE</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Below the ₹5,000 cr floor; KABRAEXTRU and QUADFUTURE loss-making, RATNAVEER speculatively traded.</w:t>
            </w:r>
          </w:p>
        </w:tc>
      </w:tr>
      <w:tr>
        <w:tc>
          <w:tcPr>
            <w:tcW w:type="dxa" w:w="2079"/>
            <w:tcMar>
              <w:top w:type="dxa" w:w="60"/>
              <w:left w:type="dxa" w:w="90"/>
              <w:bottom w:type="dxa" w:w="60"/>
              <w:right w:type="dxa" w:w="90"/>
            </w:tcMar>
          </w:tcPr>
          <w:p>
            <w:pPr>
              <w:spacing w:after="0"/>
              <w:jc w:val="left"/>
            </w:pPr>
            <w:r>
              <w:rPr>
                <w:b w:val="false"/>
                <w:bCs w:val="false"/>
                <w:sz w:val="18"/>
                <w:szCs w:val="18"/>
              </w:rPr>
              <w:t xml:space="preserve">SHANTIGEAR, BANSALWIRE, AJAXENGG</w:t>
            </w:r>
          </w:p>
        </w:tc>
        <w:tc>
          <w:tcPr>
            <w:tcW w:type="dxa" w:w="7559"/>
            <w:tcMar>
              <w:top w:type="dxa" w:w="60"/>
              <w:left w:type="dxa" w:w="90"/>
              <w:bottom w:type="dxa" w:w="60"/>
              <w:right w:type="dxa" w:w="90"/>
            </w:tcMar>
          </w:tcPr>
          <w:p>
            <w:pPr>
              <w:spacing w:after="0"/>
              <w:jc w:val="left"/>
            </w:pPr>
            <w:r>
              <w:rPr>
                <w:b w:val="false"/>
                <w:bCs w:val="false"/>
                <w:sz w:val="18"/>
                <w:szCs w:val="18"/>
              </w:rPr>
              <w:t xml:space="preserve">Illiquid (₹0.9-2.9 cr/day) and/or profit falling.</w:t>
            </w:r>
          </w:p>
        </w:tc>
      </w:tr>
      <w:tr>
        <w:tc>
          <w:tcPr>
            <w:tcW w:type="dxa" w:w="2079"/>
            <w:shd w:fill="F2F2F2" w:color="auto" w:val="clear"/>
            <w:tcMar>
              <w:top w:type="dxa" w:w="60"/>
              <w:left w:type="dxa" w:w="90"/>
              <w:bottom w:type="dxa" w:w="60"/>
              <w:right w:type="dxa" w:w="90"/>
            </w:tcMar>
          </w:tcPr>
          <w:p>
            <w:pPr>
              <w:spacing w:after="0"/>
              <w:jc w:val="left"/>
            </w:pPr>
            <w:r>
              <w:rPr>
                <w:b w:val="false"/>
                <w:bCs w:val="false"/>
                <w:sz w:val="18"/>
                <w:szCs w:val="18"/>
              </w:rPr>
              <w:t xml:space="preserve">AEROFLEX-type 'Low conviction' names</w:t>
            </w:r>
          </w:p>
        </w:tc>
        <w:tc>
          <w:tcPr>
            <w:tcW w:type="dxa" w:w="7559"/>
            <w:shd w:fill="F2F2F2" w:color="auto" w:val="clear"/>
            <w:tcMar>
              <w:top w:type="dxa" w:w="60"/>
              <w:left w:type="dxa" w:w="90"/>
              <w:bottom w:type="dxa" w:w="60"/>
              <w:right w:type="dxa" w:w="90"/>
            </w:tcMar>
          </w:tcPr>
          <w:p>
            <w:pPr>
              <w:spacing w:after="0"/>
              <w:jc w:val="left"/>
            </w:pPr>
            <w:r>
              <w:rPr>
                <w:b w:val="false"/>
                <w:bCs w:val="false"/>
                <w:sz w:val="18"/>
                <w:szCs w:val="18"/>
              </w:rPr>
              <w:t xml:space="preserve">Not rejected: our backtest showed the conviction filter hurt returns, so they are ranked like any other stock.</w:t>
            </w:r>
          </w:p>
        </w:tc>
      </w:tr>
    </w:tbl>
    <w:p>
      <w:pPr>
        <w:spacing w:after="120"/>
      </w:pPr>
    </w:p>
    <w:p>
      <w:pPr>
        <w:pStyle w:val="Heading2"/>
      </w:pPr>
      <w:r>
        <w:t xml:space="preserve">7.1 No cement stock</w:t>
      </w:r>
    </w:p>
    <w:p>
      <w:pPr>
        <w:spacing w:after="120" w:line="276"/>
      </w:pPr>
      <w:r>
        <w:t xml:space="preserve">The rule is sector-neutral: no quotas. Cement stocks have not outperformed (NUVOCO, the best, has a 6-month RS of ~+1%), so none makes the 15. Forcing a cement leg would mean buying a weaker stock to look balanced. If the professor requires a cement leg, NUVOCO is the rule-consistent choice (it passes every screen).</w:t>
      </w:r>
    </w:p>
    <w:p>
      <w:pPr>
        <w:pStyle w:val="Heading2"/>
      </w:pPr>
      <w:r>
        <w:t xml:space="preserve">7.2 Concentration in Capital Goods</w:t>
      </w:r>
    </w:p>
    <w:p>
      <w:pPr>
        <w:spacing w:after="120" w:line="276"/>
      </w:pPr>
      <w:r>
        <w:t xml:space="preserve">14 of 15 stocks (7 of 8 invested) are Capital Goods. This is where the theme's momentum is; within it the holdings span different businesses and end-markets: pipes (WELCORP), steel-plant refractories (RPEL), electrical components (SBCL), flow equipment (AEROFLEX), generators (TDPOWERSYS), winding wire (RAMRAT), transmission conductors (APARINDS). Power is represented by ACMESOLAR (beta 0.40), the main diversifier.</w:t>
      </w:r>
    </w:p>
    <w:p>
      <w:pPr>
        <w:pStyle w:val="Heading2"/>
      </w:pPr>
      <w:r>
        <w:t xml:space="preserve">7.3 Gold, commodities and ETFs</w:t>
      </w:r>
    </w:p>
    <w:p>
      <w:pPr>
        <w:spacing w:after="120" w:line="276"/>
      </w:pPr>
      <w:r>
        <w:t xml:space="preserve">The brief allows them 'with a clear reason'. Gold: its job (crash protection) is done better by the Nifty puts, which pay precisely when Indian equities fall. Copper/aluminium: an ambiguous hedge (rising copper squeezes cable margins but usually reflects strong capex demand). Theme ETFs: overlap with our stocks and dilute the picks. We hold one ETF: a liquid ETF for the 3% hedge budget, so it is not idle cash.</w:t>
      </w:r>
    </w:p>
    <w:p>
      <w:pPr>
        <w:pStyle w:val="Heading1"/>
        <w:pageBreakBefore/>
      </w:pPr>
      <w:r>
        <w:t xml:space="preserve">8. Portfolio construction</w:t>
      </w:r>
    </w:p>
    <w:p>
      <w:pPr>
        <w:pStyle w:val="Heading2"/>
      </w:pPr>
      <w:r>
        <w:t xml:space="preserve">8.1 Equal risk contribution (ERC) weights, 5-15%</w:t>
      </w:r>
    </w:p>
    <w:p>
      <w:pPr>
        <w:spacing w:after="120" w:line="276"/>
      </w:pPr>
      <w:r>
        <w:t xml:space="preserve">Each stock's risk contribution is RC_i = w_i (Σw)_i / (w'Σw): its share of portfolio variance, with Σ from one year of daily returns. ERC makes every RC equal, within the 5-15% bounds. Why: it needs no return forecast (no forecast is reliable, Section 5), gives volatile names less money, and keeps any one stock from dominating risk. Result: the seven uncapped stocks each carry exactly 13.15% of portfolio risk; ACMESOLAR, the least volatile (and lowest beta), hits the 15% cap and carries 7.9%. Effective number of stocks: 7.8 of 8.</w:t>
      </w:r>
    </w:p>
    <w:p>
      <w:pPr>
        <w:spacing w:after="120" w:line="276"/>
      </w:pPr>
      <w:r>
        <w:rPr>
          <w:b/>
          <w:bCs/>
        </w:rPr>
        <w:t xml:space="preserve">Allocation:</w:t>
      </w:r>
      <w:r>
        <w:t xml:space="preserve"> ₹97 lakh (97%) in stocks; ₹3 lakh (3%) hedge budget for the day-0 puts and one profit-lock roll, parked in a liquid ETF at the overnight rate. Market exposure stays well above 90%.</w:t>
      </w:r>
    </w:p>
    <w:p>
      <w:pPr>
        <w:pStyle w:val="Heading2"/>
      </w:pPr>
      <w:r>
        <w:t xml:space="preserve">8.2 Why 8 invested and 15 tracked</w:t>
      </w:r>
    </w:p>
    <w:p>
      <w:pPr>
        <w:spacing w:after="120" w:line="276"/>
      </w:pPr>
      <w:r>
        <w:t xml:space="preserve">The brief says 7-10 invested, not above 15, and 'track stocks too'. We invest in the top 8 and keep the next 7 as a ranked reserve. Fewer, stronger positions rather than 15 thin ones: when we tested 15 invested stocks against 10 earlier in the project, volatility barely fell (from 23.6% to 22.3%) because the extra names move with the rest, while the weights of the strongest names halved.</w:t>
      </w:r>
    </w:p>
    <w:p>
      <w:pPr>
        <w:pStyle w:val="Heading2"/>
      </w:pPr>
      <w:r>
        <w:t xml:space="preserve">8.3 CML, tangency and GMVP (the 'global portfolio')</w:t>
      </w:r>
    </w:p>
    <w:p>
      <w:pPr>
        <w:spacing w:after="120" w:line="276"/>
      </w:pPr>
      <w:r>
        <w:t xml:space="preserve">From the same 8 stocks we computed the efficient frontier, the tangency (maximum-Sharpe) portfolio and the global minimum-variance portfolio (GMVP), long-only and within 5-15%, with the CML through the Nifty 500 TRI (dashboard Performance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3"/>
        <w:gridCol w:w="1257"/>
        <w:gridCol w:w="1257"/>
        <w:gridCol w:w="1048"/>
        <w:gridCol w:w="1571"/>
        <w:gridCol w:w="1362"/>
      </w:tblGrid>
      <w:tr>
        <w:trPr>
          <w:tblHeader/>
        </w:trPr>
        <w:tc>
          <w:tcPr>
            <w:tcW w:type="dxa" w:w="3143"/>
            <w:shd w:fill="1F3864" w:color="auto" w:val="clear"/>
            <w:tcMar>
              <w:top w:type="dxa" w:w="60"/>
              <w:left w:type="dxa" w:w="90"/>
              <w:bottom w:type="dxa" w:w="60"/>
              <w:right w:type="dxa" w:w="90"/>
            </w:tcMar>
          </w:tcPr>
          <w:p>
            <w:pPr>
              <w:spacing w:after="0"/>
              <w:jc w:val="left"/>
            </w:pPr>
            <w:r>
              <w:rPr>
                <w:b/>
                <w:bCs/>
                <w:color w:val="FFFFFF"/>
                <w:sz w:val="18"/>
                <w:szCs w:val="18"/>
              </w:rPr>
              <w:t xml:space="preserve">Portfolio (past year, ex-post)</w:t>
            </w:r>
          </w:p>
        </w:tc>
        <w:tc>
          <w:tcPr>
            <w:tcW w:type="dxa" w:w="1257"/>
            <w:shd w:fill="1F3864" w:color="auto" w:val="clear"/>
            <w:tcMar>
              <w:top w:type="dxa" w:w="60"/>
              <w:left w:type="dxa" w:w="90"/>
              <w:bottom w:type="dxa" w:w="60"/>
              <w:right w:type="dxa" w:w="90"/>
            </w:tcMar>
          </w:tcPr>
          <w:p>
            <w:pPr>
              <w:spacing w:after="0"/>
              <w:jc w:val="left"/>
            </w:pPr>
            <w:r>
              <w:rPr>
                <w:b/>
                <w:bCs/>
                <w:color w:val="FFFFFF"/>
                <w:sz w:val="18"/>
                <w:szCs w:val="18"/>
              </w:rPr>
              <w:t xml:space="preserve">Volatility</w:t>
            </w:r>
          </w:p>
        </w:tc>
        <w:tc>
          <w:tcPr>
            <w:tcW w:type="dxa" w:w="1257"/>
            <w:shd w:fill="1F3864" w:color="auto" w:val="clear"/>
            <w:tcMar>
              <w:top w:type="dxa" w:w="60"/>
              <w:left w:type="dxa" w:w="90"/>
              <w:bottom w:type="dxa" w:w="60"/>
              <w:right w:type="dxa" w:w="90"/>
            </w:tcMar>
          </w:tcPr>
          <w:p>
            <w:pPr>
              <w:spacing w:after="0"/>
              <w:jc w:val="left"/>
            </w:pPr>
            <w:r>
              <w:rPr>
                <w:b/>
                <w:bCs/>
                <w:color w:val="FFFFFF"/>
                <w:sz w:val="18"/>
                <w:szCs w:val="18"/>
              </w:rPr>
              <w:t xml:space="preserve">Return</w:t>
            </w:r>
          </w:p>
        </w:tc>
        <w:tc>
          <w:tcPr>
            <w:tcW w:type="dxa" w:w="1048"/>
            <w:shd w:fill="1F3864" w:color="auto" w:val="clear"/>
            <w:tcMar>
              <w:top w:type="dxa" w:w="60"/>
              <w:left w:type="dxa" w:w="90"/>
              <w:bottom w:type="dxa" w:w="60"/>
              <w:right w:type="dxa" w:w="90"/>
            </w:tcMar>
          </w:tcPr>
          <w:p>
            <w:pPr>
              <w:spacing w:after="0"/>
              <w:jc w:val="left"/>
            </w:pPr>
            <w:r>
              <w:rPr>
                <w:b/>
                <w:bCs/>
                <w:color w:val="FFFFFF"/>
                <w:sz w:val="18"/>
                <w:szCs w:val="18"/>
              </w:rPr>
              <w:t xml:space="preserve">Sharpe</w:t>
            </w:r>
          </w:p>
        </w:tc>
        <w:tc>
          <w:tcPr>
            <w:tcW w:type="dxa" w:w="1571"/>
            <w:shd w:fill="1F3864" w:color="auto" w:val="clear"/>
            <w:tcMar>
              <w:top w:type="dxa" w:w="60"/>
              <w:left w:type="dxa" w:w="90"/>
              <w:bottom w:type="dxa" w:w="60"/>
              <w:right w:type="dxa" w:w="90"/>
            </w:tcMar>
          </w:tcPr>
          <w:p>
            <w:pPr>
              <w:spacing w:after="0"/>
              <w:jc w:val="left"/>
            </w:pPr>
            <w:r>
              <w:rPr>
                <w:b/>
                <w:bCs/>
                <w:color w:val="FFFFFF"/>
                <w:sz w:val="18"/>
                <w:szCs w:val="18"/>
              </w:rPr>
              <w:t xml:space="preserve">Effective no. of stocks</w:t>
            </w:r>
          </w:p>
        </w:tc>
        <w:tc>
          <w:tcPr>
            <w:tcW w:type="dxa" w:w="1362"/>
            <w:shd w:fill="1F3864" w:color="auto" w:val="clear"/>
            <w:tcMar>
              <w:top w:type="dxa" w:w="60"/>
              <w:left w:type="dxa" w:w="90"/>
              <w:bottom w:type="dxa" w:w="60"/>
              <w:right w:type="dxa" w:w="90"/>
            </w:tcMar>
          </w:tcPr>
          <w:p>
            <w:pPr>
              <w:spacing w:after="0"/>
              <w:jc w:val="left"/>
            </w:pPr>
            <w:r>
              <w:rPr>
                <w:b/>
                <w:bCs/>
                <w:color w:val="FFFFFF"/>
                <w:sz w:val="18"/>
                <w:szCs w:val="18"/>
              </w:rPr>
              <w:t xml:space="preserve">Largest weight</w:t>
            </w:r>
          </w:p>
        </w:tc>
      </w:tr>
      <w:tr>
        <w:tc>
          <w:tcPr>
            <w:tcW w:type="dxa" w:w="3143"/>
            <w:tcMar>
              <w:top w:type="dxa" w:w="60"/>
              <w:left w:type="dxa" w:w="90"/>
              <w:bottom w:type="dxa" w:w="60"/>
              <w:right w:type="dxa" w:w="90"/>
            </w:tcMar>
          </w:tcPr>
          <w:p>
            <w:pPr>
              <w:spacing w:after="0"/>
              <w:jc w:val="left"/>
            </w:pPr>
            <w:r>
              <w:rPr>
                <w:b w:val="false"/>
                <w:bCs w:val="false"/>
                <w:sz w:val="18"/>
                <w:szCs w:val="18"/>
              </w:rPr>
              <w:t xml:space="preserve">Ours (equal risk contribution)</w:t>
            </w:r>
          </w:p>
        </w:tc>
        <w:tc>
          <w:tcPr>
            <w:tcW w:type="dxa" w:w="1257"/>
            <w:tcMar>
              <w:top w:type="dxa" w:w="60"/>
              <w:left w:type="dxa" w:w="90"/>
              <w:bottom w:type="dxa" w:w="60"/>
              <w:right w:type="dxa" w:w="90"/>
            </w:tcMar>
          </w:tcPr>
          <w:p>
            <w:pPr>
              <w:spacing w:after="0"/>
              <w:jc w:val="right"/>
            </w:pPr>
            <w:r>
              <w:rPr>
                <w:b w:val="false"/>
                <w:bCs w:val="false"/>
                <w:sz w:val="18"/>
                <w:szCs w:val="18"/>
              </w:rPr>
              <w:t xml:space="preserve">27.0%</w:t>
            </w:r>
          </w:p>
        </w:tc>
        <w:tc>
          <w:tcPr>
            <w:tcW w:type="dxa" w:w="1257"/>
            <w:tcMar>
              <w:top w:type="dxa" w:w="60"/>
              <w:left w:type="dxa" w:w="90"/>
              <w:bottom w:type="dxa" w:w="60"/>
              <w:right w:type="dxa" w:w="90"/>
            </w:tcMar>
          </w:tcPr>
          <w:p>
            <w:pPr>
              <w:spacing w:after="0"/>
              <w:jc w:val="right"/>
            </w:pPr>
            <w:r>
              <w:rPr>
                <w:b w:val="false"/>
                <w:bCs w:val="false"/>
                <w:sz w:val="18"/>
                <w:szCs w:val="18"/>
              </w:rPr>
              <w:t xml:space="preserve">98.2%</w:t>
            </w:r>
          </w:p>
        </w:tc>
        <w:tc>
          <w:tcPr>
            <w:tcW w:type="dxa" w:w="1048"/>
            <w:tcMar>
              <w:top w:type="dxa" w:w="60"/>
              <w:left w:type="dxa" w:w="90"/>
              <w:bottom w:type="dxa" w:w="60"/>
              <w:right w:type="dxa" w:w="90"/>
            </w:tcMar>
          </w:tcPr>
          <w:p>
            <w:pPr>
              <w:spacing w:after="0"/>
              <w:jc w:val="right"/>
            </w:pPr>
            <w:r>
              <w:rPr>
                <w:b w:val="false"/>
                <w:bCs w:val="false"/>
                <w:sz w:val="18"/>
                <w:szCs w:val="18"/>
              </w:rPr>
              <w:t xml:space="preserve">3.44</w:t>
            </w:r>
          </w:p>
        </w:tc>
        <w:tc>
          <w:tcPr>
            <w:tcW w:type="dxa" w:w="1571"/>
            <w:tcMar>
              <w:top w:type="dxa" w:w="60"/>
              <w:left w:type="dxa" w:w="90"/>
              <w:bottom w:type="dxa" w:w="60"/>
              <w:right w:type="dxa" w:w="90"/>
            </w:tcMar>
          </w:tcPr>
          <w:p>
            <w:pPr>
              <w:spacing w:after="0"/>
              <w:jc w:val="right"/>
            </w:pPr>
            <w:r>
              <w:rPr>
                <w:b w:val="false"/>
                <w:bCs w:val="false"/>
                <w:sz w:val="18"/>
                <w:szCs w:val="18"/>
              </w:rPr>
              <w:t xml:space="preserve">7.8</w:t>
            </w:r>
          </w:p>
        </w:tc>
        <w:tc>
          <w:tcPr>
            <w:tcW w:type="dxa" w:w="1362"/>
            <w:tcMar>
              <w:top w:type="dxa" w:w="60"/>
              <w:left w:type="dxa" w:w="90"/>
              <w:bottom w:type="dxa" w:w="60"/>
              <w:right w:type="dxa" w:w="90"/>
            </w:tcMar>
          </w:tcPr>
          <w:p>
            <w:pPr>
              <w:spacing w:after="0"/>
              <w:jc w:val="right"/>
            </w:pPr>
            <w:r>
              <w:rPr>
                <w:b w:val="false"/>
                <w:bCs w:val="false"/>
                <w:sz w:val="18"/>
                <w:szCs w:val="18"/>
              </w:rPr>
              <w:t xml:space="preserve">15.0%</w:t>
            </w:r>
          </w:p>
        </w:tc>
      </w:tr>
      <w:tr>
        <w:tc>
          <w:tcPr>
            <w:tcW w:type="dxa" w:w="3143"/>
            <w:shd w:fill="F2F2F2" w:color="auto" w:val="clear"/>
            <w:tcMar>
              <w:top w:type="dxa" w:w="60"/>
              <w:left w:type="dxa" w:w="90"/>
              <w:bottom w:type="dxa" w:w="60"/>
              <w:right w:type="dxa" w:w="90"/>
            </w:tcMar>
          </w:tcPr>
          <w:p>
            <w:pPr>
              <w:spacing w:after="0"/>
              <w:jc w:val="left"/>
            </w:pPr>
            <w:r>
              <w:rPr>
                <w:b w:val="false"/>
                <w:bCs w:val="false"/>
                <w:sz w:val="18"/>
                <w:szCs w:val="18"/>
              </w:rPr>
              <w:t xml:space="preserve">GMVP (5-15% limits)</w:t>
            </w:r>
          </w:p>
        </w:tc>
        <w:tc>
          <w:tcPr>
            <w:tcW w:type="dxa" w:w="1257"/>
            <w:shd w:fill="F2F2F2" w:color="auto" w:val="clear"/>
            <w:tcMar>
              <w:top w:type="dxa" w:w="60"/>
              <w:left w:type="dxa" w:w="90"/>
              <w:bottom w:type="dxa" w:w="60"/>
              <w:right w:type="dxa" w:w="90"/>
            </w:tcMar>
          </w:tcPr>
          <w:p>
            <w:pPr>
              <w:spacing w:after="0"/>
              <w:jc w:val="right"/>
            </w:pPr>
            <w:r>
              <w:rPr>
                <w:b w:val="false"/>
                <w:bCs w:val="false"/>
                <w:sz w:val="18"/>
                <w:szCs w:val="18"/>
              </w:rPr>
              <w:t xml:space="preserve">26.6%</w:t>
            </w:r>
          </w:p>
        </w:tc>
        <w:tc>
          <w:tcPr>
            <w:tcW w:type="dxa" w:w="1257"/>
            <w:shd w:fill="F2F2F2" w:color="auto" w:val="clear"/>
            <w:tcMar>
              <w:top w:type="dxa" w:w="60"/>
              <w:left w:type="dxa" w:w="90"/>
              <w:bottom w:type="dxa" w:w="60"/>
              <w:right w:type="dxa" w:w="90"/>
            </w:tcMar>
          </w:tcPr>
          <w:p>
            <w:pPr>
              <w:spacing w:after="0"/>
              <w:jc w:val="right"/>
            </w:pPr>
            <w:r>
              <w:rPr>
                <w:b w:val="false"/>
                <w:bCs w:val="false"/>
                <w:sz w:val="18"/>
                <w:szCs w:val="18"/>
              </w:rPr>
              <w:t xml:space="preserve">96.5%</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3.43</w:t>
            </w:r>
          </w:p>
        </w:tc>
        <w:tc>
          <w:tcPr>
            <w:tcW w:type="dxa" w:w="1571"/>
            <w:shd w:fill="F2F2F2" w:color="auto" w:val="clear"/>
            <w:tcMar>
              <w:top w:type="dxa" w:w="60"/>
              <w:left w:type="dxa" w:w="90"/>
              <w:bottom w:type="dxa" w:w="60"/>
              <w:right w:type="dxa" w:w="90"/>
            </w:tcMar>
          </w:tcPr>
          <w:p>
            <w:pPr>
              <w:spacing w:after="0"/>
              <w:jc w:val="right"/>
            </w:pPr>
            <w:r>
              <w:rPr>
                <w:b w:val="false"/>
                <w:bCs w:val="false"/>
                <w:sz w:val="18"/>
                <w:szCs w:val="18"/>
              </w:rPr>
              <w:t xml:space="preserve">7.4</w:t>
            </w:r>
          </w:p>
        </w:tc>
        <w:tc>
          <w:tcPr>
            <w:tcW w:type="dxa" w:w="1362"/>
            <w:shd w:fill="F2F2F2" w:color="auto" w:val="clear"/>
            <w:tcMar>
              <w:top w:type="dxa" w:w="60"/>
              <w:left w:type="dxa" w:w="90"/>
              <w:bottom w:type="dxa" w:w="60"/>
              <w:right w:type="dxa" w:w="90"/>
            </w:tcMar>
          </w:tcPr>
          <w:p>
            <w:pPr>
              <w:spacing w:after="0"/>
              <w:jc w:val="right"/>
            </w:pPr>
            <w:r>
              <w:rPr>
                <w:b w:val="false"/>
                <w:bCs w:val="false"/>
                <w:sz w:val="18"/>
                <w:szCs w:val="18"/>
              </w:rPr>
              <w:t xml:space="preserve">15.0%</w:t>
            </w:r>
          </w:p>
        </w:tc>
      </w:tr>
      <w:tr>
        <w:tc>
          <w:tcPr>
            <w:tcW w:type="dxa" w:w="3143"/>
            <w:tcMar>
              <w:top w:type="dxa" w:w="60"/>
              <w:left w:type="dxa" w:w="90"/>
              <w:bottom w:type="dxa" w:w="60"/>
              <w:right w:type="dxa" w:w="90"/>
            </w:tcMar>
          </w:tcPr>
          <w:p>
            <w:pPr>
              <w:spacing w:after="0"/>
              <w:jc w:val="left"/>
            </w:pPr>
            <w:r>
              <w:rPr>
                <w:b w:val="false"/>
                <w:bCs w:val="false"/>
                <w:sz w:val="18"/>
                <w:szCs w:val="18"/>
              </w:rPr>
              <w:t xml:space="preserve">GMVP (long-only)</w:t>
            </w:r>
          </w:p>
        </w:tc>
        <w:tc>
          <w:tcPr>
            <w:tcW w:type="dxa" w:w="1257"/>
            <w:tcMar>
              <w:top w:type="dxa" w:w="60"/>
              <w:left w:type="dxa" w:w="90"/>
              <w:bottom w:type="dxa" w:w="60"/>
              <w:right w:type="dxa" w:w="90"/>
            </w:tcMar>
          </w:tcPr>
          <w:p>
            <w:pPr>
              <w:spacing w:after="0"/>
              <w:jc w:val="right"/>
            </w:pPr>
            <w:r>
              <w:rPr>
                <w:b w:val="false"/>
                <w:bCs w:val="false"/>
                <w:sz w:val="18"/>
                <w:szCs w:val="18"/>
              </w:rPr>
              <w:t xml:space="preserve">24.7%</w:t>
            </w:r>
          </w:p>
        </w:tc>
        <w:tc>
          <w:tcPr>
            <w:tcW w:type="dxa" w:w="1257"/>
            <w:tcMar>
              <w:top w:type="dxa" w:w="60"/>
              <w:left w:type="dxa" w:w="90"/>
              <w:bottom w:type="dxa" w:w="60"/>
              <w:right w:type="dxa" w:w="90"/>
            </w:tcMar>
          </w:tcPr>
          <w:p>
            <w:pPr>
              <w:spacing w:after="0"/>
              <w:jc w:val="right"/>
            </w:pPr>
            <w:r>
              <w:rPr>
                <w:b w:val="false"/>
                <w:bCs w:val="false"/>
                <w:sz w:val="18"/>
                <w:szCs w:val="18"/>
              </w:rPr>
              <w:t xml:space="preserve">85.3%</w:t>
            </w:r>
          </w:p>
        </w:tc>
        <w:tc>
          <w:tcPr>
            <w:tcW w:type="dxa" w:w="1048"/>
            <w:tcMar>
              <w:top w:type="dxa" w:w="60"/>
              <w:left w:type="dxa" w:w="90"/>
              <w:bottom w:type="dxa" w:w="60"/>
              <w:right w:type="dxa" w:w="90"/>
            </w:tcMar>
          </w:tcPr>
          <w:p>
            <w:pPr>
              <w:spacing w:after="0"/>
              <w:jc w:val="right"/>
            </w:pPr>
            <w:r>
              <w:rPr>
                <w:b w:val="false"/>
                <w:bCs w:val="false"/>
                <w:sz w:val="18"/>
                <w:szCs w:val="18"/>
              </w:rPr>
              <w:t xml:space="preserve">3.24</w:t>
            </w:r>
          </w:p>
        </w:tc>
        <w:tc>
          <w:tcPr>
            <w:tcW w:type="dxa" w:w="1571"/>
            <w:tcMar>
              <w:top w:type="dxa" w:w="60"/>
              <w:left w:type="dxa" w:w="90"/>
              <w:bottom w:type="dxa" w:w="60"/>
              <w:right w:type="dxa" w:w="90"/>
            </w:tcMar>
          </w:tcPr>
          <w:p>
            <w:pPr>
              <w:spacing w:after="0"/>
              <w:jc w:val="right"/>
            </w:pPr>
            <w:r>
              <w:rPr>
                <w:b w:val="false"/>
                <w:bCs w:val="false"/>
                <w:sz w:val="18"/>
                <w:szCs w:val="18"/>
              </w:rPr>
              <w:t xml:space="preserve">4.9</w:t>
            </w:r>
          </w:p>
        </w:tc>
        <w:tc>
          <w:tcPr>
            <w:tcW w:type="dxa" w:w="1362"/>
            <w:tcMar>
              <w:top w:type="dxa" w:w="60"/>
              <w:left w:type="dxa" w:w="90"/>
              <w:bottom w:type="dxa" w:w="60"/>
              <w:right w:type="dxa" w:w="90"/>
            </w:tcMar>
          </w:tcPr>
          <w:p>
            <w:pPr>
              <w:spacing w:after="0"/>
              <w:jc w:val="right"/>
            </w:pPr>
            <w:r>
              <w:rPr>
                <w:b w:val="false"/>
                <w:bCs w:val="false"/>
                <w:sz w:val="18"/>
                <w:szCs w:val="18"/>
              </w:rPr>
              <w:t xml:space="preserve">35.1%</w:t>
            </w:r>
          </w:p>
        </w:tc>
      </w:tr>
      <w:tr>
        <w:tc>
          <w:tcPr>
            <w:tcW w:type="dxa" w:w="3143"/>
            <w:shd w:fill="F2F2F2" w:color="auto" w:val="clear"/>
            <w:tcMar>
              <w:top w:type="dxa" w:w="60"/>
              <w:left w:type="dxa" w:w="90"/>
              <w:bottom w:type="dxa" w:w="60"/>
              <w:right w:type="dxa" w:w="90"/>
            </w:tcMar>
          </w:tcPr>
          <w:p>
            <w:pPr>
              <w:spacing w:after="0"/>
              <w:jc w:val="left"/>
            </w:pPr>
            <w:r>
              <w:rPr>
                <w:b w:val="false"/>
                <w:bCs w:val="false"/>
                <w:sz w:val="18"/>
                <w:szCs w:val="18"/>
              </w:rPr>
              <w:t xml:space="preserve">Tangency (max Sharpe)</w:t>
            </w:r>
          </w:p>
        </w:tc>
        <w:tc>
          <w:tcPr>
            <w:tcW w:type="dxa" w:w="1257"/>
            <w:shd w:fill="F2F2F2" w:color="auto" w:val="clear"/>
            <w:tcMar>
              <w:top w:type="dxa" w:w="60"/>
              <w:left w:type="dxa" w:w="90"/>
              <w:bottom w:type="dxa" w:w="60"/>
              <w:right w:type="dxa" w:w="90"/>
            </w:tcMar>
          </w:tcPr>
          <w:p>
            <w:pPr>
              <w:spacing w:after="0"/>
              <w:jc w:val="right"/>
            </w:pPr>
            <w:r>
              <w:rPr>
                <w:b w:val="false"/>
                <w:bCs w:val="false"/>
                <w:sz w:val="18"/>
                <w:szCs w:val="18"/>
              </w:rPr>
              <w:t xml:space="preserve">28.3%</w:t>
            </w:r>
          </w:p>
        </w:tc>
        <w:tc>
          <w:tcPr>
            <w:tcW w:type="dxa" w:w="1257"/>
            <w:shd w:fill="F2F2F2" w:color="auto" w:val="clear"/>
            <w:tcMar>
              <w:top w:type="dxa" w:w="60"/>
              <w:left w:type="dxa" w:w="90"/>
              <w:bottom w:type="dxa" w:w="60"/>
              <w:right w:type="dxa" w:w="90"/>
            </w:tcMar>
          </w:tcPr>
          <w:p>
            <w:pPr>
              <w:spacing w:after="0"/>
              <w:jc w:val="right"/>
            </w:pPr>
            <w:r>
              <w:rPr>
                <w:b w:val="false"/>
                <w:bCs w:val="false"/>
                <w:sz w:val="18"/>
                <w:szCs w:val="18"/>
              </w:rPr>
              <w:t xml:space="preserve">109.1%</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3.68</w:t>
            </w:r>
          </w:p>
        </w:tc>
        <w:tc>
          <w:tcPr>
            <w:tcW w:type="dxa" w:w="1571"/>
            <w:shd w:fill="F2F2F2" w:color="auto" w:val="clear"/>
            <w:tcMar>
              <w:top w:type="dxa" w:w="60"/>
              <w:left w:type="dxa" w:w="90"/>
              <w:bottom w:type="dxa" w:w="60"/>
              <w:right w:type="dxa" w:w="90"/>
            </w:tcMar>
          </w:tcPr>
          <w:p>
            <w:pPr>
              <w:spacing w:after="0"/>
              <w:jc w:val="right"/>
            </w:pPr>
            <w:r>
              <w:rPr>
                <w:b w:val="false"/>
                <w:bCs w:val="false"/>
                <w:sz w:val="18"/>
                <w:szCs w:val="18"/>
              </w:rPr>
              <w:t xml:space="preserve">4.9</w:t>
            </w:r>
          </w:p>
        </w:tc>
        <w:tc>
          <w:tcPr>
            <w:tcW w:type="dxa" w:w="1362"/>
            <w:shd w:fill="F2F2F2" w:color="auto" w:val="clear"/>
            <w:tcMar>
              <w:top w:type="dxa" w:w="60"/>
              <w:left w:type="dxa" w:w="90"/>
              <w:bottom w:type="dxa" w:w="60"/>
              <w:right w:type="dxa" w:w="90"/>
            </w:tcMar>
          </w:tcPr>
          <w:p>
            <w:pPr>
              <w:spacing w:after="0"/>
              <w:jc w:val="right"/>
            </w:pPr>
            <w:r>
              <w:rPr>
                <w:b w:val="false"/>
                <w:bCs w:val="false"/>
                <w:sz w:val="18"/>
                <w:szCs w:val="18"/>
              </w:rPr>
              <w:t xml:space="preserve">37.0%</w:t>
            </w:r>
          </w:p>
        </w:tc>
      </w:tr>
    </w:tbl>
    <w:p>
      <w:pPr>
        <w:spacing w:after="120"/>
      </w:pPr>
    </w:p>
    <w:p>
      <w:pPr>
        <w:spacing w:after="120" w:line="276"/>
      </w:pPr>
      <w:r>
        <w:rPr>
          <w:b/>
          <w:bCs/>
        </w:rPr>
        <w:t xml:space="preserve">Why not the tangency portfolio?</w:t>
      </w:r>
      <w:r>
        <w:t xml:space="preserve"> It is built from past returns (hindsight) and puts ~37% in one stock, breaking the 15% cap. Our ERC portfolio is almost identical to the GMVP within the same limits (Sharpe 3.44 vs 3.43), i.e. near the lowest-risk mix allowed, without using any return forecast. These returns are ex-post and inflated by selection; do not present them as expected returns.</w:t>
      </w:r>
    </w:p>
    <w:p>
      <w:pPr>
        <w:pStyle w:val="Heading2"/>
      </w:pPr>
      <w:r>
        <w:t xml:space="preserve">8.4 Replacement rule: cash never idle</w:t>
      </w:r>
    </w:p>
    <w:p>
      <w:pPr>
        <w:pStyle w:val="ListParagraph"/>
        <w:numPr>
          <w:ilvl w:val="0"/>
          <w:numId w:val="2"/>
        </w:numPr>
        <w:spacing w:after="60" w:line="264"/>
      </w:pPr>
      <w:r>
        <w:t xml:space="preserve">When a holding closes at or below its stop, it is sold; the proceeds buy the first reserve stock that still passes every selection rule that day.</w:t>
      </w:r>
    </w:p>
    <w:p>
      <w:pPr>
        <w:pStyle w:val="ListParagraph"/>
        <w:numPr>
          <w:ilvl w:val="0"/>
          <w:numId w:val="2"/>
        </w:numPr>
        <w:spacing w:after="60" w:line="264"/>
      </w:pPr>
      <w:r>
        <w:t xml:space="preserve">If none qualifies, the proceeds top up the remaining holdings that are STILL IN AN UPTREND (DI gap ≥ 2), in proportion to their weights (the brief: 'cash cannot sit idle'). Holdings that are themselves falling get nothing, and no holding is taken above the 15% cap: its surplus goes to the other rising holdings, and whatever none can take waits in the liquid ETF.</w:t>
      </w:r>
    </w:p>
    <w:p>
      <w:pPr>
        <w:pStyle w:val="ListParagraph"/>
        <w:numPr>
          <w:ilvl w:val="0"/>
          <w:numId w:val="2"/>
        </w:numPr>
        <w:spacing w:after="60" w:line="264"/>
      </w:pPr>
      <w:r>
        <w:t xml:space="preserve">If no holding is in an uptrend either (a theme-wide sell-off), the proceeds wait in the liquid ETF at the overnight rate and are redeployed by the same two steps on the first day a stock qualifies. This way stop-loss money is never averaged into falling stocks, and in normal markets it is never idle.</w:t>
      </w:r>
    </w:p>
    <w:p>
      <w:pPr>
        <w:pStyle w:val="ListParagraph"/>
        <w:numPr>
          <w:ilvl w:val="0"/>
          <w:numId w:val="2"/>
        </w:numPr>
        <w:spacing w:after="60" w:line="264"/>
      </w:pPr>
      <w:r>
        <w:t xml:space="preserve">A stock that has been sold never comes back. Several stops on one day take the queue in turn.</w:t>
      </w:r>
    </w:p>
    <w:p>
      <w:pPr>
        <w:pStyle w:val="ListParagraph"/>
        <w:numPr>
          <w:ilvl w:val="0"/>
          <w:numId w:val="2"/>
        </w:numPr>
        <w:spacing w:after="60" w:line="264"/>
      </w:pPr>
      <w:r>
        <w:t xml:space="preserve">The dashboard shows the exact SELL/BUY trades with a 'Record these trades' button; a phone alert fires the same evening.</w:t>
      </w:r>
    </w:p>
    <w:p>
      <w:pPr>
        <w:pStyle w:val="Heading1"/>
        <w:pageBreakBefore/>
      </w:pPr>
      <w:r>
        <w:t xml:space="preserve">9. Risk, stop-losses and hedging</w:t>
      </w:r>
    </w:p>
    <w:p>
      <w:pPr>
        <w:pStyle w:val="Heading2"/>
      </w:pPr>
      <w:r>
        <w:t xml:space="preserve">9.1 Stop-loss method</w:t>
      </w:r>
    </w:p>
    <w:p>
      <w:pPr>
        <w:spacing w:after="120" w:line="276"/>
      </w:pPr>
      <w:r>
        <w:t xml:space="preserve">Stop = price − 3 × ATR(14) (average true range: the stock's typical daily move, Wilder). If a support level lies within 1 ATR below that, the stop moves to just under the support (0.25 ATR buffer), so it is not placed where the price usually bounces. From the snapshot on, stops </w:t>
      </w:r>
      <w:r>
        <w:rPr>
          <w:b/>
          <w:bCs/>
        </w:rPr>
        <w:t xml:space="preserve">only ever rise</w:t>
      </w:r>
      <w:r>
        <w:t xml:space="preserve"> (trailed at every refresh). Current stops are 13.4-17.2% below price. Why 3 ATR: wide enough that normal daily noise does not trigger it, tight enough to cap a stock's loss at roughly one volatility-month.</w:t>
      </w:r>
    </w:p>
    <w:p>
      <w:pPr>
        <w:spacing w:after="120" w:line="276"/>
      </w:pPr>
      <w:r>
        <w:rPr>
          <w:b/>
          <w:bCs/>
        </w:rPr>
        <w:t xml:space="preserve">Gap risk:</w:t>
      </w:r>
      <w:r>
        <w:t xml:space="preserve"> a stop is triggered on a close, and results can gap a stock straight through it. The results calendar warns 7 days ahead; the equal-risk weights keep any single gap's damage limited.</w:t>
      </w:r>
    </w:p>
    <w:p>
      <w:pPr>
        <w:pStyle w:val="Heading2"/>
      </w:pPr>
      <w:r>
        <w:t xml:space="preserve">9.2 Beta and explained vs unexplained risk</w:t>
      </w:r>
    </w:p>
    <w:p>
      <w:pPr>
        <w:spacing w:after="120" w:line="276"/>
      </w:pPr>
      <w:r>
        <w:t xml:space="preserve">Single-index regression of daily returns on the Nifty 500 (245 sessions). Portfolio: beta 1.27, R² 0.445, i.e. 44.5% of portfolio variance is explained by the market (systematic) and 55.5% is stock-specific. Individual stocks have low R² (e.g. WELCORP 17%, ACMESOLAR 2%): most of each stock's risk is its own, which diversification across 8 names reduces. Annualised alpha is large (≈98%) but is ex-post and reflects how the stocks were chosen.</w:t>
      </w:r>
    </w:p>
    <w:p>
      <w:pPr>
        <w:spacing w:after="120" w:line="276"/>
      </w:pPr>
      <w:r>
        <w:rPr>
          <w:b/>
          <w:bCs/>
        </w:rPr>
        <w:t xml:space="preserve">Multifactor:</w:t>
      </w:r>
      <w:r>
        <w:t xml:space="preserve"> adding Brent crude and the 10-year G-sec return raises R² by only ~0.5 pp on average; market beta is the right basis for the hedge.</w:t>
      </w:r>
    </w:p>
    <w:p>
      <w:pPr>
        <w:pStyle w:val="Heading2"/>
      </w:pPr>
      <w:r>
        <w:t xml:space="preserve">9.3 Expected return (CAPM)</w:t>
      </w:r>
    </w:p>
    <w:p>
      <w:pPr>
        <w:spacing w:after="120" w:line="276"/>
      </w:pPr>
      <w:r>
        <w:t xml:space="preserve">E[r] = r_f + β × MRP, with r_f = 4.95% (Nifty 1D Rate index, last quarter) and MRP = 7.08% (Damodaran, India total equity risk premium, Jan-2026). This is the RETURN REQUIRED for each stock's risk (13.8% a year for WELCORP, ~3.3% over 3 months), not our forecast. Our return case comes from momentum; CAPM is the hurdle the professor's framework asks for.</w:t>
      </w:r>
    </w:p>
    <w:p>
      <w:pPr>
        <w:pStyle w:val="Heading2"/>
      </w:pPr>
      <w:r>
        <w:t xml:space="preserve">9.4 The hedge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864" w:color="auto" w:val="clear"/>
            <w:tcMar>
              <w:top w:type="dxa" w:w="60"/>
              <w:left w:type="dxa" w:w="90"/>
              <w:bottom w:type="dxa" w:w="60"/>
              <w:right w:type="dxa" w:w="90"/>
            </w:tcMar>
          </w:tcPr>
          <w:p>
            <w:pPr>
              <w:spacing w:after="0"/>
              <w:jc w:val="left"/>
            </w:pPr>
            <w:r>
              <w:rPr>
                <w:b/>
                <w:bCs/>
                <w:color w:val="FFFFFF"/>
                <w:sz w:val="18"/>
                <w:szCs w:val="18"/>
              </w:rPr>
              <w:t xml:space="preserve">Item</w:t>
            </w:r>
          </w:p>
        </w:tc>
        <w:tc>
          <w:tcPr>
            <w:tcW w:type="dxa" w:w="6747"/>
            <w:shd w:fill="1F3864" w:color="auto" w:val="clear"/>
            <w:tcMar>
              <w:top w:type="dxa" w:w="60"/>
              <w:left w:type="dxa" w:w="90"/>
              <w:bottom w:type="dxa" w:w="60"/>
              <w:right w:type="dxa" w:w="90"/>
            </w:tcMar>
          </w:tcPr>
          <w:p>
            <w:pPr>
              <w:spacing w:after="0"/>
              <w:jc w:val="left"/>
            </w:pPr>
            <w:r>
              <w:rPr>
                <w:b/>
                <w:bCs/>
                <w:color w:val="FFFFFF"/>
                <w:sz w:val="18"/>
                <w:szCs w:val="18"/>
              </w:rPr>
              <w:t xml:space="preserve">Value</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Instrument</w:t>
            </w:r>
          </w:p>
        </w:tc>
        <w:tc>
          <w:tcPr>
            <w:tcW w:type="dxa" w:w="6747"/>
            <w:tcMar>
              <w:top w:type="dxa" w:w="60"/>
              <w:left w:type="dxa" w:w="90"/>
              <w:bottom w:type="dxa" w:w="60"/>
              <w:right w:type="dxa" w:w="90"/>
            </w:tcMar>
          </w:tcPr>
          <w:p>
            <w:pPr>
              <w:spacing w:after="0"/>
              <w:jc w:val="left"/>
            </w:pPr>
            <w:r>
              <w:rPr>
                <w:b w:val="false"/>
                <w:bCs w:val="false"/>
                <w:sz w:val="18"/>
                <w:szCs w:val="18"/>
              </w:rPr>
              <w:t xml:space="preserve">NIFTY 29-Dec-2026 22,000 put (~4.9% below spot 23,140)</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Size</w:t>
            </w:r>
          </w:p>
        </w:tc>
        <w:tc>
          <w:tcPr>
            <w:tcW w:type="dxa" w:w="6747"/>
            <w:shd w:fill="F2F2F2" w:color="auto" w:val="clear"/>
            <w:tcMar>
              <w:top w:type="dxa" w:w="60"/>
              <w:left w:type="dxa" w:w="90"/>
              <w:bottom w:type="dxa" w:w="60"/>
              <w:right w:type="dxa" w:w="90"/>
            </w:tcMar>
          </w:tcPr>
          <w:p>
            <w:pPr>
              <w:spacing w:after="0"/>
              <w:jc w:val="left"/>
            </w:pPr>
            <w:r>
              <w:rPr>
                <w:b w:val="false"/>
                <w:bCs w:val="false"/>
                <w:sz w:val="18"/>
                <w:szCs w:val="18"/>
              </w:rPr>
              <w:t xml:space="preserve">8 lots × 65 = 520 units; premium ₹146.5; cost ≈ ₹76,000 (0.8% of the portfolio)</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Sizing basis</w:t>
            </w:r>
          </w:p>
        </w:tc>
        <w:tc>
          <w:tcPr>
            <w:tcW w:type="dxa" w:w="6747"/>
            <w:tcMar>
              <w:top w:type="dxa" w:w="60"/>
              <w:left w:type="dxa" w:w="90"/>
              <w:bottom w:type="dxa" w:w="60"/>
              <w:right w:type="dxa" w:w="90"/>
            </w:tcMar>
          </w:tcPr>
          <w:p>
            <w:pPr>
              <w:spacing w:after="0"/>
              <w:jc w:val="left"/>
            </w:pPr>
            <w:r>
              <w:rPr>
                <w:b w:val="false"/>
                <w:bCs w:val="false"/>
                <w:sz w:val="18"/>
                <w:szCs w:val="18"/>
              </w:rPr>
              <w:t xml:space="preserve">Downside (tail) beta vs Nifty 50 of 1.21 × stock value</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Minimum-variance hedge ratio h*</w:t>
            </w:r>
          </w:p>
        </w:tc>
        <w:tc>
          <w:tcPr>
            <w:tcW w:type="dxa" w:w="6747"/>
            <w:shd w:fill="F2F2F2" w:color="auto" w:val="clear"/>
            <w:tcMar>
              <w:top w:type="dxa" w:w="60"/>
              <w:left w:type="dxa" w:w="90"/>
              <w:bottom w:type="dxa" w:w="60"/>
              <w:right w:type="dxa" w:w="90"/>
            </w:tcMar>
          </w:tcPr>
          <w:p>
            <w:pPr>
              <w:spacing w:after="0"/>
              <w:jc w:val="left"/>
            </w:pPr>
            <w:r>
              <w:rPr>
                <w:b w:val="false"/>
                <w:bCs w:val="false"/>
                <w:sz w:val="18"/>
                <w:szCs w:val="18"/>
              </w:rPr>
              <w:t xml:space="preserve">1.12 (cov/var vs Nifty 50); hedge effectiveness R² = 0.31</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Budget</w:t>
            </w:r>
          </w:p>
        </w:tc>
        <w:tc>
          <w:tcPr>
            <w:tcW w:type="dxa" w:w="6747"/>
            <w:tcMar>
              <w:top w:type="dxa" w:w="60"/>
              <w:left w:type="dxa" w:w="90"/>
              <w:bottom w:type="dxa" w:w="60"/>
              <w:right w:type="dxa" w:w="90"/>
            </w:tcMar>
          </w:tcPr>
          <w:p>
            <w:pPr>
              <w:spacing w:after="0"/>
              <w:jc w:val="left"/>
            </w:pPr>
            <w:r>
              <w:rPr>
                <w:b w:val="false"/>
                <w:bCs w:val="false"/>
                <w:sz w:val="18"/>
                <w:szCs w:val="18"/>
              </w:rPr>
              <w:t xml:space="preserve">₹3.13 L (3%); cash after puts ≈ ₹2.37 L, kept for one roll</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Profit lock</w:t>
            </w:r>
          </w:p>
        </w:tc>
        <w:tc>
          <w:tcPr>
            <w:tcW w:type="dxa" w:w="6747"/>
            <w:shd w:fill="F2F2F2" w:color="auto" w:val="clear"/>
            <w:tcMar>
              <w:top w:type="dxa" w:w="60"/>
              <w:left w:type="dxa" w:w="90"/>
              <w:bottom w:type="dxa" w:w="60"/>
              <w:right w:type="dxa" w:w="90"/>
            </w:tcMar>
          </w:tcPr>
          <w:p>
            <w:pPr>
              <w:spacing w:after="0"/>
              <w:jc w:val="left"/>
            </w:pPr>
            <w:r>
              <w:rPr>
                <w:b w:val="false"/>
                <w:bCs w:val="false"/>
                <w:sz w:val="18"/>
                <w:szCs w:val="18"/>
              </w:rPr>
              <w:t xml:space="preserve">At +10% P&amp;L, roll the puts up to ~5% below the then-current Nifty (once). If the gain is stock-specific and the Nifty has not risen enough to lift the strike, the puts are NOT sold and rebought at the same strike: only lots are added if the larger portfolio needs them, and the roll stays available for later (tracker.plan_put_roll).</w:t>
            </w:r>
          </w:p>
        </w:tc>
      </w:tr>
      <w:tr>
        <w:tc>
          <w:tcPr>
            <w:tcW w:type="dxa" w:w="2891"/>
            <w:tcMar>
              <w:top w:type="dxa" w:w="60"/>
              <w:left w:type="dxa" w:w="90"/>
              <w:bottom w:type="dxa" w:w="60"/>
              <w:right w:type="dxa" w:w="90"/>
            </w:tcMar>
          </w:tcPr>
          <w:p>
            <w:pPr>
              <w:spacing w:after="0"/>
              <w:jc w:val="left"/>
            </w:pPr>
            <w:r>
              <w:rPr>
                <w:b w:val="false"/>
                <w:bCs w:val="false"/>
                <w:sz w:val="18"/>
                <w:szCs w:val="18"/>
              </w:rPr>
              <w:t xml:space="preserve">Greeks today (Black-Scholes, implied vol 13.6%, 95 days, r 5.5%)</w:t>
            </w:r>
          </w:p>
        </w:tc>
        <w:tc>
          <w:tcPr>
            <w:tcW w:type="dxa" w:w="6747"/>
            <w:tcMar>
              <w:top w:type="dxa" w:w="60"/>
              <w:left w:type="dxa" w:w="90"/>
              <w:bottom w:type="dxa" w:w="60"/>
              <w:right w:type="dxa" w:w="90"/>
            </w:tcMar>
          </w:tcPr>
          <w:p>
            <w:pPr>
              <w:spacing w:after="0"/>
              <w:jc w:val="left"/>
            </w:pPr>
            <w:r>
              <w:rPr>
                <w:b w:val="false"/>
                <w:bCs w:val="false"/>
                <w:sz w:val="18"/>
                <w:szCs w:val="18"/>
              </w:rPr>
              <w:t xml:space="preserve">Delta −0.17 per put; position delta ≈ −₹20 L of Nifty against ~₹108 L of Nifty-equivalent stock exposure (₹97 L × h* 1.12), i.e. ~18% hedged for a small move. Theta ≈ −₹780 a day; vega ≈ ₹15,000 per volatility point.</w:t>
            </w:r>
          </w:p>
        </w:tc>
      </w:tr>
      <w:tr>
        <w:tc>
          <w:tcPr>
            <w:tcW w:type="dxa" w:w="2891"/>
            <w:shd w:fill="F2F2F2" w:color="auto" w:val="clear"/>
            <w:tcMar>
              <w:top w:type="dxa" w:w="60"/>
              <w:left w:type="dxa" w:w="90"/>
              <w:bottom w:type="dxa" w:w="60"/>
              <w:right w:type="dxa" w:w="90"/>
            </w:tcMar>
          </w:tcPr>
          <w:p>
            <w:pPr>
              <w:spacing w:after="0"/>
              <w:jc w:val="left"/>
            </w:pPr>
            <w:r>
              <w:rPr>
                <w:b w:val="false"/>
                <w:bCs w:val="false"/>
                <w:sz w:val="18"/>
                <w:szCs w:val="18"/>
              </w:rPr>
              <w:t xml:space="preserve">Delta as the market falls</w:t>
            </w:r>
          </w:p>
        </w:tc>
        <w:tc>
          <w:tcPr>
            <w:tcW w:type="dxa" w:w="6747"/>
            <w:shd w:fill="F2F2F2" w:color="auto" w:val="clear"/>
            <w:tcMar>
              <w:top w:type="dxa" w:w="60"/>
              <w:left w:type="dxa" w:w="90"/>
              <w:bottom w:type="dxa" w:w="60"/>
              <w:right w:type="dxa" w:w="90"/>
            </w:tcMar>
          </w:tcPr>
          <w:p>
            <w:pPr>
              <w:spacing w:after="0"/>
              <w:jc w:val="left"/>
            </w:pPr>
            <w:r>
              <w:rPr>
                <w:b w:val="false"/>
                <w:bCs w:val="false"/>
                <w:sz w:val="18"/>
                <w:szCs w:val="18"/>
              </w:rPr>
              <w:t xml:space="preserve">Nifty −5%: delta −0.41; −10%: −0.71; −15%: −0.92. The hedge thickens exactly when it is needed (long gamma).</w:t>
            </w:r>
          </w:p>
        </w:tc>
      </w:tr>
    </w:tbl>
    <w:p>
      <w:pPr>
        <w:spacing w:after="120"/>
      </w:pPr>
    </w:p>
    <w:p>
      <w:pPr>
        <w:spacing w:after="120" w:line="276"/>
      </w:pPr>
      <w:r>
        <w:rPr>
          <w:b/>
          <w:bCs/>
        </w:rPr>
        <w:t xml:space="preserve">What the hedge is and is not.</w:t>
      </w:r>
      <w:r>
        <w:t xml:space="preserve"> The lots are sized on NOTIONAL × downside beta, so that at expiry a crash is covered one-for-one below the strike (output/hedge_scenarios.csv: Nifty −25% → portfolio ≈ −6% hedged vs −29% unhedged). It is deliberately NOT a delta hedge: a delta-neutral hedge would need ~43 lots today, cost ~₹4.1 L (over 5x the premium) and give away the upside we are paid to earn. For small dips (Nifty −2 to −5%) we are mostly unhedged by design; the first ~5% is our deductible.</w:t>
      </w:r>
    </w:p>
    <w:p>
      <w:pPr>
        <w:spacing w:after="120" w:line="276"/>
      </w:pPr>
      <w:r>
        <w:rPr>
          <w:b/>
          <w:bCs/>
        </w:rPr>
        <w:t xml:space="preserve">Why puts, not futures?</w:t>
      </w:r>
      <w:r>
        <w:t xml:space="preserve"> Shorting ~7 lots of Nifty futures would neutralise market risk but also our upside, and would need ~₹12.8 L of margin. We are paid to beat the Nifty in a rising market; puts insure the tail (a crash) and keep the upside. </w:t>
      </w:r>
      <w:r>
        <w:rPr>
          <w:b/>
          <w:bCs/>
        </w:rPr>
        <w:t xml:space="preserve">Why day 0?</w:t>
      </w:r>
      <w:r>
        <w:t xml:space="preserve"> A tail event can come at any time; the cost of insuring from the start (~0.8%) is small relative to a crash, and the profit-lock roll locks in gains later, answering the brief's 'hedge from day 0 or after the portfolio has grown?' question with 'both'.</w:t>
      </w:r>
    </w:p>
    <w:p>
      <w:pPr>
        <w:spacing w:after="120" w:line="276"/>
      </w:pPr>
      <w:r>
        <w:rPr>
          <w:b/>
          <w:bCs/>
        </w:rPr>
        <w:t xml:space="preserve">Limitation:</w:t>
      </w:r>
      <w:r>
        <w:t xml:space="preserve"> R² of 0.31 means the index hedge covers only the market part of our risk; stock-specific risk is handled by diversification and stop-losses.</w:t>
      </w:r>
    </w:p>
    <w:p>
      <w:pPr>
        <w:pStyle w:val="Heading1"/>
        <w:pageBreakBefore/>
      </w:pPr>
      <w:r>
        <w:t xml:space="preserve">10. Our honest weaknesses (and how to answer)</w:t>
      </w:r>
    </w:p>
    <w:p>
      <w:pPr>
        <w:spacing w:after="120" w:line="276"/>
      </w:pPr>
      <w:r>
        <w:t xml:space="preserve">Concede these calmly; the answer is always the process that handles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shd w:fill="1F3864" w:color="auto" w:val="clear"/>
            <w:tcMar>
              <w:top w:type="dxa" w:w="60"/>
              <w:left w:type="dxa" w:w="90"/>
              <w:bottom w:type="dxa" w:w="60"/>
              <w:right w:type="dxa" w:w="90"/>
            </w:tcMar>
          </w:tcPr>
          <w:p>
            <w:pPr>
              <w:spacing w:after="0"/>
              <w:jc w:val="left"/>
            </w:pPr>
            <w:r>
              <w:rPr>
                <w:b/>
                <w:bCs/>
                <w:color w:val="FFFFFF"/>
                <w:sz w:val="18"/>
                <w:szCs w:val="18"/>
              </w:rPr>
              <w:t xml:space="preserve">Weakness</w:t>
            </w:r>
          </w:p>
        </w:tc>
        <w:tc>
          <w:tcPr>
            <w:tcW w:type="dxa" w:w="5783"/>
            <w:shd w:fill="1F3864" w:color="auto" w:val="clear"/>
            <w:tcMar>
              <w:top w:type="dxa" w:w="60"/>
              <w:left w:type="dxa" w:w="90"/>
              <w:bottom w:type="dxa" w:w="60"/>
              <w:right w:type="dxa" w:w="90"/>
            </w:tcMar>
          </w:tcPr>
          <w:p>
            <w:pPr>
              <w:spacing w:after="0"/>
              <w:jc w:val="left"/>
            </w:pPr>
            <w:r>
              <w:rPr>
                <w:b/>
                <w:bCs/>
                <w:color w:val="FFFFFF"/>
                <w:sz w:val="18"/>
                <w:szCs w:val="18"/>
              </w:rPr>
              <w:t xml:space="preserve">Honest answer</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Past returns look huge (portfolio +150% last year vs Nifty +0.3%)</w:t>
            </w:r>
          </w:p>
        </w:tc>
        <w:tc>
          <w:tcPr>
            <w:tcW w:type="dxa" w:w="5783"/>
            <w:tcMar>
              <w:top w:type="dxa" w:w="60"/>
              <w:left w:type="dxa" w:w="90"/>
              <w:bottom w:type="dxa" w:w="60"/>
              <w:right w:type="dxa" w:w="90"/>
            </w:tcMar>
          </w:tcPr>
          <w:p>
            <w:pPr>
              <w:spacing w:after="0"/>
              <w:jc w:val="left"/>
            </w:pPr>
            <w:r>
              <w:rPr>
                <w:b w:val="false"/>
                <w:bCs w:val="false"/>
                <w:sz w:val="18"/>
                <w:szCs w:val="18"/>
              </w:rPr>
              <w:t xml:space="preserve">Pure hindsight: we picked stocks that already went up. We never present these as expected returns. The live P&amp;L from 28-Sep is the real test.</w:t>
            </w:r>
          </w:p>
        </w:tc>
      </w:tr>
      <w:tr>
        <w:tc>
          <w:tcPr>
            <w:tcW w:type="dxa" w:w="3855"/>
            <w:shd w:fill="F2F2F2" w:color="auto" w:val="clear"/>
            <w:tcMar>
              <w:top w:type="dxa" w:w="60"/>
              <w:left w:type="dxa" w:w="90"/>
              <w:bottom w:type="dxa" w:w="60"/>
              <w:right w:type="dxa" w:w="90"/>
            </w:tcMar>
          </w:tcPr>
          <w:p>
            <w:pPr>
              <w:spacing w:after="0"/>
              <w:jc w:val="left"/>
            </w:pPr>
            <w:r>
              <w:rPr>
                <w:b w:val="false"/>
                <w:bCs w:val="false"/>
                <w:sz w:val="18"/>
                <w:szCs w:val="18"/>
              </w:rPr>
              <w:t xml:space="preserve">Momentum's edge is not statistically proven here</w:t>
            </w:r>
          </w:p>
        </w:tc>
        <w:tc>
          <w:tcPr>
            <w:tcW w:type="dxa" w:w="5783"/>
            <w:shd w:fill="F2F2F2" w:color="auto" w:val="clear"/>
            <w:tcMar>
              <w:top w:type="dxa" w:w="60"/>
              <w:left w:type="dxa" w:w="90"/>
              <w:bottom w:type="dxa" w:w="60"/>
              <w:right w:type="dxa" w:w="90"/>
            </w:tcMar>
          </w:tcPr>
          <w:p>
            <w:pPr>
              <w:spacing w:after="0"/>
              <w:jc w:val="left"/>
            </w:pPr>
            <w:r>
              <w:rPr>
                <w:b w:val="false"/>
                <w:bCs w:val="false"/>
                <w:sz w:val="18"/>
                <w:szCs w:val="18"/>
              </w:rPr>
              <w:t xml:space="preserve">Correct. It is the literature's method; our tests found nothing better. We say 'inconclusive, but nothing beats it'.</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We changed rules over the weekend while seeing the lists (data snooping risk)</w:t>
            </w:r>
          </w:p>
        </w:tc>
        <w:tc>
          <w:tcPr>
            <w:tcW w:type="dxa" w:w="5783"/>
            <w:tcMar>
              <w:top w:type="dxa" w:w="60"/>
              <w:left w:type="dxa" w:w="90"/>
              <w:bottom w:type="dxa" w:w="60"/>
              <w:right w:type="dxa" w:w="90"/>
            </w:tcMar>
          </w:tcPr>
          <w:p>
            <w:pPr>
              <w:spacing w:after="0"/>
              <w:jc w:val="left"/>
            </w:pPr>
            <w:r>
              <w:rPr>
                <w:b w:val="false"/>
                <w:bCs w:val="false"/>
                <w:sz w:val="18"/>
                <w:szCs w:val="18"/>
              </w:rPr>
              <w:t xml:space="preserve">True. Each change had a reason independent of the stock it affected (liquidity, the loss bug, a pre-registered backtest), and we froze the list afterwards.</w:t>
            </w:r>
          </w:p>
        </w:tc>
      </w:tr>
      <w:tr>
        <w:tc>
          <w:tcPr>
            <w:tcW w:type="dxa" w:w="3855"/>
            <w:shd w:fill="F2F2F2" w:color="auto" w:val="clear"/>
            <w:tcMar>
              <w:top w:type="dxa" w:w="60"/>
              <w:left w:type="dxa" w:w="90"/>
              <w:bottom w:type="dxa" w:w="60"/>
              <w:right w:type="dxa" w:w="90"/>
            </w:tcMar>
          </w:tcPr>
          <w:p>
            <w:pPr>
              <w:spacing w:after="0"/>
              <w:jc w:val="left"/>
            </w:pPr>
            <w:r>
              <w:rPr>
                <w:b w:val="false"/>
                <w:bCs w:val="false"/>
                <w:sz w:val="18"/>
                <w:szCs w:val="18"/>
              </w:rPr>
              <w:t xml:space="preserve">The put hedge is small for small moves (delta −0.17)</w:t>
            </w:r>
          </w:p>
        </w:tc>
        <w:tc>
          <w:tcPr>
            <w:tcW w:type="dxa" w:w="5783"/>
            <w:shd w:fill="F2F2F2" w:color="auto" w:val="clear"/>
            <w:tcMar>
              <w:top w:type="dxa" w:w="60"/>
              <w:left w:type="dxa" w:w="90"/>
              <w:bottom w:type="dxa" w:w="60"/>
              <w:right w:type="dxa" w:w="90"/>
            </w:tcMar>
          </w:tcPr>
          <w:p>
            <w:pPr>
              <w:spacing w:after="0"/>
              <w:jc w:val="left"/>
            </w:pPr>
            <w:r>
              <w:rPr>
                <w:b w:val="false"/>
                <w:bCs w:val="false"/>
                <w:sz w:val="18"/>
                <w:szCs w:val="18"/>
              </w:rPr>
              <w:t xml:space="preserve">By design: it is tail insurance sized on notional, not a delta hedge. It covers a crash below 22,000 one-for-one at expiry and its delta rises to −0.7 after a 10% fall. A delta-neutral hedge would need ~43 lots (~₹4.1 L), more than the whole hedge budget.</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Survivorship bias in backtests</w:t>
            </w:r>
          </w:p>
        </w:tc>
        <w:tc>
          <w:tcPr>
            <w:tcW w:type="dxa" w:w="5783"/>
            <w:tcMar>
              <w:top w:type="dxa" w:w="60"/>
              <w:left w:type="dxa" w:w="90"/>
              <w:bottom w:type="dxa" w:w="60"/>
              <w:right w:type="dxa" w:w="90"/>
            </w:tcMar>
          </w:tcPr>
          <w:p>
            <w:pPr>
              <w:spacing w:after="0"/>
              <w:jc w:val="left"/>
            </w:pPr>
            <w:r>
              <w:rPr>
                <w:b w:val="false"/>
                <w:bCs w:val="false"/>
                <w:sz w:val="18"/>
                <w:szCs w:val="18"/>
              </w:rPr>
              <w:t xml:space="preserve">Acknowledged; it inflates absolute returns but affects the comparison between rules much less.</w:t>
            </w:r>
          </w:p>
        </w:tc>
      </w:tr>
      <w:tr>
        <w:tc>
          <w:tcPr>
            <w:tcW w:type="dxa" w:w="3855"/>
            <w:shd w:fill="F2F2F2" w:color="auto" w:val="clear"/>
            <w:tcMar>
              <w:top w:type="dxa" w:w="60"/>
              <w:left w:type="dxa" w:w="90"/>
              <w:bottom w:type="dxa" w:w="60"/>
              <w:right w:type="dxa" w:w="90"/>
            </w:tcMar>
          </w:tcPr>
          <w:p>
            <w:pPr>
              <w:spacing w:after="0"/>
              <w:jc w:val="left"/>
            </w:pPr>
            <w:r>
              <w:rPr>
                <w:b w:val="false"/>
                <w:bCs w:val="false"/>
                <w:sz w:val="18"/>
                <w:szCs w:val="18"/>
              </w:rPr>
              <w:t xml:space="preserve">Concentrated in Capital Goods; no cement</w:t>
            </w:r>
          </w:p>
        </w:tc>
        <w:tc>
          <w:tcPr>
            <w:tcW w:type="dxa" w:w="5783"/>
            <w:shd w:fill="F2F2F2" w:color="auto" w:val="clear"/>
            <w:tcMar>
              <w:top w:type="dxa" w:w="60"/>
              <w:left w:type="dxa" w:w="90"/>
              <w:bottom w:type="dxa" w:w="60"/>
              <w:right w:type="dxa" w:w="90"/>
            </w:tcMar>
          </w:tcPr>
          <w:p>
            <w:pPr>
              <w:spacing w:after="0"/>
              <w:jc w:val="left"/>
            </w:pPr>
            <w:r>
              <w:rPr>
                <w:b w:val="false"/>
                <w:bCs w:val="false"/>
                <w:sz w:val="18"/>
                <w:szCs w:val="18"/>
              </w:rPr>
              <w:t xml:space="preserve">The rule is sector-neutral; forcing balance means buying weaker stocks. Cement leg available if required (NUVOCO).</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High valuations (RPEL 124, AEROFLEX 104, TDPOWERSYS 86)</w:t>
            </w:r>
          </w:p>
        </w:tc>
        <w:tc>
          <w:tcPr>
            <w:tcW w:type="dxa" w:w="5783"/>
            <w:tcMar>
              <w:top w:type="dxa" w:w="60"/>
              <w:left w:type="dxa" w:w="90"/>
              <w:bottom w:type="dxa" w:w="60"/>
              <w:right w:type="dxa" w:w="90"/>
            </w:tcMar>
          </w:tcPr>
          <w:p>
            <w:pPr>
              <w:spacing w:after="0"/>
              <w:jc w:val="left"/>
            </w:pPr>
            <w:r>
              <w:rPr>
                <w:b w:val="false"/>
                <w:bCs w:val="false"/>
                <w:sz w:val="18"/>
                <w:szCs w:val="18"/>
              </w:rPr>
              <w:t xml:space="preserve">Momentum stocks are rarely cheap; the risk is results-day gaps, handled by stops, equal-risk sizing and the reserve.</w:t>
            </w:r>
          </w:p>
        </w:tc>
      </w:tr>
      <w:tr>
        <w:tc>
          <w:tcPr>
            <w:tcW w:type="dxa" w:w="3855"/>
            <w:shd w:fill="F2F2F2" w:color="auto" w:val="clear"/>
            <w:tcMar>
              <w:top w:type="dxa" w:w="60"/>
              <w:left w:type="dxa" w:w="90"/>
              <w:bottom w:type="dxa" w:w="60"/>
              <w:right w:type="dxa" w:w="90"/>
            </w:tcMar>
          </w:tcPr>
          <w:p>
            <w:pPr>
              <w:spacing w:after="0"/>
              <w:jc w:val="left"/>
            </w:pPr>
            <w:r>
              <w:rPr>
                <w:b w:val="false"/>
                <w:bCs w:val="false"/>
                <w:sz w:val="18"/>
                <w:szCs w:val="18"/>
              </w:rPr>
              <w:t xml:space="preserve">Four invested stocks are 'Low conviction' on the RRG</w:t>
            </w:r>
          </w:p>
        </w:tc>
        <w:tc>
          <w:tcPr>
            <w:tcW w:type="dxa" w:w="5783"/>
            <w:shd w:fill="F2F2F2" w:color="auto" w:val="clear"/>
            <w:tcMar>
              <w:top w:type="dxa" w:w="60"/>
              <w:left w:type="dxa" w:w="90"/>
              <w:bottom w:type="dxa" w:w="60"/>
              <w:right w:type="dxa" w:w="90"/>
            </w:tcMar>
          </w:tcPr>
          <w:p>
            <w:pPr>
              <w:spacing w:after="0"/>
              <w:jc w:val="left"/>
            </w:pPr>
            <w:r>
              <w:rPr>
                <w:b w:val="false"/>
                <w:bCs w:val="false"/>
                <w:sz w:val="18"/>
                <w:szCs w:val="18"/>
              </w:rPr>
              <w:t xml:space="preserve">Our backtest showed excluding such names lowered returns; the RRG is context, not a rule.</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Portfolio beta 1.27: it will fall more than the market</w:t>
            </w:r>
          </w:p>
        </w:tc>
        <w:tc>
          <w:tcPr>
            <w:tcW w:type="dxa" w:w="5783"/>
            <w:tcMar>
              <w:top w:type="dxa" w:w="60"/>
              <w:left w:type="dxa" w:w="90"/>
              <w:bottom w:type="dxa" w:w="60"/>
              <w:right w:type="dxa" w:w="90"/>
            </w:tcMar>
          </w:tcPr>
          <w:p>
            <w:pPr>
              <w:spacing w:after="0"/>
              <w:jc w:val="left"/>
            </w:pPr>
            <w:r>
              <w:rPr>
                <w:b w:val="false"/>
                <w:bCs w:val="false"/>
                <w:sz w:val="18"/>
                <w:szCs w:val="18"/>
              </w:rPr>
              <w:t xml:space="preserve">Yes; that is why the Nifty puts are sized by downside beta (1.21), not 1.</w:t>
            </w:r>
          </w:p>
        </w:tc>
      </w:tr>
      <w:tr>
        <w:tc>
          <w:tcPr>
            <w:tcW w:type="dxa" w:w="3855"/>
            <w:shd w:fill="F2F2F2" w:color="auto" w:val="clear"/>
            <w:tcMar>
              <w:top w:type="dxa" w:w="60"/>
              <w:left w:type="dxa" w:w="90"/>
              <w:bottom w:type="dxa" w:w="60"/>
              <w:right w:type="dxa" w:w="90"/>
            </w:tcMar>
          </w:tcPr>
          <w:p>
            <w:pPr>
              <w:spacing w:after="0"/>
              <w:jc w:val="left"/>
            </w:pPr>
            <w:r>
              <w:rPr>
                <w:b w:val="false"/>
                <w:bCs w:val="false"/>
                <w:sz w:val="18"/>
                <w:szCs w:val="18"/>
              </w:rPr>
              <w:t xml:space="preserve">Hedge effectiveness only 31%</w:t>
            </w:r>
          </w:p>
        </w:tc>
        <w:tc>
          <w:tcPr>
            <w:tcW w:type="dxa" w:w="5783"/>
            <w:shd w:fill="F2F2F2" w:color="auto" w:val="clear"/>
            <w:tcMar>
              <w:top w:type="dxa" w:w="60"/>
              <w:left w:type="dxa" w:w="90"/>
              <w:bottom w:type="dxa" w:w="60"/>
              <w:right w:type="dxa" w:w="90"/>
            </w:tcMar>
          </w:tcPr>
          <w:p>
            <w:pPr>
              <w:spacing w:after="0"/>
              <w:jc w:val="left"/>
            </w:pPr>
            <w:r>
              <w:rPr>
                <w:b w:val="false"/>
                <w:bCs w:val="false"/>
                <w:sz w:val="18"/>
                <w:szCs w:val="18"/>
              </w:rPr>
              <w:t xml:space="preserve">Index puts hedge market risk; stock-specific risk is diversified and stop-lossed.</w:t>
            </w:r>
          </w:p>
        </w:tc>
      </w:tr>
      <w:tr>
        <w:tc>
          <w:tcPr>
            <w:tcW w:type="dxa" w:w="3855"/>
            <w:tcMar>
              <w:top w:type="dxa" w:w="60"/>
              <w:left w:type="dxa" w:w="90"/>
              <w:bottom w:type="dxa" w:w="60"/>
              <w:right w:type="dxa" w:w="90"/>
            </w:tcMar>
          </w:tcPr>
          <w:p>
            <w:pPr>
              <w:spacing w:after="0"/>
              <w:jc w:val="left"/>
            </w:pPr>
            <w:r>
              <w:rPr>
                <w:b w:val="false"/>
                <w:bCs w:val="false"/>
                <w:sz w:val="18"/>
                <w:szCs w:val="18"/>
              </w:rPr>
              <w:t xml:space="preserve">Borderline theme fits (RPEL invested; GOODLUCK in reserve)</w:t>
            </w:r>
          </w:p>
        </w:tc>
        <w:tc>
          <w:tcPr>
            <w:tcW w:type="dxa" w:w="5783"/>
            <w:tcMar>
              <w:top w:type="dxa" w:w="60"/>
              <w:left w:type="dxa" w:w="90"/>
              <w:bottom w:type="dxa" w:w="60"/>
              <w:right w:type="dxa" w:w="90"/>
            </w:tcMar>
          </w:tcPr>
          <w:p>
            <w:pPr>
              <w:spacing w:after="0"/>
              <w:jc w:val="left"/>
            </w:pPr>
            <w:r>
              <w:rPr>
                <w:b w:val="false"/>
                <w:bCs w:val="false"/>
                <w:sz w:val="18"/>
                <w:szCs w:val="18"/>
              </w:rPr>
              <w:t xml:space="preserve">Disclosed on the dashboard with revenue splits; NSE classification supports RPEL.</w:t>
            </w:r>
          </w:p>
        </w:tc>
      </w:tr>
    </w:tbl>
    <w:p>
      <w:pPr>
        <w:spacing w:after="120"/>
      </w:pPr>
    </w:p>
    <w:p>
      <w:pPr>
        <w:pStyle w:val="Heading1"/>
        <w:pageBreakBefore/>
      </w:pPr>
      <w:r>
        <w:t xml:space="preserve">11. The grilling: likely questions and model answers</w:t>
      </w:r>
    </w:p>
    <w:p>
      <w:pPr>
        <w:pStyle w:val="Heading2"/>
      </w:pPr>
      <w:r>
        <w:t xml:space="preserve">Theme and universe</w:t>
      </w:r>
    </w:p>
    <w:p>
      <w:pPr>
        <w:keepNext/>
        <w:spacing w:after="60" w:before="120"/>
      </w:pPr>
      <w:r>
        <w:rPr>
          <w:b/>
          <w:bCs/>
          <w:color w:val="1F3864"/>
        </w:rPr>
        <w:t xml:space="preserve">Q. </w:t>
      </w:r>
      <w:r>
        <w:rPr>
          <w:b/>
          <w:bCs/>
        </w:rPr>
        <w:t xml:space="preserve">What exactly is your theme, in one line?</w:t>
      </w:r>
    </w:p>
    <w:p>
      <w:pPr>
        <w:spacing w:after="60" w:line="264"/>
        <w:ind w:left="360"/>
      </w:pPr>
      <w:r>
        <w:rPr>
          <w:b/>
          <w:bCs/>
          <w:color w:val="2E7D32"/>
        </w:rPr>
        <w:t xml:space="preserve">A. </w:t>
      </w:r>
      <w:r>
        <w:t xml:space="preserve">India's capex and infrastructure build-out: companies that make the equipment and materials, or generate the power, that the investment cycle needs.</w:t>
      </w:r>
    </w:p>
    <w:p>
      <w:pPr>
        <w:keepNext/>
        <w:spacing w:after="60" w:before="120"/>
      </w:pPr>
      <w:r>
        <w:rPr>
          <w:b/>
          <w:bCs/>
          <w:color w:val="1F3864"/>
        </w:rPr>
        <w:t xml:space="preserve">Q. </w:t>
      </w:r>
      <w:r>
        <w:rPr>
          <w:b/>
          <w:bCs/>
        </w:rPr>
        <w:t xml:space="preserve">Why capital goods, power and cement together?</w:t>
      </w:r>
    </w:p>
    <w:p>
      <w:pPr>
        <w:spacing w:after="60" w:line="264"/>
        <w:ind w:left="360"/>
      </w:pPr>
      <w:r>
        <w:rPr>
          <w:b/>
          <w:bCs/>
          <w:color w:val="2E7D32"/>
        </w:rPr>
        <w:t xml:space="preserve">A. </w:t>
      </w:r>
      <w:r>
        <w:t xml:space="preserve">They are the three sectors directly paid by capex: capital goods supply the equipment, power is both a buyer (grid, generation) and a beneficiary, cement is the construction input. Complementary sub-themes of one theme, as the brief allows.</w:t>
      </w:r>
    </w:p>
    <w:p>
      <w:pPr>
        <w:keepNext/>
        <w:spacing w:after="60" w:before="120"/>
      </w:pPr>
      <w:r>
        <w:rPr>
          <w:b/>
          <w:bCs/>
          <w:color w:val="1F3864"/>
        </w:rPr>
        <w:t xml:space="preserve">Q. </w:t>
      </w:r>
      <w:r>
        <w:rPr>
          <w:b/>
          <w:bCs/>
        </w:rPr>
        <w:t xml:space="preserve">Why did you use Screener exports instead of NSE indices?</w:t>
      </w:r>
    </w:p>
    <w:p>
      <w:pPr>
        <w:spacing w:after="60" w:line="264"/>
        <w:ind w:left="360"/>
      </w:pPr>
      <w:r>
        <w:rPr>
          <w:b/>
          <w:bCs/>
          <w:color w:val="2E7D32"/>
        </w:rPr>
        <w:t xml:space="preserve">A. </w:t>
      </w:r>
      <w:r>
        <w:t xml:space="preserve">The Nifty sector indices hold ~90 stocks and miss genuine theme companies. The exports list every company; our written rules decide. It is more complete and every exclusion is documented.</w:t>
      </w:r>
    </w:p>
    <w:p>
      <w:pPr>
        <w:keepNext/>
        <w:spacing w:after="60" w:before="120"/>
      </w:pPr>
      <w:r>
        <w:rPr>
          <w:b/>
          <w:bCs/>
          <w:color w:val="1F3864"/>
        </w:rPr>
        <w:t xml:space="preserve">Q. </w:t>
      </w:r>
      <w:r>
        <w:rPr>
          <w:b/>
          <w:bCs/>
        </w:rPr>
        <w:t xml:space="preserve">Why the ₹5,000 cr floor? Isn't that arbitrary?</w:t>
      </w:r>
    </w:p>
    <w:p>
      <w:pPr>
        <w:spacing w:after="60" w:line="264"/>
        <w:ind w:left="360"/>
      </w:pPr>
      <w:r>
        <w:rPr>
          <w:b/>
          <w:bCs/>
          <w:color w:val="2E7D32"/>
        </w:rPr>
        <w:t xml:space="preserve">A. </w:t>
      </w:r>
      <w:r>
        <w:t xml:space="preserve">We tested it: liquidity is checked directly (₹5 cr/day), and lowering the floor mainly added loss-making or speculatively traded names. So it acts as a quality floor. Below ₹2,000 cr nothing even passes the liquidity rule.</w:t>
      </w:r>
    </w:p>
    <w:p>
      <w:pPr>
        <w:keepNext/>
        <w:spacing w:after="60" w:before="120"/>
      </w:pPr>
      <w:r>
        <w:rPr>
          <w:b/>
          <w:bCs/>
          <w:color w:val="1F3864"/>
        </w:rPr>
        <w:t xml:space="preserve">Q. </w:t>
      </w:r>
      <w:r>
        <w:rPr>
          <w:b/>
          <w:bCs/>
        </w:rPr>
        <w:t xml:space="preserve">Why exclude defence? It is capex too.</w:t>
      </w:r>
    </w:p>
    <w:p>
      <w:pPr>
        <w:spacing w:after="60" w:line="264"/>
        <w:ind w:left="360"/>
      </w:pPr>
      <w:r>
        <w:rPr>
          <w:b/>
          <w:bCs/>
          <w:color w:val="2E7D32"/>
        </w:rPr>
        <w:t xml:space="preserve">A. </w:t>
      </w:r>
      <w:r>
        <w:t xml:space="preserve">Defence is government consumption with its own cycle (orders, geopolitics), not the infrastructure/industrial capex theme. Including it would blur the theme; the exclusion is written down and applied consistently (HAL, BEL, MAZDOCK, PTCIL, DYNAMATECH).</w:t>
      </w:r>
    </w:p>
    <w:p>
      <w:pPr>
        <w:pStyle w:val="Heading2"/>
      </w:pPr>
      <w:r>
        <w:t xml:space="preserve">Selection method</w:t>
      </w:r>
    </w:p>
    <w:p>
      <w:pPr>
        <w:keepNext/>
        <w:spacing w:after="60" w:before="120"/>
      </w:pPr>
      <w:r>
        <w:rPr>
          <w:b/>
          <w:bCs/>
          <w:color w:val="1F3864"/>
        </w:rPr>
        <w:t xml:space="preserve">Q. </w:t>
      </w:r>
      <w:r>
        <w:rPr>
          <w:b/>
          <w:bCs/>
        </w:rPr>
        <w:t xml:space="preserve">Walk me through how you picked these eight.</w:t>
      </w:r>
    </w:p>
    <w:p>
      <w:pPr>
        <w:spacing w:after="60" w:line="264"/>
        <w:ind w:left="360"/>
      </w:pPr>
      <w:r>
        <w:rPr>
          <w:b/>
          <w:bCs/>
          <w:color w:val="2E7D32"/>
        </w:rPr>
        <w:t xml:space="preserve">A. </w:t>
      </w:r>
      <w:r>
        <w:t xml:space="preserve">Seven rules in order (Section 4): hard safety, one year of history, bullish trend, liquidity, real profit growth, rank by 6-month RS skipping a month, take the top 15 and invest in the top 8. 137 → 32 eligible → top 15.</w:t>
      </w:r>
    </w:p>
    <w:p>
      <w:pPr>
        <w:keepNext/>
        <w:spacing w:after="60" w:before="120"/>
      </w:pPr>
      <w:r>
        <w:rPr>
          <w:b/>
          <w:bCs/>
          <w:color w:val="1F3864"/>
        </w:rPr>
        <w:t xml:space="preserve">Q. </w:t>
      </w:r>
      <w:r>
        <w:rPr>
          <w:b/>
          <w:bCs/>
        </w:rPr>
        <w:t xml:space="preserve">Why 6 months and why skip a month?</w:t>
      </w:r>
    </w:p>
    <w:p>
      <w:pPr>
        <w:spacing w:after="60" w:line="264"/>
        <w:ind w:left="360"/>
      </w:pPr>
      <w:r>
        <w:rPr>
          <w:b/>
          <w:bCs/>
          <w:color w:val="2E7D32"/>
        </w:rPr>
        <w:t xml:space="preserve">A. </w:t>
      </w:r>
      <w:r>
        <w:t xml:space="preserve">Medium-term momentum is the most documented anomaly (Jegadeesh &amp; Titman); the last month is skipped because short-term returns reverse. It also matched our horizon, and in our data 1- and 3-month RS had no predictive value.</w:t>
      </w:r>
    </w:p>
    <w:p>
      <w:pPr>
        <w:keepNext/>
        <w:spacing w:after="60" w:before="120"/>
      </w:pPr>
      <w:r>
        <w:rPr>
          <w:b/>
          <w:bCs/>
          <w:color w:val="1F3864"/>
        </w:rPr>
        <w:t xml:space="preserve">Q. </w:t>
      </w:r>
      <w:r>
        <w:rPr>
          <w:b/>
          <w:bCs/>
        </w:rPr>
        <w:t xml:space="preserve">Did you backtest this?</w:t>
      </w:r>
    </w:p>
    <w:p>
      <w:pPr>
        <w:spacing w:after="60" w:line="264"/>
        <w:ind w:left="360"/>
      </w:pPr>
      <w:r>
        <w:rPr>
          <w:b/>
          <w:bCs/>
          <w:color w:val="2E7D32"/>
        </w:rPr>
        <w:t xml:space="preserve">A. </w:t>
      </w:r>
      <w:r>
        <w:t xml:space="preserve">Yes, monthly 2021-2026 in two periods. The top 8 beat the Nifty 500 on 91% of dates in 2021-23 and 67% in 2024-26 (base rates 91% and 53%). Honest caveat: it is not statistically conclusive, but no alternative we tested did better.</w:t>
      </w:r>
    </w:p>
    <w:p>
      <w:pPr>
        <w:keepNext/>
        <w:spacing w:after="60" w:before="120"/>
      </w:pPr>
      <w:r>
        <w:rPr>
          <w:b/>
          <w:bCs/>
          <w:color w:val="1F3864"/>
        </w:rPr>
        <w:t xml:space="preserve">Q. </w:t>
      </w:r>
      <w:r>
        <w:rPr>
          <w:b/>
          <w:bCs/>
        </w:rPr>
        <w:t xml:space="preserve">Where are your four indicators in this?</w:t>
      </w:r>
    </w:p>
    <w:p>
      <w:pPr>
        <w:spacing w:after="60" w:line="264"/>
        <w:ind w:left="360"/>
      </w:pPr>
      <w:r>
        <w:rPr>
          <w:b/>
          <w:bCs/>
          <w:color w:val="2E7D32"/>
        </w:rPr>
        <w:t xml:space="preserve">A. </w:t>
      </w:r>
      <w:r>
        <w:t xml:space="preserve">RS is the ranking; ADX/DI is the trend rule (DI gap ≥ 2); RSI and support/resistance are used in the stop-loss and risk-reward and shown for every stock. Our tests found RSI and ADX have no stand-alone predictive power, so they are not used to rank.</w:t>
      </w:r>
    </w:p>
    <w:p>
      <w:pPr>
        <w:keepNext/>
        <w:spacing w:after="60" w:before="120"/>
      </w:pPr>
      <w:r>
        <w:rPr>
          <w:b/>
          <w:bCs/>
          <w:color w:val="1F3864"/>
        </w:rPr>
        <w:t xml:space="preserve">Q. </w:t>
      </w:r>
      <w:r>
        <w:rPr>
          <w:b/>
          <w:bCs/>
        </w:rPr>
        <w:t xml:space="preserve">What is a DI gap?</w:t>
      </w:r>
    </w:p>
    <w:p>
      <w:pPr>
        <w:spacing w:after="60" w:line="264"/>
        <w:ind w:left="360"/>
      </w:pPr>
      <w:r>
        <w:rPr>
          <w:b/>
          <w:bCs/>
          <w:color w:val="2E7D32"/>
        </w:rPr>
        <w:t xml:space="preserve">A. </w:t>
      </w:r>
      <w:r>
        <w:t xml:space="preserve">+DI minus −DI from Wilder's directional movement system: positive means up-moves dominate. We require at least 2 points so the trend is real, not a coin-flip.</w:t>
      </w:r>
    </w:p>
    <w:p>
      <w:pPr>
        <w:keepNext/>
        <w:spacing w:after="60" w:before="120"/>
      </w:pPr>
      <w:r>
        <w:rPr>
          <w:b/>
          <w:bCs/>
          <w:color w:val="1F3864"/>
        </w:rPr>
        <w:t xml:space="preserve">Q. </w:t>
      </w:r>
      <w:r>
        <w:rPr>
          <w:b/>
          <w:bCs/>
        </w:rPr>
        <w:t xml:space="preserve">Why require profit growth?</w:t>
      </w:r>
    </w:p>
    <w:p>
      <w:pPr>
        <w:spacing w:after="60" w:line="264"/>
        <w:ind w:left="360"/>
      </w:pPr>
      <w:r>
        <w:rPr>
          <w:b/>
          <w:bCs/>
          <w:color w:val="2E7D32"/>
        </w:rPr>
        <w:t xml:space="preserve">A. </w:t>
      </w:r>
      <w:r>
        <w:t xml:space="preserve">Every holding reports results between 26-Oct and 12-Nov, inside our window. Momentum without profit growth is what a bad result breaks. And we require an actual profit: a smaller loss is not growth (we caught BEML on this).</w:t>
      </w:r>
    </w:p>
    <w:p>
      <w:pPr>
        <w:keepNext/>
        <w:spacing w:after="60" w:before="120"/>
      </w:pPr>
      <w:r>
        <w:rPr>
          <w:b/>
          <w:bCs/>
          <w:color w:val="1F3864"/>
        </w:rPr>
        <w:t xml:space="preserve">Q. </w:t>
      </w:r>
      <w:r>
        <w:rPr>
          <w:b/>
          <w:bCs/>
        </w:rPr>
        <w:t xml:space="preserve">Why did you drop the RRG conviction filter?</w:t>
      </w:r>
    </w:p>
    <w:p>
      <w:pPr>
        <w:spacing w:after="60" w:line="264"/>
        <w:ind w:left="360"/>
      </w:pPr>
      <w:r>
        <w:rPr>
          <w:b/>
          <w:bCs/>
          <w:color w:val="2E7D32"/>
        </w:rPr>
        <w:t xml:space="preserve">A. </w:t>
      </w:r>
      <w:r>
        <w:t xml:space="preserve">A pre-registered backtest showed it lowered returns in both periods and changed the top 8 almost every month. It was built on 3-month RS, the weakest signal in our study.</w:t>
      </w:r>
    </w:p>
    <w:p>
      <w:pPr>
        <w:keepNext/>
        <w:spacing w:after="60" w:before="120"/>
      </w:pPr>
      <w:r>
        <w:rPr>
          <w:b/>
          <w:bCs/>
          <w:color w:val="1F3864"/>
        </w:rPr>
        <w:t xml:space="preserve">Q. </w:t>
      </w:r>
      <w:r>
        <w:rPr>
          <w:b/>
          <w:bCs/>
        </w:rPr>
        <w:t xml:space="preserve">Isn't dropping a filter after seeing the results data-mining?</w:t>
      </w:r>
    </w:p>
    <w:p>
      <w:pPr>
        <w:spacing w:after="60" w:line="264"/>
        <w:ind w:left="360"/>
      </w:pPr>
      <w:r>
        <w:rPr>
          <w:b/>
          <w:bCs/>
          <w:color w:val="2E7D32"/>
        </w:rPr>
        <w:t xml:space="preserve">A. </w:t>
      </w:r>
      <w:r>
        <w:t xml:space="preserve">The test design and the decision rule were written before running it; the result went against what we believed. Keeping a filter that the data says hurts would be the bias.</w:t>
      </w:r>
    </w:p>
    <w:p>
      <w:pPr>
        <w:keepNext/>
        <w:spacing w:after="60" w:before="120"/>
      </w:pPr>
      <w:r>
        <w:rPr>
          <w:b/>
          <w:bCs/>
          <w:color w:val="1F3864"/>
        </w:rPr>
        <w:t xml:space="preserve">Q. </w:t>
      </w:r>
      <w:r>
        <w:rPr>
          <w:b/>
          <w:bCs/>
        </w:rPr>
        <w:t xml:space="preserve">What did you test that did not work?</w:t>
      </w:r>
    </w:p>
    <w:p>
      <w:pPr>
        <w:spacing w:after="60" w:line="264"/>
        <w:ind w:left="360"/>
      </w:pPr>
      <w:r>
        <w:rPr>
          <w:b/>
          <w:bCs/>
          <w:color w:val="2E7D32"/>
        </w:rPr>
        <w:t xml:space="preserve">A. </w:t>
      </w:r>
      <w:r>
        <w:t xml:space="preserve">~25 signals across four studies: RS over 5 windows, 52-week high, volatility, risk-adjusted momentum, 200-day MA, delivery %, turnover, sector momentum, ADX, RSI, RRG conviction, residual momentum, frog-in-the-pan, earnings announcement returns.</w:t>
      </w:r>
    </w:p>
    <w:p>
      <w:pPr>
        <w:pStyle w:val="Heading2"/>
      </w:pPr>
      <w:r>
        <w:t xml:space="preserve">Specific stocks</w:t>
      </w:r>
    </w:p>
    <w:p>
      <w:pPr>
        <w:keepNext/>
        <w:spacing w:after="60" w:before="120"/>
      </w:pPr>
      <w:r>
        <w:rPr>
          <w:b/>
          <w:bCs/>
          <w:color w:val="1F3864"/>
        </w:rPr>
        <w:t xml:space="preserve">Q. </w:t>
      </w:r>
      <w:r>
        <w:rPr>
          <w:b/>
          <w:bCs/>
        </w:rPr>
        <w:t xml:space="preserve">WELCORP is up 4x. Isn't it too late?</w:t>
      </w:r>
    </w:p>
    <w:p>
      <w:pPr>
        <w:spacing w:after="60" w:line="264"/>
        <w:ind w:left="360"/>
      </w:pPr>
      <w:r>
        <w:rPr>
          <w:b/>
          <w:bCs/>
          <w:color w:val="2E7D32"/>
        </w:rPr>
        <w:t xml:space="preserve">A. </w:t>
      </w:r>
      <w:r>
        <w:t xml:space="preserve">Its latest rise followed new orders (Aramco ~₹2,000 cr on 20-Sep, a record ₹4,000 cr US order on 24-Sep) and profit up 199%. It is extended, which is why it has a 13.9% stop and an equal-risk weight, not a bigger bet.</w:t>
      </w:r>
    </w:p>
    <w:p>
      <w:pPr>
        <w:keepNext/>
        <w:spacing w:after="60" w:before="120"/>
      </w:pPr>
      <w:r>
        <w:rPr>
          <w:b/>
          <w:bCs/>
          <w:color w:val="1F3864"/>
        </w:rPr>
        <w:t xml:space="preserve">Q. </w:t>
      </w:r>
      <w:r>
        <w:rPr>
          <w:b/>
          <w:bCs/>
        </w:rPr>
        <w:t xml:space="preserve">RPEL is a refractory maker. How is that capital goods?</w:t>
      </w:r>
    </w:p>
    <w:p>
      <w:pPr>
        <w:spacing w:after="60" w:line="264"/>
        <w:ind w:left="360"/>
      </w:pPr>
      <w:r>
        <w:rPr>
          <w:b/>
          <w:bCs/>
          <w:color w:val="2E7D32"/>
        </w:rPr>
        <w:t xml:space="preserve">A. </w:t>
      </w:r>
      <w:r>
        <w:t xml:space="preserve">NSE classifies it as Capital Goods &gt; Industrial Products &gt; Electrodes &amp; Refractories, and its demand is construction steel. We flag it as borderline on the dashboard rather than hide it.</w:t>
      </w:r>
    </w:p>
    <w:p>
      <w:pPr>
        <w:keepNext/>
        <w:spacing w:after="60" w:before="120"/>
      </w:pPr>
      <w:r>
        <w:rPr>
          <w:b/>
          <w:bCs/>
          <w:color w:val="1F3864"/>
        </w:rPr>
        <w:t xml:space="preserve">Q. </w:t>
      </w:r>
      <w:r>
        <w:rPr>
          <w:b/>
          <w:bCs/>
        </w:rPr>
        <w:t xml:space="preserve">RAMRAT fails OPM and cash flow. Why hold it?</w:t>
      </w:r>
    </w:p>
    <w:p>
      <w:pPr>
        <w:spacing w:after="60" w:line="264"/>
        <w:ind w:left="360"/>
      </w:pPr>
      <w:r>
        <w:rPr>
          <w:b/>
          <w:bCs/>
          <w:color w:val="2E7D32"/>
        </w:rPr>
        <w:t xml:space="preserve">A. </w:t>
      </w:r>
      <w:r>
        <w:t xml:space="preserve">Those are soft criteria: long-run quality, already priced. It passes all hard rules (debt/equity 1.17 &lt; 1.5, no pledge). The negative cash flow is working capital for 89% revenue growth.</w:t>
      </w:r>
    </w:p>
    <w:p>
      <w:pPr>
        <w:keepNext/>
        <w:spacing w:after="60" w:before="120"/>
      </w:pPr>
      <w:r>
        <w:rPr>
          <w:b/>
          <w:bCs/>
          <w:color w:val="1F3864"/>
        </w:rPr>
        <w:t xml:space="preserve">Q. </w:t>
      </w:r>
      <w:r>
        <w:rPr>
          <w:b/>
          <w:bCs/>
        </w:rPr>
        <w:t xml:space="preserve">TDPOWERSYS is raising equity. Won't that hurt?</w:t>
      </w:r>
    </w:p>
    <w:p>
      <w:pPr>
        <w:spacing w:after="60" w:line="264"/>
        <w:ind w:left="360"/>
      </w:pPr>
      <w:r>
        <w:rPr>
          <w:b/>
          <w:bCs/>
          <w:color w:val="2E7D32"/>
        </w:rPr>
        <w:t xml:space="preserve">A. </w:t>
      </w:r>
      <w:r>
        <w:t xml:space="preserve">It can cap the price near term; it is disclosed and the stop handles it. The raise funds a business growing ~70% with 3.4 quarters of orders in hand.</w:t>
      </w:r>
    </w:p>
    <w:p>
      <w:pPr>
        <w:keepNext/>
        <w:spacing w:after="60" w:before="120"/>
      </w:pPr>
      <w:r>
        <w:rPr>
          <w:b/>
          <w:bCs/>
          <w:color w:val="1F3864"/>
        </w:rPr>
        <w:t xml:space="preserve">Q. </w:t>
      </w:r>
      <w:r>
        <w:rPr>
          <w:b/>
          <w:bCs/>
        </w:rPr>
        <w:t xml:space="preserve">Four of your stocks have fading momentum on the RRG. Explain.</w:t>
      </w:r>
    </w:p>
    <w:p>
      <w:pPr>
        <w:spacing w:after="60" w:line="264"/>
        <w:ind w:left="360"/>
      </w:pPr>
      <w:r>
        <w:rPr>
          <w:b/>
          <w:bCs/>
          <w:color w:val="2E7D32"/>
        </w:rPr>
        <w:t xml:space="preserve">A. </w:t>
      </w:r>
      <w:r>
        <w:t xml:space="preserve">Their 6-month strength is intact; the RRG measures the last few weeks. Our backtest found that excluding such names lowered returns, so we show the RRG as context only.</w:t>
      </w:r>
    </w:p>
    <w:p>
      <w:pPr>
        <w:keepNext/>
        <w:spacing w:after="60" w:before="120"/>
      </w:pPr>
      <w:r>
        <w:rPr>
          <w:b/>
          <w:bCs/>
          <w:color w:val="1F3864"/>
        </w:rPr>
        <w:t xml:space="preserve">Q. </w:t>
      </w:r>
      <w:r>
        <w:rPr>
          <w:b/>
          <w:bCs/>
        </w:rPr>
        <w:t xml:space="preserve">Why is ACMESOLAR capped at 15%?</w:t>
      </w:r>
    </w:p>
    <w:p>
      <w:pPr>
        <w:spacing w:after="60" w:line="264"/>
        <w:ind w:left="360"/>
      </w:pPr>
      <w:r>
        <w:rPr>
          <w:b/>
          <w:bCs/>
          <w:color w:val="2E7D32"/>
        </w:rPr>
        <w:t xml:space="preserve">A. </w:t>
      </w:r>
      <w:r>
        <w:t xml:space="preserve">It is the least volatile (beta 0.40) and the least correlated with the rest (average correlation 0.11 with the other seven vs 0.25 among them), so equal-risk weighting wants to give it more than 15%; the cap binds. It is our diversifier. Its low CAPM figure (7.8%) is a low REQUIRED return for low market risk, not a low forecast.</w:t>
      </w:r>
    </w:p>
    <w:p>
      <w:pPr>
        <w:keepNext/>
        <w:spacing w:after="60" w:before="120"/>
      </w:pPr>
      <w:r>
        <w:rPr>
          <w:b/>
          <w:bCs/>
          <w:color w:val="1F3864"/>
        </w:rPr>
        <w:t xml:space="preserve">Q. </w:t>
      </w:r>
      <w:r>
        <w:rPr>
          <w:b/>
          <w:bCs/>
        </w:rPr>
        <w:t xml:space="preserve">If ACMESOLAR diversifies so well, why not 25-30% in it?</w:t>
      </w:r>
    </w:p>
    <w:p>
      <w:pPr>
        <w:spacing w:after="60" w:line="264"/>
        <w:ind w:left="360"/>
      </w:pPr>
      <w:r>
        <w:rPr>
          <w:b/>
          <w:bCs/>
          <w:color w:val="2E7D32"/>
        </w:rPr>
        <w:t xml:space="preserve">A. </w:t>
      </w:r>
      <w:r>
        <w:t xml:space="preserve">Without bounds, ERC would give it 19.7% (our run on the same covariance matrix), not 25-30%. We cap every stock at 15% so no single name, least of all a 0.40-beta power producer, dominates a momentum portfolio; the cap costs little because ERC and the bounded minimum-variance portfolio are almost identical (Sharpe 3.44 vs 3.43).</w:t>
      </w:r>
    </w:p>
    <w:p>
      <w:pPr>
        <w:keepNext/>
        <w:spacing w:after="60" w:before="120"/>
      </w:pPr>
      <w:r>
        <w:rPr>
          <w:b/>
          <w:bCs/>
          <w:color w:val="1F3864"/>
        </w:rPr>
        <w:t xml:space="preserve">Q. </w:t>
      </w:r>
      <w:r>
        <w:rPr>
          <w:b/>
          <w:bCs/>
        </w:rPr>
        <w:t xml:space="preserve">How different is ERC from 1/N here?</w:t>
      </w:r>
    </w:p>
    <w:p>
      <w:pPr>
        <w:spacing w:after="60" w:line="264"/>
        <w:ind w:left="360"/>
      </w:pPr>
      <w:r>
        <w:rPr>
          <w:b/>
          <w:bCs/>
          <w:color w:val="2E7D32"/>
        </w:rPr>
        <w:t xml:space="preserve">A. </w:t>
      </w:r>
      <w:r>
        <w:t xml:space="preserve">Weights differ from 12.5% by at most 3.3 pp, and ERC's volatility is 27.0% vs 28.0% for equal weight: a modest, free gain, because the eight stocks' volatilities are similar. The method matters more when a stock is much riskier than the rest.</w:t>
      </w:r>
    </w:p>
    <w:p>
      <w:pPr>
        <w:keepNext/>
        <w:spacing w:after="60" w:before="120"/>
      </w:pPr>
      <w:r>
        <w:rPr>
          <w:b/>
          <w:bCs/>
          <w:color w:val="1F3864"/>
        </w:rPr>
        <w:t xml:space="preserve">Q. </w:t>
      </w:r>
      <w:r>
        <w:rPr>
          <w:b/>
          <w:bCs/>
        </w:rPr>
        <w:t xml:space="preserve">Your sheet says 'Capital Goods &amp; EPC'. Where is EPC?</w:t>
      </w:r>
    </w:p>
    <w:p>
      <w:pPr>
        <w:spacing w:after="60" w:line="264"/>
        <w:ind w:left="360"/>
      </w:pPr>
      <w:r>
        <w:rPr>
          <w:b/>
          <w:bCs/>
          <w:color w:val="2E7D32"/>
        </w:rPr>
        <w:t xml:space="preserve">A. </w:t>
      </w:r>
      <w:r>
        <w:t xml:space="preserve">EPC contractors are in the universe (Screener's Construction export, 20 above ₹5,000 cr). The same rules apply: ENGINERSIN passes and is reserve #7; the rest fail on trend (L&amp;T, KEC, RVNL, CEMPRO), pledge (HCC, KPIL) or falling profit (WELENT). Most EPC stocks are not in an uptrend right now, and the rule has no sector quotas, so it does not force them in.</w:t>
      </w:r>
    </w:p>
    <w:p>
      <w:pPr>
        <w:keepNext/>
        <w:spacing w:after="60" w:before="120"/>
      </w:pPr>
      <w:r>
        <w:rPr>
          <w:b/>
          <w:bCs/>
          <w:color w:val="1F3864"/>
        </w:rPr>
        <w:t xml:space="preserve">Q. </w:t>
      </w:r>
      <w:r>
        <w:rPr>
          <w:b/>
          <w:bCs/>
        </w:rPr>
        <w:t xml:space="preserve">Why no Tata Power / L&amp;T?</w:t>
      </w:r>
    </w:p>
    <w:p>
      <w:pPr>
        <w:spacing w:after="60" w:line="264"/>
        <w:ind w:left="360"/>
      </w:pPr>
      <w:r>
        <w:rPr>
          <w:b/>
          <w:bCs/>
          <w:color w:val="2E7D32"/>
        </w:rPr>
        <w:t xml:space="preserve">A. </w:t>
      </w:r>
      <w:r>
        <w:t xml:space="preserve">Tata Power: 6-month RS −20%, last of 34. L&amp;T: in the universe as EPC, but its trend is bearish (DI gap −3.8) and 6-month RS only +6.8%.</w:t>
      </w:r>
    </w:p>
    <w:p>
      <w:pPr>
        <w:pStyle w:val="Heading2"/>
      </w:pPr>
      <w:r>
        <w:t xml:space="preserve">Weights and construction</w:t>
      </w:r>
    </w:p>
    <w:p>
      <w:pPr>
        <w:keepNext/>
        <w:spacing w:after="60" w:before="120"/>
      </w:pPr>
      <w:r>
        <w:rPr>
          <w:b/>
          <w:bCs/>
          <w:color w:val="1F3864"/>
        </w:rPr>
        <w:t xml:space="preserve">Q. </w:t>
      </w:r>
      <w:r>
        <w:rPr>
          <w:b/>
          <w:bCs/>
        </w:rPr>
        <w:t xml:space="preserve">Why equal risk contribution and not equal weight or Markowitz?</w:t>
      </w:r>
    </w:p>
    <w:p>
      <w:pPr>
        <w:spacing w:after="60" w:line="264"/>
        <w:ind w:left="360"/>
      </w:pPr>
      <w:r>
        <w:rPr>
          <w:b/>
          <w:bCs/>
          <w:color w:val="2E7D32"/>
        </w:rPr>
        <w:t xml:space="preserve">A. </w:t>
      </w:r>
      <w:r>
        <w:t xml:space="preserve">Equal weight gives volatile stocks more risk; Markowitz needs return forecasts, which are unreliable (and put 37% in one stock here). ERC needs only the covariance and keeps every stock's risk share equal.</w:t>
      </w:r>
    </w:p>
    <w:p>
      <w:pPr>
        <w:keepNext/>
        <w:spacing w:after="60" w:before="120"/>
      </w:pPr>
      <w:r>
        <w:rPr>
          <w:b/>
          <w:bCs/>
          <w:color w:val="1F3864"/>
        </w:rPr>
        <w:t xml:space="preserve">Q. </w:t>
      </w:r>
      <w:r>
        <w:rPr>
          <w:b/>
          <w:bCs/>
        </w:rPr>
        <w:t xml:space="preserve">Is 5% minimum met?</w:t>
      </w:r>
    </w:p>
    <w:p>
      <w:pPr>
        <w:spacing w:after="60" w:line="264"/>
        <w:ind w:left="360"/>
      </w:pPr>
      <w:r>
        <w:rPr>
          <w:b/>
          <w:bCs/>
          <w:color w:val="2E7D32"/>
        </w:rPr>
        <w:t xml:space="preserve">A. </w:t>
      </w:r>
      <w:r>
        <w:t xml:space="preserve">Yes: the smallest weight is AEROFLEX at 9.2%; the largest is ACMESOLAR at the 15% cap.</w:t>
      </w:r>
    </w:p>
    <w:p>
      <w:pPr>
        <w:keepNext/>
        <w:spacing w:after="60" w:before="120"/>
      </w:pPr>
      <w:r>
        <w:rPr>
          <w:b/>
          <w:bCs/>
          <w:color w:val="1F3864"/>
        </w:rPr>
        <w:t xml:space="preserve">Q. </w:t>
      </w:r>
      <w:r>
        <w:rPr>
          <w:b/>
          <w:bCs/>
        </w:rPr>
        <w:t xml:space="preserve">What is the 'weighted variance' the brief mentions?</w:t>
      </w:r>
    </w:p>
    <w:p>
      <w:pPr>
        <w:spacing w:after="60" w:line="264"/>
        <w:ind w:left="360"/>
      </w:pPr>
      <w:r>
        <w:rPr>
          <w:b/>
          <w:bCs/>
          <w:color w:val="2E7D32"/>
        </w:rPr>
        <w:t xml:space="preserve">A. </w:t>
      </w:r>
      <w:r>
        <w:t xml:space="preserve">Portfolio variance w'Σw; each stock's contribution is w_i(Σw)_i. ERC sets these contributions equal.</w:t>
      </w:r>
    </w:p>
    <w:p>
      <w:pPr>
        <w:keepNext/>
        <w:spacing w:after="60" w:before="120"/>
      </w:pPr>
      <w:r>
        <w:rPr>
          <w:b/>
          <w:bCs/>
          <w:color w:val="1F3864"/>
        </w:rPr>
        <w:t xml:space="preserve">Q. </w:t>
      </w:r>
      <w:r>
        <w:rPr>
          <w:b/>
          <w:bCs/>
        </w:rPr>
        <w:t xml:space="preserve">Where is the global minimum variance portfolio?</w:t>
      </w:r>
    </w:p>
    <w:p>
      <w:pPr>
        <w:spacing w:after="60" w:line="264"/>
        <w:ind w:left="360"/>
      </w:pPr>
      <w:r>
        <w:rPr>
          <w:b/>
          <w:bCs/>
          <w:color w:val="2E7D32"/>
        </w:rPr>
        <w:t xml:space="preserve">A. </w:t>
      </w:r>
      <w:r>
        <w:t xml:space="preserve">Computed from the same 8 stocks: long-only it is 24.7% volatility with 35% in one stock; within 5-15% it is almost identical to ours (26.6% vs 27.0%, Sharpe 3.43 vs 3.44).</w:t>
      </w:r>
    </w:p>
    <w:p>
      <w:pPr>
        <w:keepNext/>
        <w:spacing w:after="60" w:before="120"/>
      </w:pPr>
      <w:r>
        <w:rPr>
          <w:b/>
          <w:bCs/>
          <w:color w:val="1F3864"/>
        </w:rPr>
        <w:t xml:space="preserve">Q. </w:t>
      </w:r>
      <w:r>
        <w:rPr>
          <w:b/>
          <w:bCs/>
        </w:rPr>
        <w:t xml:space="preserve">Why not invest in all 15?</w:t>
      </w:r>
    </w:p>
    <w:p>
      <w:pPr>
        <w:spacing w:after="60" w:line="264"/>
        <w:ind w:left="360"/>
      </w:pPr>
      <w:r>
        <w:rPr>
          <w:b/>
          <w:bCs/>
          <w:color w:val="2E7D32"/>
        </w:rPr>
        <w:t xml:space="preserve">A. </w:t>
      </w:r>
      <w:r>
        <w:t xml:space="preserve">The brief asks for 7-10 invested. Spreading over 15 barely lowered volatility (23.6% → 22.3%) and halved the weight of the strongest names.</w:t>
      </w:r>
    </w:p>
    <w:p>
      <w:pPr>
        <w:pStyle w:val="Heading2"/>
      </w:pPr>
      <w:r>
        <w:t xml:space="preserve">Risk and hedging</w:t>
      </w:r>
    </w:p>
    <w:p>
      <w:pPr>
        <w:keepNext/>
        <w:spacing w:after="60" w:before="120"/>
      </w:pPr>
      <w:r>
        <w:rPr>
          <w:b/>
          <w:bCs/>
          <w:color w:val="1F3864"/>
        </w:rPr>
        <w:t xml:space="preserve">Q. </w:t>
      </w:r>
      <w:r>
        <w:rPr>
          <w:b/>
          <w:bCs/>
        </w:rPr>
        <w:t xml:space="preserve">Why 3 × ATR and not a fixed 10% stop?</w:t>
      </w:r>
    </w:p>
    <w:p>
      <w:pPr>
        <w:spacing w:after="60" w:line="264"/>
        <w:ind w:left="360"/>
      </w:pPr>
      <w:r>
        <w:rPr>
          <w:b/>
          <w:bCs/>
          <w:color w:val="2E7D32"/>
        </w:rPr>
        <w:t xml:space="preserve">A. </w:t>
      </w:r>
      <w:r>
        <w:t xml:space="preserve">A fixed percentage ignores volatility: our holdings range from 38% (ACMESOLAR) to 60% (AEROFLEX) annualised, so 10% would be loose for one and inside normal noise for the other. ATR scales each stop to the stock's own daily range; 3 ATR puts today's stops 13-17% below price. The multiple is a judgement (wide enough to survive ordinary weeks, tight enough to cap a loss at roughly a month of volatility), not an optimised number; we did not backtest alternatives.</w:t>
      </w:r>
    </w:p>
    <w:p>
      <w:pPr>
        <w:keepNext/>
        <w:spacing w:after="60" w:before="120"/>
      </w:pPr>
      <w:r>
        <w:rPr>
          <w:b/>
          <w:bCs/>
          <w:color w:val="1F3864"/>
        </w:rPr>
        <w:t xml:space="preserve">Q. </w:t>
      </w:r>
      <w:r>
        <w:rPr>
          <w:b/>
          <w:bCs/>
        </w:rPr>
        <w:t xml:space="preserve">How did you set the stop-losses?</w:t>
      </w:r>
    </w:p>
    <w:p>
      <w:pPr>
        <w:spacing w:after="60" w:line="264"/>
        <w:ind w:left="360"/>
      </w:pPr>
      <w:r>
        <w:rPr>
          <w:b/>
          <w:bCs/>
          <w:color w:val="2E7D32"/>
        </w:rPr>
        <w:t xml:space="preserve">A. </w:t>
      </w:r>
      <w:r>
        <w:t xml:space="preserve">3 × ATR(14) below the price, moved just under a nearby support; trailed upward only. Currently 13.4-17.2% below price.</w:t>
      </w:r>
    </w:p>
    <w:p>
      <w:pPr>
        <w:keepNext/>
        <w:spacing w:after="60" w:before="120"/>
      </w:pPr>
      <w:r>
        <w:rPr>
          <w:b/>
          <w:bCs/>
          <w:color w:val="1F3864"/>
        </w:rPr>
        <w:t xml:space="preserve">Q. </w:t>
      </w:r>
      <w:r>
        <w:rPr>
          <w:b/>
          <w:bCs/>
        </w:rPr>
        <w:t xml:space="preserve">What happens when a stop is hit?</w:t>
      </w:r>
    </w:p>
    <w:p>
      <w:pPr>
        <w:spacing w:after="60" w:line="264"/>
        <w:ind w:left="360"/>
      </w:pPr>
      <w:r>
        <w:rPr>
          <w:b/>
          <w:bCs/>
          <w:color w:val="2E7D32"/>
        </w:rPr>
        <w:t xml:space="preserve">A. </w:t>
      </w:r>
      <w:r>
        <w:t xml:space="preserve">Sell; the proceeds buy the next reserve stock that still passes every rule that day; if none does, they top up the other holdings that are still in an uptrend, none above the 15% cap; if none can take it, they wait in the liquid ETF until a stock qualifies. We never add stop-loss money to falling stocks.</w:t>
      </w:r>
    </w:p>
    <w:p>
      <w:pPr>
        <w:keepNext/>
        <w:spacing w:after="60" w:before="120"/>
      </w:pPr>
      <w:r>
        <w:rPr>
          <w:b/>
          <w:bCs/>
          <w:color w:val="1F3864"/>
        </w:rPr>
        <w:t xml:space="preserve">Q. </w:t>
      </w:r>
      <w:r>
        <w:rPr>
          <w:b/>
          <w:bCs/>
        </w:rPr>
        <w:t xml:space="preserve">What is your portfolio beta and what does it mean?</w:t>
      </w:r>
    </w:p>
    <w:p>
      <w:pPr>
        <w:spacing w:after="60" w:line="264"/>
        <w:ind w:left="360"/>
      </w:pPr>
      <w:r>
        <w:rPr>
          <w:b/>
          <w:bCs/>
          <w:color w:val="2E7D32"/>
        </w:rPr>
        <w:t xml:space="preserve">A. </w:t>
      </w:r>
      <w:r>
        <w:t xml:space="preserve">1.27 against the Nifty 500: a 1% market move tends to move us ~1.27%. 44.5% of our variance is market risk, 55.5% stock-specific.</w:t>
      </w:r>
    </w:p>
    <w:p>
      <w:pPr>
        <w:keepNext/>
        <w:spacing w:after="60" w:before="120"/>
      </w:pPr>
      <w:r>
        <w:rPr>
          <w:b/>
          <w:bCs/>
          <w:color w:val="1F3864"/>
        </w:rPr>
        <w:t xml:space="preserve">Q. </w:t>
      </w:r>
      <w:r>
        <w:rPr>
          <w:b/>
          <w:bCs/>
        </w:rPr>
        <w:t xml:space="preserve">How much of the risk does the hedge remove?</w:t>
      </w:r>
    </w:p>
    <w:p>
      <w:pPr>
        <w:spacing w:after="60" w:line="264"/>
        <w:ind w:left="360"/>
      </w:pPr>
      <w:r>
        <w:rPr>
          <w:b/>
          <w:bCs/>
          <w:color w:val="2E7D32"/>
        </w:rPr>
        <w:t xml:space="preserve">A. </w:t>
      </w:r>
      <w:r>
        <w:t xml:space="preserve">The index hedge addresses market risk only (hedge effectiveness R² ≈ 0.31 vs Nifty 50); stock-specific risk is diversified across 8 names and capped by stops.</w:t>
      </w:r>
    </w:p>
    <w:p>
      <w:pPr>
        <w:keepNext/>
        <w:spacing w:after="60" w:before="120"/>
      </w:pPr>
      <w:r>
        <w:rPr>
          <w:b/>
          <w:bCs/>
          <w:color w:val="1F3864"/>
        </w:rPr>
        <w:t xml:space="preserve">Q. </w:t>
      </w:r>
      <w:r>
        <w:rPr>
          <w:b/>
          <w:bCs/>
        </w:rPr>
        <w:t xml:space="preserve">Nifty 50 explains only 31% of your variance. Why not a midcap index?</w:t>
      </w:r>
    </w:p>
    <w:p>
      <w:pPr>
        <w:spacing w:after="60" w:line="264"/>
        <w:ind w:left="360"/>
      </w:pPr>
      <w:r>
        <w:rPr>
          <w:b/>
          <w:bCs/>
          <w:color w:val="2E7D32"/>
        </w:rPr>
        <w:t xml:space="preserve">A. </w:t>
      </w:r>
      <w:r>
        <w:t xml:space="preserve">No index can hedge the other ~55-70%: even the Nifty 500, which contains every one of our stocks, explains only 44.5% of our variance; the rest is stock-specific and is handled by 8-way diversification, the 15% cap and stops. For the market part we chose the contract that is deepest and runs past 28-Dec: our 22,000 Dec put alone has open interest of ~3.1 million units. We did not backtest a midcap-index hedge.</w:t>
      </w:r>
    </w:p>
    <w:p>
      <w:pPr>
        <w:keepNext/>
        <w:spacing w:after="60" w:before="120"/>
      </w:pPr>
      <w:r>
        <w:rPr>
          <w:b/>
          <w:bCs/>
          <w:color w:val="1F3864"/>
        </w:rPr>
        <w:t xml:space="preserve">Q. </w:t>
      </w:r>
      <w:r>
        <w:rPr>
          <w:b/>
          <w:bCs/>
        </w:rPr>
        <w:t xml:space="preserve">What if metal prices swing?</w:t>
      </w:r>
    </w:p>
    <w:p>
      <w:pPr>
        <w:spacing w:after="60" w:line="264"/>
        <w:ind w:left="360"/>
      </w:pPr>
      <w:r>
        <w:rPr>
          <w:b/>
          <w:bCs/>
          <w:color w:val="2E7D32"/>
        </w:rPr>
        <w:t xml:space="preserve">A. </w:t>
      </w:r>
      <w:r>
        <w:t xml:space="preserve">RAMRAT and APARINDS pass copper and aluminium costs through to customers, so metal prices move their revenue more than their margin (part of RAMRAT's revenue jump is exactly that). WELCORP's pipe orders are priced per project. Measured at portfolio level, adding Brent crude and the 10-year G-sec to the market regression raises R² by only ~0.5 pp; stock-specific shocks are capped by diversification, the 15% limit and stops.</w:t>
      </w:r>
    </w:p>
    <w:p>
      <w:pPr>
        <w:keepNext/>
        <w:spacing w:after="60" w:before="120"/>
      </w:pPr>
      <w:r>
        <w:rPr>
          <w:b/>
          <w:bCs/>
          <w:color w:val="1F3864"/>
        </w:rPr>
        <w:t xml:space="preserve">Q. </w:t>
      </w:r>
      <w:r>
        <w:rPr>
          <w:b/>
          <w:bCs/>
        </w:rPr>
        <w:t xml:space="preserve">Why puts and not futures?</w:t>
      </w:r>
    </w:p>
    <w:p>
      <w:pPr>
        <w:spacing w:after="60" w:line="264"/>
        <w:ind w:left="360"/>
      </w:pPr>
      <w:r>
        <w:rPr>
          <w:b/>
          <w:bCs/>
          <w:color w:val="2E7D32"/>
        </w:rPr>
        <w:t xml:space="preserve">A. </w:t>
      </w:r>
      <w:r>
        <w:t xml:space="preserve">Futures would cancel our upside and need ~₹12.8 L margin. Puts ~5% out of the money insure a crash for ~0.8% of the portfolio and keep the upside.</w:t>
      </w:r>
    </w:p>
    <w:p>
      <w:pPr>
        <w:keepNext/>
        <w:spacing w:after="60" w:before="120"/>
      </w:pPr>
      <w:r>
        <w:rPr>
          <w:b/>
          <w:bCs/>
          <w:color w:val="1F3864"/>
        </w:rPr>
        <w:t xml:space="preserve">Q. </w:t>
      </w:r>
      <w:r>
        <w:rPr>
          <w:b/>
          <w:bCs/>
        </w:rPr>
        <w:t xml:space="preserve">How many lots and why?</w:t>
      </w:r>
    </w:p>
    <w:p>
      <w:pPr>
        <w:spacing w:after="60" w:line="264"/>
        <w:ind w:left="360"/>
      </w:pPr>
      <w:r>
        <w:rPr>
          <w:b/>
          <w:bCs/>
          <w:color w:val="2E7D32"/>
        </w:rPr>
        <w:t xml:space="preserve">A. </w:t>
      </w:r>
      <w:r>
        <w:t xml:space="preserve">8 lots of the 22,000 Dec put: ₹97 L of stocks × downside beta 1.21 ÷ (spot × lot size 65), rounded.</w:t>
      </w:r>
    </w:p>
    <w:p>
      <w:pPr>
        <w:keepNext/>
        <w:spacing w:after="60" w:before="120"/>
      </w:pPr>
      <w:r>
        <w:rPr>
          <w:b/>
          <w:bCs/>
          <w:color w:val="1F3864"/>
        </w:rPr>
        <w:t xml:space="preserve">Q. </w:t>
      </w:r>
      <w:r>
        <w:rPr>
          <w:b/>
          <w:bCs/>
        </w:rPr>
        <w:t xml:space="preserve">When do you change the hedge?</w:t>
      </w:r>
    </w:p>
    <w:p>
      <w:pPr>
        <w:spacing w:after="60" w:line="264"/>
        <w:ind w:left="360"/>
      </w:pPr>
      <w:r>
        <w:rPr>
          <w:b/>
          <w:bCs/>
          <w:color w:val="2E7D32"/>
        </w:rPr>
        <w:t xml:space="preserve">A. </w:t>
      </w:r>
      <w:r>
        <w:t xml:space="preserve">Once, at +10% P&amp;L: roll the puts up to ~5% below the then-current Nifty so a crash cannot take the gain back.</w:t>
      </w:r>
    </w:p>
    <w:p>
      <w:pPr>
        <w:keepNext/>
        <w:spacing w:after="60" w:before="120"/>
      </w:pPr>
      <w:r>
        <w:rPr>
          <w:b/>
          <w:bCs/>
          <w:color w:val="1F3864"/>
        </w:rPr>
        <w:t xml:space="preserve">Q. </w:t>
      </w:r>
      <w:r>
        <w:rPr>
          <w:b/>
          <w:bCs/>
        </w:rPr>
        <w:t xml:space="preserve">Did you test for autocorrelation / predictability?</w:t>
      </w:r>
    </w:p>
    <w:p>
      <w:pPr>
        <w:spacing w:after="60" w:line="264"/>
        <w:ind w:left="360"/>
      </w:pPr>
      <w:r>
        <w:rPr>
          <w:b/>
          <w:bCs/>
          <w:color w:val="2E7D32"/>
        </w:rPr>
        <w:t xml:space="preserve">A. </w:t>
      </w:r>
      <w:r>
        <w:t xml:space="preserve">Yes: AR(1) and Ljung-Box on each stock's DAILY returns; no stock is predictable at 5%, so there is nothing to exploit day to day, which is why we do not trade daily. That does not contradict momentum: momentum is persistence over 3-12 MONTHS (slow reaction to news and earnings), which a 1-day autocorrelation test cannot see and does not reject.</w:t>
      </w:r>
    </w:p>
    <w:p>
      <w:pPr>
        <w:pStyle w:val="Heading2"/>
      </w:pPr>
      <w:r>
        <w:t xml:space="preserve">Performance and theory</w:t>
      </w:r>
    </w:p>
    <w:p>
      <w:pPr>
        <w:keepNext/>
        <w:spacing w:after="60" w:before="120"/>
      </w:pPr>
      <w:r>
        <w:rPr>
          <w:b/>
          <w:bCs/>
          <w:color w:val="1F3864"/>
        </w:rPr>
        <w:t xml:space="preserve">Q. </w:t>
      </w:r>
      <w:r>
        <w:rPr>
          <w:b/>
          <w:bCs/>
        </w:rPr>
        <w:t xml:space="preserve">What are your Sharpe and Treynor?</w:t>
      </w:r>
    </w:p>
    <w:p>
      <w:pPr>
        <w:spacing w:after="60" w:line="264"/>
        <w:ind w:left="360"/>
      </w:pPr>
      <w:r>
        <w:rPr>
          <w:b/>
          <w:bCs/>
          <w:color w:val="2E7D32"/>
        </w:rPr>
        <w:t xml:space="preserve">A. </w:t>
      </w:r>
      <w:r>
        <w:t xml:space="preserve">Past year (ex-post, hindsight): Sharpe 5.6, Treynor 119%. Last quarter annualised: Sharpe 9.6, but that is inflated by annualising a 39% quarter; un-annualised (quarter excess return ÷ quarter volatility) it is 2.3. We report them as the brief asks but stress they measure how the stocks were picked, not what to expect. The live measures start from the 28-Sep snapshot.</w:t>
      </w:r>
    </w:p>
    <w:p>
      <w:pPr>
        <w:keepNext/>
        <w:spacing w:after="60" w:before="120"/>
      </w:pPr>
      <w:r>
        <w:rPr>
          <w:b/>
          <w:bCs/>
          <w:color w:val="1F3864"/>
        </w:rPr>
        <w:t xml:space="preserve">Q. </w:t>
      </w:r>
      <w:r>
        <w:rPr>
          <w:b/>
          <w:bCs/>
        </w:rPr>
        <w:t xml:space="preserve">What is the compounding effect?</w:t>
      </w:r>
    </w:p>
    <w:p>
      <w:pPr>
        <w:spacing w:after="60" w:line="264"/>
        <w:ind w:left="360"/>
      </w:pPr>
      <w:r>
        <w:rPr>
          <w:b/>
          <w:bCs/>
          <w:color w:val="2E7D32"/>
        </w:rPr>
        <w:t xml:space="preserve">A. </w:t>
      </w:r>
      <w:r>
        <w:t xml:space="preserve">As the dashboard defines it, annualised compound return minus annualised simple return: ≈2 pp over the year; the ≈119 pp over the last quarter is an artefact of annualising a 39% quarter, so we do not lean on it. The related 'volatility drag' (arithmetic minus geometric mean ≈ σ²/2) is ≈3.7 pp a year at our 27% volatility.</w:t>
      </w:r>
    </w:p>
    <w:p>
      <w:pPr>
        <w:keepNext/>
        <w:spacing w:after="60" w:before="120"/>
      </w:pPr>
      <w:r>
        <w:rPr>
          <w:b/>
          <w:bCs/>
          <w:color w:val="1F3864"/>
        </w:rPr>
        <w:t xml:space="preserve">Q. </w:t>
      </w:r>
      <w:r>
        <w:rPr>
          <w:b/>
          <w:bCs/>
        </w:rPr>
        <w:t xml:space="preserve">Why not tighten stops to 2 ATR before results?</w:t>
      </w:r>
    </w:p>
    <w:p>
      <w:pPr>
        <w:spacing w:after="60" w:line="264"/>
        <w:ind w:left="360"/>
      </w:pPr>
      <w:r>
        <w:rPr>
          <w:b/>
          <w:bCs/>
          <w:color w:val="2E7D32"/>
        </w:rPr>
        <w:t xml:space="preserve">A. </w:t>
      </w:r>
      <w:r>
        <w:t xml:space="preserve">A stop is triggered on a close, so a results gap goes straight through a 2 ATR stop just as through a 3 ATR one; tightening only adds whipsaw exits in the days before results (and our momentum names run hot into results). Gap damage is capped by sizing instead: a 20% gap on the largest (15%) position costs 3% of the portfolio.</w:t>
      </w:r>
    </w:p>
    <w:p>
      <w:pPr>
        <w:keepNext/>
        <w:spacing w:after="60" w:before="120"/>
      </w:pPr>
      <w:r>
        <w:rPr>
          <w:b/>
          <w:bCs/>
          <w:color w:val="1F3864"/>
        </w:rPr>
        <w:t xml:space="preserve">Q. </w:t>
      </w:r>
      <w:r>
        <w:rPr>
          <w:b/>
          <w:bCs/>
        </w:rPr>
        <w:t xml:space="preserve">Should replacements need RSI 40-65?</w:t>
      </w:r>
    </w:p>
    <w:p>
      <w:pPr>
        <w:spacing w:after="60" w:line="264"/>
        <w:ind w:left="360"/>
      </w:pPr>
      <w:r>
        <w:rPr>
          <w:b/>
          <w:bCs/>
          <w:color w:val="2E7D32"/>
        </w:rPr>
        <w:t xml:space="preserve">A. </w:t>
      </w:r>
      <w:r>
        <w:t xml:space="preserve">No: the replacement must already pass every selection rule that day, including a bullish trend (+DI above −DI by 2). An RSI ceiling of 65 would shut out exactly the strong-momentum names the rule is built to buy.</w:t>
      </w:r>
    </w:p>
    <w:p>
      <w:pPr>
        <w:keepNext/>
        <w:spacing w:after="60" w:before="120"/>
      </w:pPr>
      <w:r>
        <w:rPr>
          <w:b/>
          <w:bCs/>
          <w:color w:val="1F3864"/>
        </w:rPr>
        <w:t xml:space="preserve">Q. </w:t>
      </w:r>
      <w:r>
        <w:rPr>
          <w:b/>
          <w:bCs/>
        </w:rPr>
        <w:t xml:space="preserve">How do you compute XIRR?</w:t>
      </w:r>
    </w:p>
    <w:p>
      <w:pPr>
        <w:spacing w:after="60" w:line="264"/>
        <w:ind w:left="360"/>
      </w:pPr>
      <w:r>
        <w:rPr>
          <w:b/>
          <w:bCs/>
          <w:color w:val="2E7D32"/>
        </w:rPr>
        <w:t xml:space="preserve">A. </w:t>
      </w:r>
      <w:r>
        <w:t xml:space="preserve">From dated cash flows (−₹1 crore at the snapshot, today's value); shown from day 30 because annualising a few days is meaningless; negative for a loss.</w:t>
      </w:r>
    </w:p>
    <w:p>
      <w:pPr>
        <w:keepNext/>
        <w:spacing w:after="60" w:before="120"/>
      </w:pPr>
      <w:r>
        <w:rPr>
          <w:b/>
          <w:bCs/>
          <w:color w:val="1F3864"/>
        </w:rPr>
        <w:t xml:space="preserve">Q. </w:t>
      </w:r>
      <w:r>
        <w:rPr>
          <w:b/>
          <w:bCs/>
        </w:rPr>
        <w:t xml:space="preserve">What does CAPM say you should earn?</w:t>
      </w:r>
    </w:p>
    <w:p>
      <w:pPr>
        <w:spacing w:after="60" w:line="264"/>
        <w:ind w:left="360"/>
      </w:pPr>
      <w:r>
        <w:rPr>
          <w:b/>
          <w:bCs/>
          <w:color w:val="2E7D32"/>
        </w:rPr>
        <w:t xml:space="preserve">A. </w:t>
      </w:r>
      <w:r>
        <w:t xml:space="preserve">About 13-17% a year for most holdings (β × 7.08% + 4.95%), i.e. 3-4% over three months. That is the required return; our case to beat it rests on momentum.</w:t>
      </w:r>
    </w:p>
    <w:p>
      <w:pPr>
        <w:keepNext/>
        <w:spacing w:after="60" w:before="120"/>
      </w:pPr>
      <w:r>
        <w:rPr>
          <w:b/>
          <w:bCs/>
          <w:color w:val="1F3864"/>
        </w:rPr>
        <w:t xml:space="preserve">Q. </w:t>
      </w:r>
      <w:r>
        <w:rPr>
          <w:b/>
          <w:bCs/>
        </w:rPr>
        <w:t xml:space="preserve">Is this a 'multibagger' portfolio?</w:t>
      </w:r>
    </w:p>
    <w:p>
      <w:pPr>
        <w:spacing w:after="60" w:line="264"/>
        <w:ind w:left="360"/>
      </w:pPr>
      <w:r>
        <w:rPr>
          <w:b/>
          <w:bCs/>
          <w:color w:val="2E7D32"/>
        </w:rPr>
        <w:t xml:space="preserve">A. </w:t>
      </w:r>
      <w:r>
        <w:t xml:space="preserve">The strongest names have already multiplied (WELCORP ~4x from February). We read 'multibagger' as the highest-upside, highest-conviction momentum names; no one should promise 2x in three months.</w:t>
      </w:r>
    </w:p>
    <w:p>
      <w:pPr>
        <w:pStyle w:val="Heading2"/>
      </w:pPr>
      <w:r>
        <w:t xml:space="preserve">Process integrity</w:t>
      </w:r>
    </w:p>
    <w:p>
      <w:pPr>
        <w:keepNext/>
        <w:spacing w:after="60" w:before="120"/>
      </w:pPr>
      <w:r>
        <w:rPr>
          <w:b/>
          <w:bCs/>
          <w:color w:val="1F3864"/>
        </w:rPr>
        <w:t xml:space="preserve">Q. </w:t>
      </w:r>
      <w:r>
        <w:rPr>
          <w:b/>
          <w:bCs/>
        </w:rPr>
        <w:t xml:space="preserve">How do we know you did not hand-pick?</w:t>
      </w:r>
    </w:p>
    <w:p>
      <w:pPr>
        <w:spacing w:after="60" w:line="264"/>
        <w:ind w:left="360"/>
      </w:pPr>
      <w:r>
        <w:rPr>
          <w:b/>
          <w:bCs/>
          <w:color w:val="2E7D32"/>
        </w:rPr>
        <w:t xml:space="preserve">A. </w:t>
      </w:r>
      <w:r>
        <w:t xml:space="preserve">The rules are code in a public repository; the list is exactly the rule's output on the 25-Sep ranking, saved as a frozen file, and a test fails if the list differs.</w:t>
      </w:r>
    </w:p>
    <w:p>
      <w:pPr>
        <w:keepNext/>
        <w:spacing w:after="60" w:before="120"/>
      </w:pPr>
      <w:r>
        <w:rPr>
          <w:b/>
          <w:bCs/>
          <w:color w:val="1F3864"/>
        </w:rPr>
        <w:t xml:space="preserve">Q. </w:t>
      </w:r>
      <w:r>
        <w:rPr>
          <w:b/>
          <w:bCs/>
        </w:rPr>
        <w:t xml:space="preserve">What if the ranking changes tomorrow?</w:t>
      </w:r>
    </w:p>
    <w:p>
      <w:pPr>
        <w:spacing w:after="60" w:line="264"/>
        <w:ind w:left="360"/>
      </w:pPr>
      <w:r>
        <w:rPr>
          <w:b/>
          <w:bCs/>
          <w:color w:val="2E7D32"/>
        </w:rPr>
        <w:t xml:space="preserve">A. </w:t>
      </w:r>
      <w:r>
        <w:t xml:space="preserve">It will; we froze the list on the last pre-snapshot close so we are not chasing a moving target. Changes happen only through the stop-loss replacement rule.</w:t>
      </w:r>
    </w:p>
    <w:p>
      <w:pPr>
        <w:keepNext/>
        <w:spacing w:after="60" w:before="120"/>
      </w:pPr>
      <w:r>
        <w:rPr>
          <w:b/>
          <w:bCs/>
          <w:color w:val="1F3864"/>
        </w:rPr>
        <w:t xml:space="preserve">Q. </w:t>
      </w:r>
      <w:r>
        <w:rPr>
          <w:b/>
          <w:bCs/>
        </w:rPr>
        <w:t xml:space="preserve">What bugs did you find and fix?</w:t>
      </w:r>
    </w:p>
    <w:p>
      <w:pPr>
        <w:spacing w:after="60" w:line="264"/>
        <w:ind w:left="360"/>
      </w:pPr>
      <w:r>
        <w:rPr>
          <w:b/>
          <w:bCs/>
          <w:color w:val="2E7D32"/>
        </w:rPr>
        <w:t xml:space="preserve">A. </w:t>
      </w:r>
      <w:r>
        <w:t xml:space="preserve">A narrower loss counted as profit growth (BEML); sector averages distorted by recent listings; unequal risk shares when a weight hit the cap; missing price sessions and a benchmark date boundary earlier in the project. Each was fixed and re-tested.</w:t>
      </w:r>
    </w:p>
    <w:p>
      <w:pPr>
        <w:pStyle w:val="Heading1"/>
        <w:pageBreakBefore/>
      </w:pPr>
      <w:r>
        <w:t xml:space="preserve">12.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shd w:fill="1F3864" w:color="auto" w:val="clear"/>
            <w:tcMar>
              <w:top w:type="dxa" w:w="60"/>
              <w:left w:type="dxa" w:w="90"/>
              <w:bottom w:type="dxa" w:w="60"/>
              <w:right w:type="dxa" w:w="90"/>
            </w:tcMar>
          </w:tcPr>
          <w:p>
            <w:pPr>
              <w:spacing w:after="0"/>
              <w:jc w:val="left"/>
            </w:pPr>
            <w:r>
              <w:rPr>
                <w:b/>
                <w:bCs/>
                <w:color w:val="FFFFFF"/>
                <w:sz w:val="18"/>
                <w:szCs w:val="18"/>
              </w:rPr>
              <w:t xml:space="preserve">Term</w:t>
            </w:r>
          </w:p>
        </w:tc>
        <w:tc>
          <w:tcPr>
            <w:tcW w:type="dxa" w:w="7228"/>
            <w:shd w:fill="1F3864" w:color="auto" w:val="clear"/>
            <w:tcMar>
              <w:top w:type="dxa" w:w="60"/>
              <w:left w:type="dxa" w:w="90"/>
              <w:bottom w:type="dxa" w:w="60"/>
              <w:right w:type="dxa" w:w="90"/>
            </w:tcMar>
          </w:tcPr>
          <w:p>
            <w:pPr>
              <w:spacing w:after="0"/>
              <w:jc w:val="left"/>
            </w:pPr>
            <w:r>
              <w:rPr>
                <w:b/>
                <w:bCs/>
                <w:color w:val="FFFFFF"/>
                <w:sz w:val="18"/>
                <w:szCs w:val="18"/>
              </w:rPr>
              <w:t xml:space="preserve">Meaning</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RS (relative strength)</w:t>
            </w:r>
          </w:p>
        </w:tc>
        <w:tc>
          <w:tcPr>
            <w:tcW w:type="dxa" w:w="7228"/>
            <w:tcMar>
              <w:top w:type="dxa" w:w="60"/>
              <w:left w:type="dxa" w:w="90"/>
              <w:bottom w:type="dxa" w:w="60"/>
              <w:right w:type="dxa" w:w="90"/>
            </w:tcMar>
          </w:tcPr>
          <w:p>
            <w:pPr>
              <w:spacing w:after="0"/>
              <w:jc w:val="left"/>
            </w:pPr>
            <w:r>
              <w:rPr>
                <w:b w:val="false"/>
                <w:bCs w:val="false"/>
                <w:sz w:val="18"/>
                <w:szCs w:val="18"/>
              </w:rPr>
              <w:t xml:space="preserve">Stock return minus Nifty 500 return over a window, in percentage points.</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6-month RS skip 1 month</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RS over sessions t−126 to t−21: the past six months excluding the most recent month.</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ADX, +DI, −DI</w:t>
            </w:r>
          </w:p>
        </w:tc>
        <w:tc>
          <w:tcPr>
            <w:tcW w:type="dxa" w:w="7228"/>
            <w:tcMar>
              <w:top w:type="dxa" w:w="60"/>
              <w:left w:type="dxa" w:w="90"/>
              <w:bottom w:type="dxa" w:w="60"/>
              <w:right w:type="dxa" w:w="90"/>
            </w:tcMar>
          </w:tcPr>
          <w:p>
            <w:pPr>
              <w:spacing w:after="0"/>
              <w:jc w:val="left"/>
            </w:pPr>
            <w:r>
              <w:rPr>
                <w:b w:val="false"/>
                <w:bCs w:val="false"/>
                <w:sz w:val="18"/>
                <w:szCs w:val="18"/>
              </w:rPr>
              <w:t xml:space="preserve">Wilder's directional movement system: ADX = trend strength; +DI/−DI = up/down pressure; DI gap = +DI − −DI.</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RSI (14)</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Relative Strength Index: momentum oscillator 0-100; above 70 'overbought'.</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ATR (14)</w:t>
            </w:r>
          </w:p>
        </w:tc>
        <w:tc>
          <w:tcPr>
            <w:tcW w:type="dxa" w:w="7228"/>
            <w:tcMar>
              <w:top w:type="dxa" w:w="60"/>
              <w:left w:type="dxa" w:w="90"/>
              <w:bottom w:type="dxa" w:w="60"/>
              <w:right w:type="dxa" w:w="90"/>
            </w:tcMar>
          </w:tcPr>
          <w:p>
            <w:pPr>
              <w:spacing w:after="0"/>
              <w:jc w:val="left"/>
            </w:pPr>
            <w:r>
              <w:rPr>
                <w:b w:val="false"/>
                <w:bCs w:val="false"/>
                <w:sz w:val="18"/>
                <w:szCs w:val="18"/>
              </w:rPr>
              <w:t xml:space="preserve">Average true range: the typical daily price range; the stop-loss is 3 ATR below the price.</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RRG</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Relative Rotation Graph: RS (x) vs RS momentum (y); quadrants Leading, Weakening, Lagging, Improving.</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ERC</w:t>
            </w:r>
          </w:p>
        </w:tc>
        <w:tc>
          <w:tcPr>
            <w:tcW w:type="dxa" w:w="7228"/>
            <w:tcMar>
              <w:top w:type="dxa" w:w="60"/>
              <w:left w:type="dxa" w:w="90"/>
              <w:bottom w:type="dxa" w:w="60"/>
              <w:right w:type="dxa" w:w="90"/>
            </w:tcMar>
          </w:tcPr>
          <w:p>
            <w:pPr>
              <w:spacing w:after="0"/>
              <w:jc w:val="left"/>
            </w:pPr>
            <w:r>
              <w:rPr>
                <w:b w:val="false"/>
                <w:bCs w:val="false"/>
                <w:sz w:val="18"/>
                <w:szCs w:val="18"/>
              </w:rPr>
              <w:t xml:space="preserve">Equal risk contribution: weights at which every stock contributes the same share of portfolio variance.</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GMVP</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Global minimum-variance portfolio: the lowest-volatility mix of the stocks.</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Tangency portfolio / CML</w:t>
            </w:r>
          </w:p>
        </w:tc>
        <w:tc>
          <w:tcPr>
            <w:tcW w:type="dxa" w:w="7228"/>
            <w:tcMar>
              <w:top w:type="dxa" w:w="60"/>
              <w:left w:type="dxa" w:w="90"/>
              <w:bottom w:type="dxa" w:w="60"/>
              <w:right w:type="dxa" w:w="90"/>
            </w:tcMar>
          </w:tcPr>
          <w:p>
            <w:pPr>
              <w:spacing w:after="0"/>
              <w:jc w:val="left"/>
            </w:pPr>
            <w:r>
              <w:rPr>
                <w:b w:val="false"/>
                <w:bCs w:val="false"/>
                <w:sz w:val="18"/>
                <w:szCs w:val="18"/>
              </w:rPr>
              <w:t xml:space="preserve">The maximum-Sharpe mix; the capital market line joins the risk-free rate to the market (or tangency) portfolio.</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Beta; R²</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Sensitivity to the market; share of a stock's variance explained by the market.</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Explained / unexplained risk</w:t>
            </w:r>
          </w:p>
        </w:tc>
        <w:tc>
          <w:tcPr>
            <w:tcW w:type="dxa" w:w="7228"/>
            <w:tcMar>
              <w:top w:type="dxa" w:w="60"/>
              <w:left w:type="dxa" w:w="90"/>
              <w:bottom w:type="dxa" w:w="60"/>
              <w:right w:type="dxa" w:w="90"/>
            </w:tcMar>
          </w:tcPr>
          <w:p>
            <w:pPr>
              <w:spacing w:after="0"/>
              <w:jc w:val="left"/>
            </w:pPr>
            <w:r>
              <w:rPr>
                <w:b w:val="false"/>
                <w:bCs w:val="false"/>
                <w:sz w:val="18"/>
                <w:szCs w:val="18"/>
              </w:rPr>
              <w:t xml:space="preserve">Systematic (market) vs stock-specific share of variance: R² and 1 − R².</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CAPM</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E[r] = r_f + β × (market risk premium).</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EAR</w:t>
            </w:r>
          </w:p>
        </w:tc>
        <w:tc>
          <w:tcPr>
            <w:tcW w:type="dxa" w:w="7228"/>
            <w:tcMar>
              <w:top w:type="dxa" w:w="60"/>
              <w:left w:type="dxa" w:w="90"/>
              <w:bottom w:type="dxa" w:w="60"/>
              <w:right w:type="dxa" w:w="90"/>
            </w:tcMar>
          </w:tcPr>
          <w:p>
            <w:pPr>
              <w:spacing w:after="0"/>
              <w:jc w:val="left"/>
            </w:pPr>
            <w:r>
              <w:rPr>
                <w:b w:val="false"/>
                <w:bCs w:val="false"/>
                <w:sz w:val="18"/>
                <w:szCs w:val="18"/>
              </w:rPr>
              <w:t xml:space="preserve">Earnings announcement return: the stock's move vs the market around its results.</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Pledged shares</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Promoter shares pledged as loan collateral; forced selling risk if the price falls.</w:t>
            </w:r>
          </w:p>
        </w:tc>
      </w:tr>
      <w:tr>
        <w:tc>
          <w:tcPr>
            <w:tcW w:type="dxa" w:w="2410"/>
            <w:tcMar>
              <w:top w:type="dxa" w:w="60"/>
              <w:left w:type="dxa" w:w="90"/>
              <w:bottom w:type="dxa" w:w="60"/>
              <w:right w:type="dxa" w:w="90"/>
            </w:tcMar>
          </w:tcPr>
          <w:p>
            <w:pPr>
              <w:spacing w:after="0"/>
              <w:jc w:val="left"/>
            </w:pPr>
            <w:r>
              <w:rPr>
                <w:b w:val="false"/>
                <w:bCs w:val="false"/>
                <w:sz w:val="18"/>
                <w:szCs w:val="18"/>
              </w:rPr>
              <w:t xml:space="preserve">QIP</w:t>
            </w:r>
          </w:p>
        </w:tc>
        <w:tc>
          <w:tcPr>
            <w:tcW w:type="dxa" w:w="7228"/>
            <w:tcMar>
              <w:top w:type="dxa" w:w="60"/>
              <w:left w:type="dxa" w:w="90"/>
              <w:bottom w:type="dxa" w:w="60"/>
              <w:right w:type="dxa" w:w="90"/>
            </w:tcMar>
          </w:tcPr>
          <w:p>
            <w:pPr>
              <w:spacing w:after="0"/>
              <w:jc w:val="left"/>
            </w:pPr>
            <w:r>
              <w:rPr>
                <w:b w:val="false"/>
                <w:bCs w:val="false"/>
                <w:sz w:val="18"/>
                <w:szCs w:val="18"/>
              </w:rPr>
              <w:t xml:space="preserve">Qualified institutional placement: a listed company selling new shares to institutions.</w:t>
            </w:r>
          </w:p>
        </w:tc>
      </w:tr>
      <w:tr>
        <w:tc>
          <w:tcPr>
            <w:tcW w:type="dxa" w:w="2410"/>
            <w:shd w:fill="F2F2F2" w:color="auto" w:val="clear"/>
            <w:tcMar>
              <w:top w:type="dxa" w:w="60"/>
              <w:left w:type="dxa" w:w="90"/>
              <w:bottom w:type="dxa" w:w="60"/>
              <w:right w:type="dxa" w:w="90"/>
            </w:tcMar>
          </w:tcPr>
          <w:p>
            <w:pPr>
              <w:spacing w:after="0"/>
              <w:jc w:val="left"/>
            </w:pPr>
            <w:r>
              <w:rPr>
                <w:b w:val="false"/>
                <w:bCs w:val="false"/>
                <w:sz w:val="18"/>
                <w:szCs w:val="18"/>
              </w:rPr>
              <w:t xml:space="preserve">Pre-registered test</w:t>
            </w:r>
          </w:p>
        </w:tc>
        <w:tc>
          <w:tcPr>
            <w:tcW w:type="dxa" w:w="7228"/>
            <w:shd w:fill="F2F2F2" w:color="auto" w:val="clear"/>
            <w:tcMar>
              <w:top w:type="dxa" w:w="60"/>
              <w:left w:type="dxa" w:w="90"/>
              <w:bottom w:type="dxa" w:w="60"/>
              <w:right w:type="dxa" w:w="90"/>
            </w:tcMar>
          </w:tcPr>
          <w:p>
            <w:pPr>
              <w:spacing w:after="0"/>
              <w:jc w:val="left"/>
            </w:pPr>
            <w:r>
              <w:rPr>
                <w:b w:val="false"/>
                <w:bCs w:val="false"/>
                <w:sz w:val="18"/>
                <w:szCs w:val="18"/>
              </w:rPr>
              <w:t xml:space="preserve">A backtest whose design and decision rule are fixed before looking at the results.</w:t>
            </w:r>
          </w:p>
        </w:tc>
      </w:tr>
    </w:tbl>
    <w:p>
      <w:pPr>
        <w:spacing w:after="120"/>
      </w:pPr>
    </w:p>
    <w:p>
      <w:pPr>
        <w:pStyle w:val="Heading1"/>
        <w:pageBreakBefore/>
      </w:pPr>
      <w:r>
        <w:t xml:space="preserve">Appendix A. The full frozen ranking (25-Sep-2026 close)</w:t>
      </w:r>
    </w:p>
    <w:p>
      <w:pPr>
        <w:spacing w:after="120" w:line="276"/>
      </w:pPr>
      <w:r>
        <w:t xml:space="preserve">All 34 stocks that passed every rule, ranked by 6-month RS skipping the latest month. The top 15 are the list; the top 8 are invested.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4"/>
        <w:gridCol w:w="1676"/>
        <w:gridCol w:w="1571"/>
        <w:gridCol w:w="943"/>
        <w:gridCol w:w="943"/>
        <w:gridCol w:w="1048"/>
        <w:gridCol w:w="1152"/>
        <w:gridCol w:w="733"/>
        <w:gridCol w:w="1048"/>
      </w:tblGrid>
      <w:tr>
        <w:trPr>
          <w:tblHeader/>
        </w:trPr>
        <w:tc>
          <w:tcPr>
            <w:tcW w:type="dxa" w:w="524"/>
            <w:shd w:fill="1F3864" w:color="auto" w:val="clear"/>
            <w:tcMar>
              <w:top w:type="dxa" w:w="60"/>
              <w:left w:type="dxa" w:w="90"/>
              <w:bottom w:type="dxa" w:w="60"/>
              <w:right w:type="dxa" w:w="90"/>
            </w:tcMar>
          </w:tcPr>
          <w:p>
            <w:pPr>
              <w:spacing w:after="0"/>
              <w:jc w:val="left"/>
            </w:pPr>
            <w:r>
              <w:rPr>
                <w:b/>
                <w:bCs/>
                <w:color w:val="FFFFFF"/>
                <w:sz w:val="18"/>
                <w:szCs w:val="18"/>
              </w:rPr>
              <w:t xml:space="preserve">#</w:t>
            </w:r>
          </w:p>
        </w:tc>
        <w:tc>
          <w:tcPr>
            <w:tcW w:type="dxa" w:w="1676"/>
            <w:shd w:fill="1F3864" w:color="auto" w:val="clear"/>
            <w:tcMar>
              <w:top w:type="dxa" w:w="60"/>
              <w:left w:type="dxa" w:w="90"/>
              <w:bottom w:type="dxa" w:w="60"/>
              <w:right w:type="dxa" w:w="90"/>
            </w:tcMar>
          </w:tcPr>
          <w:p>
            <w:pPr>
              <w:spacing w:after="0"/>
              <w:jc w:val="left"/>
            </w:pPr>
            <w:r>
              <w:rPr>
                <w:b/>
                <w:bCs/>
                <w:color w:val="FFFFFF"/>
                <w:sz w:val="18"/>
                <w:szCs w:val="18"/>
              </w:rPr>
              <w:t xml:space="preserve">Stock</w:t>
            </w:r>
          </w:p>
        </w:tc>
        <w:tc>
          <w:tcPr>
            <w:tcW w:type="dxa" w:w="1571"/>
            <w:shd w:fill="1F3864" w:color="auto" w:val="clear"/>
            <w:tcMar>
              <w:top w:type="dxa" w:w="60"/>
              <w:left w:type="dxa" w:w="90"/>
              <w:bottom w:type="dxa" w:w="60"/>
              <w:right w:type="dxa" w:w="90"/>
            </w:tcMar>
          </w:tcPr>
          <w:p>
            <w:pPr>
              <w:spacing w:after="0"/>
              <w:jc w:val="left"/>
            </w:pPr>
            <w:r>
              <w:rPr>
                <w:b/>
                <w:bCs/>
                <w:color w:val="FFFFFF"/>
                <w:sz w:val="18"/>
                <w:szCs w:val="18"/>
              </w:rPr>
              <w:t xml:space="preserve">Sector</w:t>
            </w:r>
          </w:p>
        </w:tc>
        <w:tc>
          <w:tcPr>
            <w:tcW w:type="dxa" w:w="943"/>
            <w:shd w:fill="1F3864" w:color="auto" w:val="clear"/>
            <w:tcMar>
              <w:top w:type="dxa" w:w="60"/>
              <w:left w:type="dxa" w:w="90"/>
              <w:bottom w:type="dxa" w:w="60"/>
              <w:right w:type="dxa" w:w="90"/>
            </w:tcMar>
          </w:tcPr>
          <w:p>
            <w:pPr>
              <w:spacing w:after="0"/>
              <w:jc w:val="left"/>
            </w:pPr>
            <w:r>
              <w:rPr>
                <w:b/>
                <w:bCs/>
                <w:color w:val="FFFFFF"/>
                <w:sz w:val="18"/>
                <w:szCs w:val="18"/>
              </w:rPr>
              <w:t xml:space="preserve">6m RS</w:t>
            </w:r>
          </w:p>
        </w:tc>
        <w:tc>
          <w:tcPr>
            <w:tcW w:type="dxa" w:w="943"/>
            <w:shd w:fill="1F3864" w:color="auto" w:val="clear"/>
            <w:tcMar>
              <w:top w:type="dxa" w:w="60"/>
              <w:left w:type="dxa" w:w="90"/>
              <w:bottom w:type="dxa" w:w="60"/>
              <w:right w:type="dxa" w:w="90"/>
            </w:tcMar>
          </w:tcPr>
          <w:p>
            <w:pPr>
              <w:spacing w:after="0"/>
              <w:jc w:val="left"/>
            </w:pPr>
            <w:r>
              <w:rPr>
                <w:b/>
                <w:bCs/>
                <w:color w:val="FFFFFF"/>
                <w:sz w:val="18"/>
                <w:szCs w:val="18"/>
              </w:rPr>
              <w:t xml:space="preserve">3m RS</w:t>
            </w:r>
          </w:p>
        </w:tc>
        <w:tc>
          <w:tcPr>
            <w:tcW w:type="dxa" w:w="1048"/>
            <w:shd w:fill="1F3864" w:color="auto" w:val="clear"/>
            <w:tcMar>
              <w:top w:type="dxa" w:w="60"/>
              <w:left w:type="dxa" w:w="90"/>
              <w:bottom w:type="dxa" w:w="60"/>
              <w:right w:type="dxa" w:w="90"/>
            </w:tcMar>
          </w:tcPr>
          <w:p>
            <w:pPr>
              <w:spacing w:after="0"/>
              <w:jc w:val="left"/>
            </w:pPr>
            <w:r>
              <w:rPr>
                <w:b/>
                <w:bCs/>
                <w:color w:val="FFFFFF"/>
                <w:sz w:val="18"/>
                <w:szCs w:val="18"/>
              </w:rPr>
              <w:t xml:space="preserve">Profit YoY</w:t>
            </w:r>
          </w:p>
        </w:tc>
        <w:tc>
          <w:tcPr>
            <w:tcW w:type="dxa" w:w="1152"/>
            <w:shd w:fill="1F3864" w:color="auto" w:val="clear"/>
            <w:tcMar>
              <w:top w:type="dxa" w:w="60"/>
              <w:left w:type="dxa" w:w="90"/>
              <w:bottom w:type="dxa" w:w="60"/>
              <w:right w:type="dxa" w:w="90"/>
            </w:tcMar>
          </w:tcPr>
          <w:p>
            <w:pPr>
              <w:spacing w:after="0"/>
              <w:jc w:val="left"/>
            </w:pPr>
            <w:r>
              <w:rPr>
                <w:b/>
                <w:bCs/>
                <w:color w:val="FFFFFF"/>
                <w:sz w:val="18"/>
                <w:szCs w:val="18"/>
              </w:rPr>
              <w:t xml:space="preserve">Turnover ₹cr/d</w:t>
            </w:r>
          </w:p>
        </w:tc>
        <w:tc>
          <w:tcPr>
            <w:tcW w:type="dxa" w:w="733"/>
            <w:shd w:fill="1F3864" w:color="auto" w:val="clear"/>
            <w:tcMar>
              <w:top w:type="dxa" w:w="60"/>
              <w:left w:type="dxa" w:w="90"/>
              <w:bottom w:type="dxa" w:w="60"/>
              <w:right w:type="dxa" w:w="90"/>
            </w:tcMar>
          </w:tcPr>
          <w:p>
            <w:pPr>
              <w:spacing w:after="0"/>
              <w:jc w:val="left"/>
            </w:pPr>
            <w:r>
              <w:rPr>
                <w:b/>
                <w:bCs/>
                <w:color w:val="FFFFFF"/>
                <w:sz w:val="18"/>
                <w:szCs w:val="18"/>
              </w:rPr>
              <w:t xml:space="preserve">P/E</w:t>
            </w:r>
          </w:p>
        </w:tc>
        <w:tc>
          <w:tcPr>
            <w:tcW w:type="dxa" w:w="1048"/>
            <w:shd w:fill="1F3864" w:color="auto" w:val="clear"/>
            <w:tcMar>
              <w:top w:type="dxa" w:w="60"/>
              <w:left w:type="dxa" w:w="90"/>
              <w:bottom w:type="dxa" w:w="60"/>
              <w:right w:type="dxa" w:w="90"/>
            </w:tcMar>
          </w:tcPr>
          <w:p>
            <w:pPr>
              <w:spacing w:after="0"/>
              <w:jc w:val="left"/>
            </w:pPr>
            <w:r>
              <w:rPr>
                <w:b/>
                <w:bCs/>
                <w:color w:val="FFFFFF"/>
                <w:sz w:val="18"/>
                <w:szCs w:val="18"/>
              </w:rPr>
              <w:t xml:space="preserve">In list</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1</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WELCORP</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+185.2%</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+89.2%</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+199%</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218.7</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2</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RPEL</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+179.5%</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+48.4%</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+68%</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10.9</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124</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3</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SBCL</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+152.2%</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+56.3%</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+44%</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27.6</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62</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4</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AEROFLEX</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+126.2%</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+13.8%</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+162%</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52.6</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104</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5</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TDPOWERSYS</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+63.6%</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+23.6%</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+72%</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124.1</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86</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6</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RAMRAT</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+61.5%</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+42.6%</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+128%</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8.3</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41</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7</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APARINDS</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+60.0%</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+12.9%</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+78%</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213.8</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62</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E2EFDA" w:color="auto" w:val="clear"/>
            <w:tcMar>
              <w:top w:type="dxa" w:w="60"/>
              <w:left w:type="dxa" w:w="90"/>
              <w:bottom w:type="dxa" w:w="60"/>
              <w:right w:type="dxa" w:w="90"/>
            </w:tcMar>
          </w:tcPr>
          <w:p>
            <w:pPr>
              <w:spacing w:after="0"/>
              <w:jc w:val="right"/>
            </w:pPr>
            <w:r>
              <w:rPr>
                <w:b w:val="false"/>
                <w:bCs w:val="false"/>
                <w:sz w:val="18"/>
                <w:szCs w:val="18"/>
              </w:rPr>
              <w:t xml:space="preserve">8</w:t>
            </w:r>
          </w:p>
        </w:tc>
        <w:tc>
          <w:tcPr>
            <w:tcW w:type="dxa" w:w="1676"/>
            <w:shd w:fill="E2EFDA" w:color="auto" w:val="clear"/>
            <w:tcMar>
              <w:top w:type="dxa" w:w="60"/>
              <w:left w:type="dxa" w:w="90"/>
              <w:bottom w:type="dxa" w:w="60"/>
              <w:right w:type="dxa" w:w="90"/>
            </w:tcMar>
          </w:tcPr>
          <w:p>
            <w:pPr>
              <w:spacing w:after="0"/>
              <w:jc w:val="left"/>
            </w:pPr>
            <w:r>
              <w:rPr>
                <w:b w:val="false"/>
                <w:bCs w:val="false"/>
                <w:sz w:val="18"/>
                <w:szCs w:val="18"/>
              </w:rPr>
              <w:t xml:space="preserve">ACMESOLAR</w:t>
            </w:r>
          </w:p>
        </w:tc>
        <w:tc>
          <w:tcPr>
            <w:tcW w:type="dxa" w:w="1571"/>
            <w:shd w:fill="E2EFDA" w:color="auto" w:val="clear"/>
            <w:tcMar>
              <w:top w:type="dxa" w:w="60"/>
              <w:left w:type="dxa" w:w="90"/>
              <w:bottom w:type="dxa" w:w="60"/>
              <w:right w:type="dxa" w:w="90"/>
            </w:tcMar>
          </w:tcPr>
          <w:p>
            <w:pPr>
              <w:spacing w:after="0"/>
              <w:jc w:val="left"/>
            </w:pPr>
            <w:r>
              <w:rPr>
                <w:b w:val="false"/>
                <w:bCs w:val="false"/>
                <w:sz w:val="18"/>
                <w:szCs w:val="18"/>
              </w:rPr>
              <w:t xml:space="preserve">Power</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+52.7%</w:t>
            </w:r>
          </w:p>
        </w:tc>
        <w:tc>
          <w:tcPr>
            <w:tcW w:type="dxa" w:w="943"/>
            <w:shd w:fill="E2EFDA" w:color="auto" w:val="clear"/>
            <w:tcMar>
              <w:top w:type="dxa" w:w="60"/>
              <w:left w:type="dxa" w:w="90"/>
              <w:bottom w:type="dxa" w:w="60"/>
              <w:right w:type="dxa" w:w="90"/>
            </w:tcMar>
          </w:tcPr>
          <w:p>
            <w:pPr>
              <w:spacing w:after="0"/>
              <w:jc w:val="right"/>
            </w:pPr>
            <w:r>
              <w:rPr>
                <w:b w:val="false"/>
                <w:bCs w:val="false"/>
                <w:sz w:val="18"/>
                <w:szCs w:val="18"/>
              </w:rPr>
              <w:t xml:space="preserve">+18.5%</w:t>
            </w:r>
          </w:p>
        </w:tc>
        <w:tc>
          <w:tcPr>
            <w:tcW w:type="dxa" w:w="1048"/>
            <w:shd w:fill="E2EFDA" w:color="auto" w:val="clear"/>
            <w:tcMar>
              <w:top w:type="dxa" w:w="60"/>
              <w:left w:type="dxa" w:w="90"/>
              <w:bottom w:type="dxa" w:w="60"/>
              <w:right w:type="dxa" w:w="90"/>
            </w:tcMar>
          </w:tcPr>
          <w:p>
            <w:pPr>
              <w:spacing w:after="0"/>
              <w:jc w:val="right"/>
            </w:pPr>
            <w:r>
              <w:rPr>
                <w:b w:val="false"/>
                <w:bCs w:val="false"/>
                <w:sz w:val="18"/>
                <w:szCs w:val="18"/>
              </w:rPr>
              <w:t xml:space="preserve">+65%</w:t>
            </w:r>
          </w:p>
        </w:tc>
        <w:tc>
          <w:tcPr>
            <w:tcW w:type="dxa" w:w="1152"/>
            <w:shd w:fill="E2EFDA" w:color="auto" w:val="clear"/>
            <w:tcMar>
              <w:top w:type="dxa" w:w="60"/>
              <w:left w:type="dxa" w:w="90"/>
              <w:bottom w:type="dxa" w:w="60"/>
              <w:right w:type="dxa" w:w="90"/>
            </w:tcMar>
          </w:tcPr>
          <w:p>
            <w:pPr>
              <w:spacing w:after="0"/>
              <w:jc w:val="right"/>
            </w:pPr>
            <w:r>
              <w:rPr>
                <w:b w:val="false"/>
                <w:bCs w:val="false"/>
                <w:sz w:val="18"/>
                <w:szCs w:val="18"/>
              </w:rPr>
              <w:t xml:space="preserve">58.3</w:t>
            </w:r>
          </w:p>
        </w:tc>
        <w:tc>
          <w:tcPr>
            <w:tcW w:type="dxa" w:w="733"/>
            <w:shd w:fill="E2EFDA"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1048"/>
            <w:shd w:fill="E2EFDA" w:color="auto" w:val="clear"/>
            <w:tcMar>
              <w:top w:type="dxa" w:w="60"/>
              <w:left w:type="dxa" w:w="90"/>
              <w:bottom w:type="dxa" w:w="60"/>
              <w:right w:type="dxa" w:w="90"/>
            </w:tcMar>
          </w:tcPr>
          <w:p>
            <w:pPr>
              <w:spacing w:after="0"/>
              <w:jc w:val="left"/>
            </w:pPr>
            <w:r>
              <w:rPr>
                <w:b w:val="false"/>
                <w:bCs w:val="false"/>
                <w:sz w:val="18"/>
                <w:szCs w:val="18"/>
              </w:rPr>
              <w:t xml:space="preserve">Invested</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9</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QPOWER</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+48.9%</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+27.4%</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+50%</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24.1</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88</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10</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FINCABLES</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+45.1%</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+25.6%</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56.1</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28</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11</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GRINDWELL</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+36.7%</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-6.4%</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+22%</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6.2</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50</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12</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ACE</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+32.8%</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+26.2%</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+22%</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32.4</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33</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13</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CARBORUNIV</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+32.4%</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+9.0%</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+23%</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18.9</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97</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14</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GOODLUCK</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+29.9%</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+8.7%</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+60%</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27.0</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26</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FF2CC" w:color="auto" w:val="clear"/>
            <w:tcMar>
              <w:top w:type="dxa" w:w="60"/>
              <w:left w:type="dxa" w:w="90"/>
              <w:bottom w:type="dxa" w:w="60"/>
              <w:right w:type="dxa" w:w="90"/>
            </w:tcMar>
          </w:tcPr>
          <w:p>
            <w:pPr>
              <w:spacing w:after="0"/>
              <w:jc w:val="right"/>
            </w:pPr>
            <w:r>
              <w:rPr>
                <w:b w:val="false"/>
                <w:bCs w:val="false"/>
                <w:sz w:val="18"/>
                <w:szCs w:val="18"/>
              </w:rPr>
              <w:t xml:space="preserve">15</w:t>
            </w:r>
          </w:p>
        </w:tc>
        <w:tc>
          <w:tcPr>
            <w:tcW w:type="dxa" w:w="1676"/>
            <w:shd w:fill="FFF2CC" w:color="auto" w:val="clear"/>
            <w:tcMar>
              <w:top w:type="dxa" w:w="60"/>
              <w:left w:type="dxa" w:w="90"/>
              <w:bottom w:type="dxa" w:w="60"/>
              <w:right w:type="dxa" w:w="90"/>
            </w:tcMar>
          </w:tcPr>
          <w:p>
            <w:pPr>
              <w:spacing w:after="0"/>
              <w:jc w:val="left"/>
            </w:pPr>
            <w:r>
              <w:rPr>
                <w:b w:val="false"/>
                <w:bCs w:val="false"/>
                <w:sz w:val="18"/>
                <w:szCs w:val="18"/>
              </w:rPr>
              <w:t xml:space="preserve">ENGINERSIN</w:t>
            </w:r>
          </w:p>
        </w:tc>
        <w:tc>
          <w:tcPr>
            <w:tcW w:type="dxa" w:w="1571"/>
            <w:shd w:fill="FFF2CC"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+24.1%</w:t>
            </w:r>
          </w:p>
        </w:tc>
        <w:tc>
          <w:tcPr>
            <w:tcW w:type="dxa" w:w="943"/>
            <w:shd w:fill="FFF2CC" w:color="auto" w:val="clear"/>
            <w:tcMar>
              <w:top w:type="dxa" w:w="60"/>
              <w:left w:type="dxa" w:w="90"/>
              <w:bottom w:type="dxa" w:w="60"/>
              <w:right w:type="dxa" w:w="90"/>
            </w:tcMar>
          </w:tcPr>
          <w:p>
            <w:pPr>
              <w:spacing w:after="0"/>
              <w:jc w:val="right"/>
            </w:pPr>
            <w:r>
              <w:rPr>
                <w:b w:val="false"/>
                <w:bCs w:val="false"/>
                <w:sz w:val="18"/>
                <w:szCs w:val="18"/>
              </w:rPr>
              <w:t xml:space="preserve">+30.8%</w:t>
            </w:r>
          </w:p>
        </w:tc>
        <w:tc>
          <w:tcPr>
            <w:tcW w:type="dxa" w:w="1048"/>
            <w:shd w:fill="FFF2CC" w:color="auto" w:val="clear"/>
            <w:tcMar>
              <w:top w:type="dxa" w:w="60"/>
              <w:left w:type="dxa" w:w="90"/>
              <w:bottom w:type="dxa" w:w="60"/>
              <w:right w:type="dxa" w:w="90"/>
            </w:tcMar>
          </w:tcPr>
          <w:p>
            <w:pPr>
              <w:spacing w:after="0"/>
              <w:jc w:val="right"/>
            </w:pPr>
            <w:r>
              <w:rPr>
                <w:b w:val="false"/>
                <w:bCs w:val="false"/>
                <w:sz w:val="18"/>
                <w:szCs w:val="18"/>
              </w:rPr>
              <w:t xml:space="preserve">+142%</w:t>
            </w:r>
          </w:p>
        </w:tc>
        <w:tc>
          <w:tcPr>
            <w:tcW w:type="dxa" w:w="1152"/>
            <w:shd w:fill="FFF2CC" w:color="auto" w:val="clear"/>
            <w:tcMar>
              <w:top w:type="dxa" w:w="60"/>
              <w:left w:type="dxa" w:w="90"/>
              <w:bottom w:type="dxa" w:w="60"/>
              <w:right w:type="dxa" w:w="90"/>
            </w:tcMar>
          </w:tcPr>
          <w:p>
            <w:pPr>
              <w:spacing w:after="0"/>
              <w:jc w:val="right"/>
            </w:pPr>
            <w:r>
              <w:rPr>
                <w:b w:val="false"/>
                <w:bCs w:val="false"/>
                <w:sz w:val="18"/>
                <w:szCs w:val="18"/>
              </w:rPr>
              <w:t xml:space="preserve">49.4</w:t>
            </w:r>
          </w:p>
        </w:tc>
        <w:tc>
          <w:tcPr>
            <w:tcW w:type="dxa" w:w="733"/>
            <w:shd w:fill="FFF2CC" w:color="auto" w:val="clear"/>
            <w:tcMar>
              <w:top w:type="dxa" w:w="60"/>
              <w:left w:type="dxa" w:w="90"/>
              <w:bottom w:type="dxa" w:w="60"/>
              <w:right w:type="dxa" w:w="90"/>
            </w:tcMar>
          </w:tcPr>
          <w:p>
            <w:pPr>
              <w:spacing w:after="0"/>
              <w:jc w:val="right"/>
            </w:pPr>
            <w:r>
              <w:rPr>
                <w:b w:val="false"/>
                <w:bCs w:val="false"/>
                <w:sz w:val="18"/>
                <w:szCs w:val="18"/>
              </w:rPr>
              <w:t xml:space="preserve">23</w:t>
            </w:r>
          </w:p>
        </w:tc>
        <w:tc>
          <w:tcPr>
            <w:tcW w:type="dxa" w:w="1048"/>
            <w:shd w:fill="FFF2CC" w:color="auto" w:val="clear"/>
            <w:tcMar>
              <w:top w:type="dxa" w:w="60"/>
              <w:left w:type="dxa" w:w="90"/>
              <w:bottom w:type="dxa" w:w="60"/>
              <w:right w:type="dxa" w:w="90"/>
            </w:tcMar>
          </w:tcPr>
          <w:p>
            <w:pPr>
              <w:spacing w:after="0"/>
              <w:jc w:val="left"/>
            </w:pPr>
            <w:r>
              <w:rPr>
                <w:b w:val="false"/>
                <w:bCs w:val="false"/>
                <w:sz w:val="18"/>
                <w:szCs w:val="18"/>
              </w:rPr>
              <w:t xml:space="preserve">Reserve</w:t>
            </w: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16</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VOLTAMP</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+18.3%</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+8.0%</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+15%</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24.8</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34</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17</w:t>
            </w:r>
          </w:p>
        </w:tc>
        <w:tc>
          <w:tcPr>
            <w:tcW w:type="dxa" w:w="1676"/>
            <w:tcMar>
              <w:top w:type="dxa" w:w="60"/>
              <w:left w:type="dxa" w:w="90"/>
              <w:bottom w:type="dxa" w:w="60"/>
              <w:right w:type="dxa" w:w="90"/>
            </w:tcMar>
          </w:tcPr>
          <w:p>
            <w:pPr>
              <w:spacing w:after="0"/>
              <w:jc w:val="left"/>
            </w:pPr>
            <w:r>
              <w:rPr>
                <w:b w:val="false"/>
                <w:bCs w:val="false"/>
                <w:sz w:val="18"/>
                <w:szCs w:val="18"/>
              </w:rPr>
              <w:t xml:space="preserve">TEXRAIL</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+15.2%</w:t>
            </w:r>
          </w:p>
        </w:tc>
        <w:tc>
          <w:tcPr>
            <w:tcW w:type="dxa" w:w="943"/>
            <w:tcMar>
              <w:top w:type="dxa" w:w="60"/>
              <w:left w:type="dxa" w:w="90"/>
              <w:bottom w:type="dxa" w:w="60"/>
              <w:right w:type="dxa" w:w="90"/>
            </w:tcMar>
          </w:tcPr>
          <w:p>
            <w:pPr>
              <w:spacing w:after="0"/>
              <w:jc w:val="right"/>
            </w:pPr>
            <w:r>
              <w:rPr>
                <w:b w:val="false"/>
                <w:bCs w:val="false"/>
                <w:sz w:val="18"/>
                <w:szCs w:val="18"/>
              </w:rPr>
              <w:t xml:space="preserve">+18.6%</w:t>
            </w:r>
          </w:p>
        </w:tc>
        <w:tc>
          <w:tcPr>
            <w:tcW w:type="dxa" w:w="1048"/>
            <w:tcMar>
              <w:top w:type="dxa" w:w="60"/>
              <w:left w:type="dxa" w:w="90"/>
              <w:bottom w:type="dxa" w:w="60"/>
              <w:right w:type="dxa" w:w="90"/>
            </w:tcMar>
          </w:tcPr>
          <w:p>
            <w:pPr>
              <w:spacing w:after="0"/>
              <w:jc w:val="right"/>
            </w:pPr>
            <w:r>
              <w:rPr>
                <w:b w:val="false"/>
                <w:bCs w:val="false"/>
                <w:sz w:val="18"/>
                <w:szCs w:val="18"/>
              </w:rPr>
              <w:t xml:space="preserve">+67%</w:t>
            </w:r>
          </w:p>
        </w:tc>
        <w:tc>
          <w:tcPr>
            <w:tcW w:type="dxa" w:w="1152"/>
            <w:tcMar>
              <w:top w:type="dxa" w:w="60"/>
              <w:left w:type="dxa" w:w="90"/>
              <w:bottom w:type="dxa" w:w="60"/>
              <w:right w:type="dxa" w:w="90"/>
            </w:tcMar>
          </w:tcPr>
          <w:p>
            <w:pPr>
              <w:spacing w:after="0"/>
              <w:jc w:val="right"/>
            </w:pPr>
            <w:r>
              <w:rPr>
                <w:b w:val="false"/>
                <w:bCs w:val="false"/>
                <w:sz w:val="18"/>
                <w:szCs w:val="18"/>
              </w:rPr>
              <w:t xml:space="preserve">17.8</w:t>
            </w:r>
          </w:p>
        </w:tc>
        <w:tc>
          <w:tcPr>
            <w:tcW w:type="dxa" w:w="733"/>
            <w:tcMar>
              <w:top w:type="dxa" w:w="60"/>
              <w:left w:type="dxa" w:w="90"/>
              <w:bottom w:type="dxa" w:w="60"/>
              <w:right w:type="dxa" w:w="90"/>
            </w:tcMar>
          </w:tcPr>
          <w:p>
            <w:pPr>
              <w:spacing w:after="0"/>
              <w:jc w:val="right"/>
            </w:pPr>
            <w:r>
              <w:rPr>
                <w:b w:val="false"/>
                <w:bCs w:val="false"/>
                <w:sz w:val="18"/>
                <w:szCs w:val="18"/>
              </w:rPr>
              <w:t xml:space="preserve">24</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18</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CEIGALL</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+14.3%</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-1.3%</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+18%</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11.9</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21</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19</w:t>
            </w:r>
          </w:p>
        </w:tc>
        <w:tc>
          <w:tcPr>
            <w:tcW w:type="dxa" w:w="1676"/>
            <w:tcMar>
              <w:top w:type="dxa" w:w="60"/>
              <w:left w:type="dxa" w:w="90"/>
              <w:bottom w:type="dxa" w:w="60"/>
              <w:right w:type="dxa" w:w="90"/>
            </w:tcMar>
          </w:tcPr>
          <w:p>
            <w:pPr>
              <w:spacing w:after="0"/>
              <w:jc w:val="left"/>
            </w:pPr>
            <w:r>
              <w:rPr>
                <w:b w:val="false"/>
                <w:bCs w:val="false"/>
                <w:sz w:val="18"/>
                <w:szCs w:val="18"/>
              </w:rPr>
              <w:t xml:space="preserve">USHAMART</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+14.1%</w:t>
            </w:r>
          </w:p>
        </w:tc>
        <w:tc>
          <w:tcPr>
            <w:tcW w:type="dxa" w:w="943"/>
            <w:tcMar>
              <w:top w:type="dxa" w:w="60"/>
              <w:left w:type="dxa" w:w="90"/>
              <w:bottom w:type="dxa" w:w="60"/>
              <w:right w:type="dxa" w:w="90"/>
            </w:tcMar>
          </w:tcPr>
          <w:p>
            <w:pPr>
              <w:spacing w:after="0"/>
              <w:jc w:val="right"/>
            </w:pPr>
            <w:r>
              <w:rPr>
                <w:b w:val="false"/>
                <w:bCs w:val="false"/>
                <w:sz w:val="18"/>
                <w:szCs w:val="18"/>
              </w:rPr>
              <w:t xml:space="preserve">+8.8%</w:t>
            </w:r>
          </w:p>
        </w:tc>
        <w:tc>
          <w:tcPr>
            <w:tcW w:type="dxa" w:w="1048"/>
            <w:tcMar>
              <w:top w:type="dxa" w:w="60"/>
              <w:left w:type="dxa" w:w="90"/>
              <w:bottom w:type="dxa" w:w="60"/>
              <w:right w:type="dxa" w:w="90"/>
            </w:tcMar>
          </w:tcPr>
          <w:p>
            <w:pPr>
              <w:spacing w:after="0"/>
              <w:jc w:val="right"/>
            </w:pPr>
            <w:r>
              <w:rPr>
                <w:b w:val="false"/>
                <w:bCs w:val="false"/>
                <w:sz w:val="18"/>
                <w:szCs w:val="18"/>
              </w:rPr>
              <w:t xml:space="preserve">+41%</w:t>
            </w:r>
          </w:p>
        </w:tc>
        <w:tc>
          <w:tcPr>
            <w:tcW w:type="dxa" w:w="1152"/>
            <w:tcMar>
              <w:top w:type="dxa" w:w="60"/>
              <w:left w:type="dxa" w:w="90"/>
              <w:bottom w:type="dxa" w:w="60"/>
              <w:right w:type="dxa" w:w="90"/>
            </w:tcMar>
          </w:tcPr>
          <w:p>
            <w:pPr>
              <w:spacing w:after="0"/>
              <w:jc w:val="right"/>
            </w:pPr>
            <w:r>
              <w:rPr>
                <w:b w:val="false"/>
                <w:bCs w:val="false"/>
                <w:sz w:val="18"/>
                <w:szCs w:val="18"/>
              </w:rPr>
              <w:t xml:space="preserve">21.1</w:t>
            </w:r>
          </w:p>
        </w:tc>
        <w:tc>
          <w:tcPr>
            <w:tcW w:type="dxa" w:w="733"/>
            <w:tcMar>
              <w:top w:type="dxa" w:w="60"/>
              <w:left w:type="dxa" w:w="90"/>
              <w:bottom w:type="dxa" w:w="60"/>
              <w:right w:type="dxa" w:w="90"/>
            </w:tcMar>
          </w:tcPr>
          <w:p>
            <w:pPr>
              <w:spacing w:after="0"/>
              <w:jc w:val="right"/>
            </w:pPr>
            <w:r>
              <w:rPr>
                <w:b w:val="false"/>
                <w:bCs w:val="false"/>
                <w:sz w:val="18"/>
                <w:szCs w:val="18"/>
              </w:rPr>
              <w:t xml:space="preserve">29</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20</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GMMPFAUDLR</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+9.9%</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+91.6%</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+114%</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10.6</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54</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21</w:t>
            </w:r>
          </w:p>
        </w:tc>
        <w:tc>
          <w:tcPr>
            <w:tcW w:type="dxa" w:w="1676"/>
            <w:tcMar>
              <w:top w:type="dxa" w:w="60"/>
              <w:left w:type="dxa" w:w="90"/>
              <w:bottom w:type="dxa" w:w="60"/>
              <w:right w:type="dxa" w:w="90"/>
            </w:tcMar>
          </w:tcPr>
          <w:p>
            <w:pPr>
              <w:spacing w:after="0"/>
              <w:jc w:val="left"/>
            </w:pPr>
            <w:r>
              <w:rPr>
                <w:b w:val="false"/>
                <w:bCs w:val="false"/>
                <w:sz w:val="18"/>
                <w:szCs w:val="18"/>
              </w:rPr>
              <w:t xml:space="preserve">ENRIN</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+9.3%</w:t>
            </w:r>
          </w:p>
        </w:tc>
        <w:tc>
          <w:tcPr>
            <w:tcW w:type="dxa" w:w="943"/>
            <w:tcMar>
              <w:top w:type="dxa" w:w="60"/>
              <w:left w:type="dxa" w:w="90"/>
              <w:bottom w:type="dxa" w:w="60"/>
              <w:right w:type="dxa" w:w="90"/>
            </w:tcMar>
          </w:tcPr>
          <w:p>
            <w:pPr>
              <w:spacing w:after="0"/>
              <w:jc w:val="right"/>
            </w:pPr>
            <w:r>
              <w:rPr>
                <w:b w:val="false"/>
                <w:bCs w:val="false"/>
                <w:sz w:val="18"/>
                <w:szCs w:val="18"/>
              </w:rPr>
              <w:t xml:space="preserve">-5.8%</w:t>
            </w:r>
          </w:p>
        </w:tc>
        <w:tc>
          <w:tcPr>
            <w:tcW w:type="dxa" w:w="1048"/>
            <w:tcMar>
              <w:top w:type="dxa" w:w="60"/>
              <w:left w:type="dxa" w:w="90"/>
              <w:bottom w:type="dxa" w:w="60"/>
              <w:right w:type="dxa" w:w="90"/>
            </w:tcMar>
          </w:tcPr>
          <w:p>
            <w:pPr>
              <w:spacing w:after="0"/>
              <w:jc w:val="right"/>
            </w:pPr>
            <w:r>
              <w:rPr>
                <w:b w:val="false"/>
                <w:bCs w:val="false"/>
                <w:sz w:val="18"/>
                <w:szCs w:val="18"/>
              </w:rPr>
              <w:t xml:space="preserve">+68%</w:t>
            </w:r>
          </w:p>
        </w:tc>
        <w:tc>
          <w:tcPr>
            <w:tcW w:type="dxa" w:w="1152"/>
            <w:tcMar>
              <w:top w:type="dxa" w:w="60"/>
              <w:left w:type="dxa" w:w="90"/>
              <w:bottom w:type="dxa" w:w="60"/>
              <w:right w:type="dxa" w:w="90"/>
            </w:tcMar>
          </w:tcPr>
          <w:p>
            <w:pPr>
              <w:spacing w:after="0"/>
              <w:jc w:val="right"/>
            </w:pPr>
            <w:r>
              <w:rPr>
                <w:b w:val="false"/>
                <w:bCs w:val="false"/>
                <w:sz w:val="18"/>
                <w:szCs w:val="18"/>
              </w:rPr>
              <w:t xml:space="preserve">125.1</w:t>
            </w:r>
          </w:p>
        </w:tc>
        <w:tc>
          <w:tcPr>
            <w:tcW w:type="dxa" w:w="733"/>
            <w:tcMar>
              <w:top w:type="dxa" w:w="60"/>
              <w:left w:type="dxa" w:w="90"/>
              <w:bottom w:type="dxa" w:w="60"/>
              <w:right w:type="dxa" w:w="90"/>
            </w:tcMar>
          </w:tcPr>
          <w:p>
            <w:pPr>
              <w:spacing w:after="0"/>
              <w:jc w:val="right"/>
            </w:pPr>
            <w:r>
              <w:rPr>
                <w:b w:val="false"/>
                <w:bCs w:val="false"/>
                <w:sz w:val="18"/>
                <w:szCs w:val="18"/>
              </w:rPr>
              <w:t xml:space="preserve">77</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22</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GRAPHITE</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+8.2%</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+35.3%</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+28%</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59.5</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73</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23</w:t>
            </w:r>
          </w:p>
        </w:tc>
        <w:tc>
          <w:tcPr>
            <w:tcW w:type="dxa" w:w="1676"/>
            <w:tcMar>
              <w:top w:type="dxa" w:w="60"/>
              <w:left w:type="dxa" w:w="90"/>
              <w:bottom w:type="dxa" w:w="60"/>
              <w:right w:type="dxa" w:w="90"/>
            </w:tcMar>
          </w:tcPr>
          <w:p>
            <w:pPr>
              <w:spacing w:after="0"/>
              <w:jc w:val="left"/>
            </w:pPr>
            <w:r>
              <w:rPr>
                <w:b w:val="false"/>
                <w:bCs w:val="false"/>
                <w:sz w:val="18"/>
                <w:szCs w:val="18"/>
              </w:rPr>
              <w:t xml:space="preserve">MAHSEAMLES</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+4.4%</w:t>
            </w:r>
          </w:p>
        </w:tc>
        <w:tc>
          <w:tcPr>
            <w:tcW w:type="dxa" w:w="943"/>
            <w:tcMar>
              <w:top w:type="dxa" w:w="60"/>
              <w:left w:type="dxa" w:w="90"/>
              <w:bottom w:type="dxa" w:w="60"/>
              <w:right w:type="dxa" w:w="90"/>
            </w:tcMar>
          </w:tcPr>
          <w:p>
            <w:pPr>
              <w:spacing w:after="0"/>
              <w:jc w:val="right"/>
            </w:pPr>
            <w:r>
              <w:rPr>
                <w:b w:val="false"/>
                <w:bCs w:val="false"/>
                <w:sz w:val="18"/>
                <w:szCs w:val="18"/>
              </w:rPr>
              <w:t xml:space="preserve">+17.3%</w:t>
            </w:r>
          </w:p>
        </w:tc>
        <w:tc>
          <w:tcPr>
            <w:tcW w:type="dxa" w:w="1048"/>
            <w:tcMar>
              <w:top w:type="dxa" w:w="60"/>
              <w:left w:type="dxa" w:w="90"/>
              <w:bottom w:type="dxa" w:w="60"/>
              <w:right w:type="dxa" w:w="90"/>
            </w:tcMar>
          </w:tcPr>
          <w:p>
            <w:pPr>
              <w:spacing w:after="0"/>
              <w:jc w:val="right"/>
            </w:pPr>
            <w:r>
              <w:rPr>
                <w:b w:val="false"/>
                <w:bCs w:val="false"/>
                <w:sz w:val="18"/>
                <w:szCs w:val="18"/>
              </w:rPr>
              <w:t xml:space="preserve">+16%</w:t>
            </w:r>
          </w:p>
        </w:tc>
        <w:tc>
          <w:tcPr>
            <w:tcW w:type="dxa" w:w="1152"/>
            <w:tcMar>
              <w:top w:type="dxa" w:w="60"/>
              <w:left w:type="dxa" w:w="90"/>
              <w:bottom w:type="dxa" w:w="60"/>
              <w:right w:type="dxa" w:w="90"/>
            </w:tcMar>
          </w:tcPr>
          <w:p>
            <w:pPr>
              <w:spacing w:after="0"/>
              <w:jc w:val="right"/>
            </w:pPr>
            <w:r>
              <w:rPr>
                <w:b w:val="false"/>
                <w:bCs w:val="false"/>
                <w:sz w:val="18"/>
                <w:szCs w:val="18"/>
              </w:rPr>
              <w:t xml:space="preserve">8.5</w:t>
            </w:r>
          </w:p>
        </w:tc>
        <w:tc>
          <w:tcPr>
            <w:tcW w:type="dxa" w:w="733"/>
            <w:tcMar>
              <w:top w:type="dxa" w:w="60"/>
              <w:left w:type="dxa" w:w="90"/>
              <w:bottom w:type="dxa" w:w="60"/>
              <w:right w:type="dxa" w:w="90"/>
            </w:tcMar>
          </w:tcPr>
          <w:p>
            <w:pPr>
              <w:spacing w:after="0"/>
              <w:jc w:val="right"/>
            </w:pPr>
            <w:r>
              <w:rPr>
                <w:b w:val="false"/>
                <w:bCs w:val="false"/>
                <w:sz w:val="18"/>
                <w:szCs w:val="18"/>
              </w:rPr>
              <w:t xml:space="preserve">13</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24</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NUVOCO</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Cement</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+1.0%</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+12.0%</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+20%</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9.9</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29</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25</w:t>
            </w:r>
          </w:p>
        </w:tc>
        <w:tc>
          <w:tcPr>
            <w:tcW w:type="dxa" w:w="1676"/>
            <w:tcMar>
              <w:top w:type="dxa" w:w="60"/>
              <w:left w:type="dxa" w:w="90"/>
              <w:bottom w:type="dxa" w:w="60"/>
              <w:right w:type="dxa" w:w="90"/>
            </w:tcMar>
          </w:tcPr>
          <w:p>
            <w:pPr>
              <w:spacing w:after="0"/>
              <w:jc w:val="left"/>
            </w:pPr>
            <w:r>
              <w:rPr>
                <w:b w:val="false"/>
                <w:bCs w:val="false"/>
                <w:sz w:val="18"/>
                <w:szCs w:val="18"/>
              </w:rPr>
              <w:t xml:space="preserve">APLAPOLLO</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0.0%</w:t>
            </w:r>
          </w:p>
        </w:tc>
        <w:tc>
          <w:tcPr>
            <w:tcW w:type="dxa" w:w="943"/>
            <w:tcMar>
              <w:top w:type="dxa" w:w="60"/>
              <w:left w:type="dxa" w:w="90"/>
              <w:bottom w:type="dxa" w:w="60"/>
              <w:right w:type="dxa" w:w="90"/>
            </w:tcMar>
          </w:tcPr>
          <w:p>
            <w:pPr>
              <w:spacing w:after="0"/>
              <w:jc w:val="right"/>
            </w:pPr>
            <w:r>
              <w:rPr>
                <w:b w:val="false"/>
                <w:bCs w:val="false"/>
                <w:sz w:val="18"/>
                <w:szCs w:val="18"/>
              </w:rPr>
              <w:t xml:space="preserve">+25.6%</w:t>
            </w:r>
          </w:p>
        </w:tc>
        <w:tc>
          <w:tcPr>
            <w:tcW w:type="dxa" w:w="1048"/>
            <w:tcMar>
              <w:top w:type="dxa" w:w="60"/>
              <w:left w:type="dxa" w:w="90"/>
              <w:bottom w:type="dxa" w:w="60"/>
              <w:right w:type="dxa" w:w="90"/>
            </w:tcMar>
          </w:tcPr>
          <w:p>
            <w:pPr>
              <w:spacing w:after="0"/>
              <w:jc w:val="right"/>
            </w:pPr>
            <w:r>
              <w:rPr>
                <w:b w:val="false"/>
                <w:bCs w:val="false"/>
                <w:sz w:val="18"/>
                <w:szCs w:val="18"/>
              </w:rPr>
              <w:t xml:space="preserve">+11%</w:t>
            </w:r>
          </w:p>
        </w:tc>
        <w:tc>
          <w:tcPr>
            <w:tcW w:type="dxa" w:w="1152"/>
            <w:tcMar>
              <w:top w:type="dxa" w:w="60"/>
              <w:left w:type="dxa" w:w="90"/>
              <w:bottom w:type="dxa" w:w="60"/>
              <w:right w:type="dxa" w:w="90"/>
            </w:tcMar>
          </w:tcPr>
          <w:p>
            <w:pPr>
              <w:spacing w:after="0"/>
              <w:jc w:val="right"/>
            </w:pPr>
            <w:r>
              <w:rPr>
                <w:b w:val="false"/>
                <w:bCs w:val="false"/>
                <w:sz w:val="18"/>
                <w:szCs w:val="18"/>
              </w:rPr>
              <w:t xml:space="preserve">104.9</w:t>
            </w:r>
          </w:p>
        </w:tc>
        <w:tc>
          <w:tcPr>
            <w:tcW w:type="dxa" w:w="733"/>
            <w:tcMar>
              <w:top w:type="dxa" w:w="60"/>
              <w:left w:type="dxa" w:w="90"/>
              <w:bottom w:type="dxa" w:w="60"/>
              <w:right w:type="dxa" w:w="90"/>
            </w:tcMar>
          </w:tcPr>
          <w:p>
            <w:pPr>
              <w:spacing w:after="0"/>
              <w:jc w:val="right"/>
            </w:pPr>
            <w:r>
              <w:rPr>
                <w:b w:val="false"/>
                <w:bCs w:val="false"/>
                <w:sz w:val="18"/>
                <w:szCs w:val="18"/>
              </w:rPr>
              <w:t xml:space="preserve">50</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26</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WAAREERTL</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-4.3%</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-16.1%</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10.8</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17</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27</w:t>
            </w:r>
          </w:p>
        </w:tc>
        <w:tc>
          <w:tcPr>
            <w:tcW w:type="dxa" w:w="1676"/>
            <w:tcMar>
              <w:top w:type="dxa" w:w="60"/>
              <w:left w:type="dxa" w:w="90"/>
              <w:bottom w:type="dxa" w:w="60"/>
              <w:right w:type="dxa" w:w="90"/>
            </w:tcMar>
          </w:tcPr>
          <w:p>
            <w:pPr>
              <w:spacing w:after="0"/>
              <w:jc w:val="left"/>
            </w:pPr>
            <w:r>
              <w:rPr>
                <w:b w:val="false"/>
                <w:bCs w:val="false"/>
                <w:sz w:val="18"/>
                <w:szCs w:val="18"/>
              </w:rPr>
              <w:t xml:space="preserve">RHIM</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-5.2%</w:t>
            </w:r>
          </w:p>
        </w:tc>
        <w:tc>
          <w:tcPr>
            <w:tcW w:type="dxa" w:w="943"/>
            <w:tcMar>
              <w:top w:type="dxa" w:w="60"/>
              <w:left w:type="dxa" w:w="90"/>
              <w:bottom w:type="dxa" w:w="60"/>
              <w:right w:type="dxa" w:w="90"/>
            </w:tcMar>
          </w:tcPr>
          <w:p>
            <w:pPr>
              <w:spacing w:after="0"/>
              <w:jc w:val="right"/>
            </w:pPr>
            <w:r>
              <w:rPr>
                <w:b w:val="false"/>
                <w:bCs w:val="false"/>
                <w:sz w:val="18"/>
                <w:szCs w:val="18"/>
              </w:rPr>
              <w:t xml:space="preserve">+5.3%</w:t>
            </w:r>
          </w:p>
        </w:tc>
        <w:tc>
          <w:tcPr>
            <w:tcW w:type="dxa" w:w="1048"/>
            <w:tcMar>
              <w:top w:type="dxa" w:w="60"/>
              <w:left w:type="dxa" w:w="90"/>
              <w:bottom w:type="dxa" w:w="60"/>
              <w:right w:type="dxa" w:w="90"/>
            </w:tcMar>
          </w:tcPr>
          <w:p>
            <w:pPr>
              <w:spacing w:after="0"/>
              <w:jc w:val="right"/>
            </w:pPr>
            <w:r>
              <w:rPr>
                <w:b w:val="false"/>
                <w:bCs w:val="false"/>
                <w:sz w:val="18"/>
                <w:szCs w:val="18"/>
              </w:rPr>
              <w:t xml:space="preserve">+83%</w:t>
            </w:r>
          </w:p>
        </w:tc>
        <w:tc>
          <w:tcPr>
            <w:tcW w:type="dxa" w:w="1152"/>
            <w:tcMar>
              <w:top w:type="dxa" w:w="60"/>
              <w:left w:type="dxa" w:w="90"/>
              <w:bottom w:type="dxa" w:w="60"/>
              <w:right w:type="dxa" w:w="90"/>
            </w:tcMar>
          </w:tcPr>
          <w:p>
            <w:pPr>
              <w:spacing w:after="0"/>
              <w:jc w:val="right"/>
            </w:pPr>
            <w:r>
              <w:rPr>
                <w:b w:val="false"/>
                <w:bCs w:val="false"/>
                <w:sz w:val="18"/>
                <w:szCs w:val="18"/>
              </w:rPr>
              <w:t xml:space="preserve">14.9</w:t>
            </w:r>
          </w:p>
        </w:tc>
        <w:tc>
          <w:tcPr>
            <w:tcW w:type="dxa" w:w="733"/>
            <w:tcMar>
              <w:top w:type="dxa" w:w="60"/>
              <w:left w:type="dxa" w:w="90"/>
              <w:bottom w:type="dxa" w:w="60"/>
              <w:right w:type="dxa" w:w="90"/>
            </w:tcMar>
          </w:tcPr>
          <w:p>
            <w:pPr>
              <w:spacing w:after="0"/>
              <w:jc w:val="right"/>
            </w:pPr>
            <w:r>
              <w:rPr>
                <w:b w:val="false"/>
                <w:bCs w:val="false"/>
                <w:sz w:val="18"/>
                <w:szCs w:val="18"/>
              </w:rPr>
              <w:t xml:space="preserve">43</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28</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SKFINDIA</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-5.6%</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-5.3%</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6.5</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51</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29</w:t>
            </w:r>
          </w:p>
        </w:tc>
        <w:tc>
          <w:tcPr>
            <w:tcW w:type="dxa" w:w="1676"/>
            <w:tcMar>
              <w:top w:type="dxa" w:w="60"/>
              <w:left w:type="dxa" w:w="90"/>
              <w:bottom w:type="dxa" w:w="60"/>
              <w:right w:type="dxa" w:w="90"/>
            </w:tcMar>
          </w:tcPr>
          <w:p>
            <w:pPr>
              <w:spacing w:after="0"/>
              <w:jc w:val="left"/>
            </w:pPr>
            <w:r>
              <w:rPr>
                <w:b w:val="false"/>
                <w:bCs w:val="false"/>
                <w:sz w:val="18"/>
                <w:szCs w:val="18"/>
              </w:rPr>
              <w:t xml:space="preserve">NHPC</w:t>
            </w:r>
          </w:p>
        </w:tc>
        <w:tc>
          <w:tcPr>
            <w:tcW w:type="dxa" w:w="1571"/>
            <w:tcMar>
              <w:top w:type="dxa" w:w="60"/>
              <w:left w:type="dxa" w:w="90"/>
              <w:bottom w:type="dxa" w:w="60"/>
              <w:right w:type="dxa" w:w="90"/>
            </w:tcMar>
          </w:tcPr>
          <w:p>
            <w:pPr>
              <w:spacing w:after="0"/>
              <w:jc w:val="left"/>
            </w:pPr>
            <w:r>
              <w:rPr>
                <w:b w:val="false"/>
                <w:bCs w:val="false"/>
                <w:sz w:val="18"/>
                <w:szCs w:val="18"/>
              </w:rPr>
              <w:t xml:space="preserve">Power</w:t>
            </w:r>
          </w:p>
        </w:tc>
        <w:tc>
          <w:tcPr>
            <w:tcW w:type="dxa" w:w="943"/>
            <w:tcMar>
              <w:top w:type="dxa" w:w="60"/>
              <w:left w:type="dxa" w:w="90"/>
              <w:bottom w:type="dxa" w:w="60"/>
              <w:right w:type="dxa" w:w="90"/>
            </w:tcMar>
          </w:tcPr>
          <w:p>
            <w:pPr>
              <w:spacing w:after="0"/>
              <w:jc w:val="right"/>
            </w:pPr>
            <w:r>
              <w:rPr>
                <w:b w:val="false"/>
                <w:bCs w:val="false"/>
                <w:sz w:val="18"/>
                <w:szCs w:val="18"/>
              </w:rPr>
              <w:t xml:space="preserve">-12.7%</w:t>
            </w:r>
          </w:p>
        </w:tc>
        <w:tc>
          <w:tcPr>
            <w:tcW w:type="dxa" w:w="943"/>
            <w:tcMar>
              <w:top w:type="dxa" w:w="60"/>
              <w:left w:type="dxa" w:w="90"/>
              <w:bottom w:type="dxa" w:w="60"/>
              <w:right w:type="dxa" w:w="90"/>
            </w:tcMar>
          </w:tcPr>
          <w:p>
            <w:pPr>
              <w:spacing w:after="0"/>
              <w:jc w:val="right"/>
            </w:pPr>
            <w:r>
              <w:rPr>
                <w:b w:val="false"/>
                <w:bCs w:val="false"/>
                <w:sz w:val="18"/>
                <w:szCs w:val="18"/>
              </w:rPr>
              <w:t xml:space="preserve">-5.1%</w:t>
            </w:r>
          </w:p>
        </w:tc>
        <w:tc>
          <w:tcPr>
            <w:tcW w:type="dxa" w:w="1048"/>
            <w:tcMar>
              <w:top w:type="dxa" w:w="60"/>
              <w:left w:type="dxa" w:w="90"/>
              <w:bottom w:type="dxa" w:w="60"/>
              <w:right w:type="dxa" w:w="90"/>
            </w:tcMar>
          </w:tcPr>
          <w:p>
            <w:pPr>
              <w:spacing w:after="0"/>
              <w:jc w:val="right"/>
            </w:pPr>
            <w:r>
              <w:rPr>
                <w:b w:val="false"/>
                <w:bCs w:val="false"/>
                <w:sz w:val="18"/>
                <w:szCs w:val="18"/>
              </w:rPr>
              <w:t xml:space="preserve">+3%</w:t>
            </w:r>
          </w:p>
        </w:tc>
        <w:tc>
          <w:tcPr>
            <w:tcW w:type="dxa" w:w="1152"/>
            <w:tcMar>
              <w:top w:type="dxa" w:w="60"/>
              <w:left w:type="dxa" w:w="90"/>
              <w:bottom w:type="dxa" w:w="60"/>
              <w:right w:type="dxa" w:w="90"/>
            </w:tcMar>
          </w:tcPr>
          <w:p>
            <w:pPr>
              <w:spacing w:after="0"/>
              <w:jc w:val="right"/>
            </w:pPr>
            <w:r>
              <w:rPr>
                <w:b w:val="false"/>
                <w:bCs w:val="false"/>
                <w:sz w:val="18"/>
                <w:szCs w:val="18"/>
              </w:rPr>
              <w:t xml:space="preserve">68.9</w:t>
            </w:r>
          </w:p>
        </w:tc>
        <w:tc>
          <w:tcPr>
            <w:tcW w:type="dxa" w:w="733"/>
            <w:tcMar>
              <w:top w:type="dxa" w:w="60"/>
              <w:left w:type="dxa" w:w="90"/>
              <w:bottom w:type="dxa" w:w="60"/>
              <w:right w:type="dxa" w:w="90"/>
            </w:tcMar>
          </w:tcPr>
          <w:p>
            <w:pPr>
              <w:spacing w:after="0"/>
              <w:jc w:val="right"/>
            </w:pPr>
            <w:r>
              <w:rPr>
                <w:b w:val="false"/>
                <w:bCs w:val="false"/>
                <w:sz w:val="18"/>
                <w:szCs w:val="18"/>
              </w:rPr>
              <w:t xml:space="preserve">20</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30</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TIMKEN</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-13.8%</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-6.4%</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+10%</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10.6</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59</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31</w:t>
            </w:r>
          </w:p>
        </w:tc>
        <w:tc>
          <w:tcPr>
            <w:tcW w:type="dxa" w:w="1676"/>
            <w:tcMar>
              <w:top w:type="dxa" w:w="60"/>
              <w:left w:type="dxa" w:w="90"/>
              <w:bottom w:type="dxa" w:w="60"/>
              <w:right w:type="dxa" w:w="90"/>
            </w:tcMar>
          </w:tcPr>
          <w:p>
            <w:pPr>
              <w:spacing w:after="0"/>
              <w:jc w:val="left"/>
            </w:pPr>
            <w:r>
              <w:rPr>
                <w:b w:val="false"/>
                <w:bCs w:val="false"/>
                <w:sz w:val="18"/>
                <w:szCs w:val="18"/>
              </w:rPr>
              <w:t xml:space="preserve">SUPREMEIND</w:t>
            </w:r>
          </w:p>
        </w:tc>
        <w:tc>
          <w:tcPr>
            <w:tcW w:type="dxa" w:w="1571"/>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tcMar>
              <w:top w:type="dxa" w:w="60"/>
              <w:left w:type="dxa" w:w="90"/>
              <w:bottom w:type="dxa" w:w="60"/>
              <w:right w:type="dxa" w:w="90"/>
            </w:tcMar>
          </w:tcPr>
          <w:p>
            <w:pPr>
              <w:spacing w:after="0"/>
              <w:jc w:val="right"/>
            </w:pPr>
            <w:r>
              <w:rPr>
                <w:b w:val="false"/>
                <w:bCs w:val="false"/>
                <w:sz w:val="18"/>
                <w:szCs w:val="18"/>
              </w:rPr>
              <w:t xml:space="preserve">-18.4%</w:t>
            </w:r>
          </w:p>
        </w:tc>
        <w:tc>
          <w:tcPr>
            <w:tcW w:type="dxa" w:w="943"/>
            <w:tcMar>
              <w:top w:type="dxa" w:w="60"/>
              <w:left w:type="dxa" w:w="90"/>
              <w:bottom w:type="dxa" w:w="60"/>
              <w:right w:type="dxa" w:w="90"/>
            </w:tcMar>
          </w:tcPr>
          <w:p>
            <w:pPr>
              <w:spacing w:after="0"/>
              <w:jc w:val="right"/>
            </w:pPr>
            <w:r>
              <w:rPr>
                <w:b w:val="false"/>
                <w:bCs w:val="false"/>
                <w:sz w:val="18"/>
                <w:szCs w:val="18"/>
              </w:rPr>
              <w:t xml:space="preserve">+12.9%</w:t>
            </w:r>
          </w:p>
        </w:tc>
        <w:tc>
          <w:tcPr>
            <w:tcW w:type="dxa" w:w="1048"/>
            <w:tcMar>
              <w:top w:type="dxa" w:w="60"/>
              <w:left w:type="dxa" w:w="90"/>
              <w:bottom w:type="dxa" w:w="60"/>
              <w:right w:type="dxa" w:w="90"/>
            </w:tcMar>
          </w:tcPr>
          <w:p>
            <w:pPr>
              <w:spacing w:after="0"/>
              <w:jc w:val="right"/>
            </w:pPr>
            <w:r>
              <w:rPr>
                <w:b w:val="false"/>
                <w:bCs w:val="false"/>
                <w:sz w:val="18"/>
                <w:szCs w:val="18"/>
              </w:rPr>
              <w:t xml:space="preserve">+39%</w:t>
            </w:r>
          </w:p>
        </w:tc>
        <w:tc>
          <w:tcPr>
            <w:tcW w:type="dxa" w:w="1152"/>
            <w:tcMar>
              <w:top w:type="dxa" w:w="60"/>
              <w:left w:type="dxa" w:w="90"/>
              <w:bottom w:type="dxa" w:w="60"/>
              <w:right w:type="dxa" w:w="90"/>
            </w:tcMar>
          </w:tcPr>
          <w:p>
            <w:pPr>
              <w:spacing w:after="0"/>
              <w:jc w:val="right"/>
            </w:pPr>
            <w:r>
              <w:rPr>
                <w:b w:val="false"/>
                <w:bCs w:val="false"/>
                <w:sz w:val="18"/>
                <w:szCs w:val="18"/>
              </w:rPr>
              <w:t xml:space="preserve">56.1</w:t>
            </w:r>
          </w:p>
        </w:tc>
        <w:tc>
          <w:tcPr>
            <w:tcW w:type="dxa" w:w="733"/>
            <w:tcMar>
              <w:top w:type="dxa" w:w="60"/>
              <w:left w:type="dxa" w:w="90"/>
              <w:bottom w:type="dxa" w:w="60"/>
              <w:right w:type="dxa" w:w="90"/>
            </w:tcMar>
          </w:tcPr>
          <w:p>
            <w:pPr>
              <w:spacing w:after="0"/>
              <w:jc w:val="right"/>
            </w:pPr>
            <w:r>
              <w:rPr>
                <w:b w:val="false"/>
                <w:bCs w:val="false"/>
                <w:sz w:val="18"/>
                <w:szCs w:val="18"/>
              </w:rPr>
              <w:t xml:space="preserve">44</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TRANSRAILL</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Capital Goods</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-19.0%</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-7.7%</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+2%</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15.1</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15</w:t>
            </w:r>
          </w:p>
        </w:tc>
        <w:tc>
          <w:tcPr>
            <w:tcW w:type="dxa" w:w="1048"/>
            <w:shd w:fill="F2F2F2" w:color="auto" w:val="clear"/>
            <w:tcMar>
              <w:top w:type="dxa" w:w="60"/>
              <w:left w:type="dxa" w:w="90"/>
              <w:bottom w:type="dxa" w:w="60"/>
              <w:right w:type="dxa" w:w="90"/>
            </w:tcMar>
          </w:tcPr>
          <w:p>
            <w:pPr>
              <w:spacing w:after="0"/>
              <w:jc w:val="left"/>
            </w:pPr>
          </w:p>
        </w:tc>
      </w:tr>
      <w:tr>
        <w:tc>
          <w:tcPr>
            <w:tcW w:type="dxa" w:w="524"/>
            <w:tcMar>
              <w:top w:type="dxa" w:w="60"/>
              <w:left w:type="dxa" w:w="90"/>
              <w:bottom w:type="dxa" w:w="60"/>
              <w:right w:type="dxa" w:w="90"/>
            </w:tcMar>
          </w:tcPr>
          <w:p>
            <w:pPr>
              <w:spacing w:after="0"/>
              <w:jc w:val="right"/>
            </w:pPr>
            <w:r>
              <w:rPr>
                <w:b w:val="false"/>
                <w:bCs w:val="false"/>
                <w:sz w:val="18"/>
                <w:szCs w:val="18"/>
              </w:rPr>
              <w:t xml:space="preserve">33</w:t>
            </w:r>
          </w:p>
        </w:tc>
        <w:tc>
          <w:tcPr>
            <w:tcW w:type="dxa" w:w="1676"/>
            <w:tcMar>
              <w:top w:type="dxa" w:w="60"/>
              <w:left w:type="dxa" w:w="90"/>
              <w:bottom w:type="dxa" w:w="60"/>
              <w:right w:type="dxa" w:w="90"/>
            </w:tcMar>
          </w:tcPr>
          <w:p>
            <w:pPr>
              <w:spacing w:after="0"/>
              <w:jc w:val="left"/>
            </w:pPr>
            <w:r>
              <w:rPr>
                <w:b w:val="false"/>
                <w:bCs w:val="false"/>
                <w:sz w:val="18"/>
                <w:szCs w:val="18"/>
              </w:rPr>
              <w:t xml:space="preserve">NTPCGREEN</w:t>
            </w:r>
          </w:p>
        </w:tc>
        <w:tc>
          <w:tcPr>
            <w:tcW w:type="dxa" w:w="1571"/>
            <w:tcMar>
              <w:top w:type="dxa" w:w="60"/>
              <w:left w:type="dxa" w:w="90"/>
              <w:bottom w:type="dxa" w:w="60"/>
              <w:right w:type="dxa" w:w="90"/>
            </w:tcMar>
          </w:tcPr>
          <w:p>
            <w:pPr>
              <w:spacing w:after="0"/>
              <w:jc w:val="left"/>
            </w:pPr>
            <w:r>
              <w:rPr>
                <w:b w:val="false"/>
                <w:bCs w:val="false"/>
                <w:sz w:val="18"/>
                <w:szCs w:val="18"/>
              </w:rPr>
              <w:t xml:space="preserve">Power</w:t>
            </w:r>
          </w:p>
        </w:tc>
        <w:tc>
          <w:tcPr>
            <w:tcW w:type="dxa" w:w="943"/>
            <w:tcMar>
              <w:top w:type="dxa" w:w="60"/>
              <w:left w:type="dxa" w:w="90"/>
              <w:bottom w:type="dxa" w:w="60"/>
              <w:right w:type="dxa" w:w="90"/>
            </w:tcMar>
          </w:tcPr>
          <w:p>
            <w:pPr>
              <w:spacing w:after="0"/>
              <w:jc w:val="right"/>
            </w:pPr>
            <w:r>
              <w:rPr>
                <w:b w:val="false"/>
                <w:bCs w:val="false"/>
                <w:sz w:val="18"/>
                <w:szCs w:val="18"/>
              </w:rPr>
              <w:t xml:space="preserve">-19.8%</w:t>
            </w:r>
          </w:p>
        </w:tc>
        <w:tc>
          <w:tcPr>
            <w:tcW w:type="dxa" w:w="943"/>
            <w:tcMar>
              <w:top w:type="dxa" w:w="60"/>
              <w:left w:type="dxa" w:w="90"/>
              <w:bottom w:type="dxa" w:w="60"/>
              <w:right w:type="dxa" w:w="90"/>
            </w:tcMar>
          </w:tcPr>
          <w:p>
            <w:pPr>
              <w:spacing w:after="0"/>
              <w:jc w:val="right"/>
            </w:pPr>
            <w:r>
              <w:rPr>
                <w:b w:val="false"/>
                <w:bCs w:val="false"/>
                <w:sz w:val="18"/>
                <w:szCs w:val="18"/>
              </w:rPr>
              <w:t xml:space="preserve">+0.7%</w:t>
            </w:r>
          </w:p>
        </w:tc>
        <w:tc>
          <w:tcPr>
            <w:tcW w:type="dxa" w:w="1048"/>
            <w:tcMar>
              <w:top w:type="dxa" w:w="60"/>
              <w:left w:type="dxa" w:w="90"/>
              <w:bottom w:type="dxa" w:w="60"/>
              <w:right w:type="dxa" w:w="90"/>
            </w:tcMar>
          </w:tcPr>
          <w:p>
            <w:pPr>
              <w:spacing w:after="0"/>
              <w:jc w:val="right"/>
            </w:pPr>
            <w:r>
              <w:rPr>
                <w:b w:val="false"/>
                <w:bCs w:val="false"/>
                <w:sz w:val="18"/>
                <w:szCs w:val="18"/>
              </w:rPr>
              <w:t xml:space="preserve">+38%</w:t>
            </w:r>
          </w:p>
        </w:tc>
        <w:tc>
          <w:tcPr>
            <w:tcW w:type="dxa" w:w="1152"/>
            <w:tcMar>
              <w:top w:type="dxa" w:w="60"/>
              <w:left w:type="dxa" w:w="90"/>
              <w:bottom w:type="dxa" w:w="60"/>
              <w:right w:type="dxa" w:w="90"/>
            </w:tcMar>
          </w:tcPr>
          <w:p>
            <w:pPr>
              <w:spacing w:after="0"/>
              <w:jc w:val="right"/>
            </w:pPr>
            <w:r>
              <w:rPr>
                <w:b w:val="false"/>
                <w:bCs w:val="false"/>
                <w:sz w:val="18"/>
                <w:szCs w:val="18"/>
              </w:rPr>
              <w:t xml:space="preserve">21.5</w:t>
            </w:r>
          </w:p>
        </w:tc>
        <w:tc>
          <w:tcPr>
            <w:tcW w:type="dxa" w:w="733"/>
            <w:tcMar>
              <w:top w:type="dxa" w:w="60"/>
              <w:left w:type="dxa" w:w="90"/>
              <w:bottom w:type="dxa" w:w="60"/>
              <w:right w:type="dxa" w:w="90"/>
            </w:tcMar>
          </w:tcPr>
          <w:p>
            <w:pPr>
              <w:spacing w:after="0"/>
              <w:jc w:val="right"/>
            </w:pPr>
            <w:r>
              <w:rPr>
                <w:b w:val="false"/>
                <w:bCs w:val="false"/>
                <w:sz w:val="18"/>
                <w:szCs w:val="18"/>
              </w:rPr>
              <w:t xml:space="preserve">130</w:t>
            </w:r>
          </w:p>
        </w:tc>
        <w:tc>
          <w:tcPr>
            <w:tcW w:type="dxa" w:w="1048"/>
            <w:tcMar>
              <w:top w:type="dxa" w:w="60"/>
              <w:left w:type="dxa" w:w="90"/>
              <w:bottom w:type="dxa" w:w="60"/>
              <w:right w:type="dxa" w:w="90"/>
            </w:tcMar>
          </w:tcPr>
          <w:p>
            <w:pPr>
              <w:spacing w:after="0"/>
              <w:jc w:val="left"/>
            </w:pPr>
          </w:p>
        </w:tc>
      </w:tr>
      <w:tr>
        <w:tc>
          <w:tcPr>
            <w:tcW w:type="dxa" w:w="524"/>
            <w:shd w:fill="F2F2F2" w:color="auto" w:val="clear"/>
            <w:tcMar>
              <w:top w:type="dxa" w:w="60"/>
              <w:left w:type="dxa" w:w="90"/>
              <w:bottom w:type="dxa" w:w="60"/>
              <w:right w:type="dxa" w:w="90"/>
            </w:tcMar>
          </w:tcPr>
          <w:p>
            <w:pPr>
              <w:spacing w:after="0"/>
              <w:jc w:val="right"/>
            </w:pPr>
            <w:r>
              <w:rPr>
                <w:b w:val="false"/>
                <w:bCs w:val="false"/>
                <w:sz w:val="18"/>
                <w:szCs w:val="18"/>
              </w:rPr>
              <w:t xml:space="preserve">34</w:t>
            </w:r>
          </w:p>
        </w:tc>
        <w:tc>
          <w:tcPr>
            <w:tcW w:type="dxa" w:w="1676"/>
            <w:shd w:fill="F2F2F2" w:color="auto" w:val="clear"/>
            <w:tcMar>
              <w:top w:type="dxa" w:w="60"/>
              <w:left w:type="dxa" w:w="90"/>
              <w:bottom w:type="dxa" w:w="60"/>
              <w:right w:type="dxa" w:w="90"/>
            </w:tcMar>
          </w:tcPr>
          <w:p>
            <w:pPr>
              <w:spacing w:after="0"/>
              <w:jc w:val="left"/>
            </w:pPr>
            <w:r>
              <w:rPr>
                <w:b w:val="false"/>
                <w:bCs w:val="false"/>
                <w:sz w:val="18"/>
                <w:szCs w:val="18"/>
              </w:rPr>
              <w:t xml:space="preserve">TATAPOWER</w:t>
            </w:r>
          </w:p>
        </w:tc>
        <w:tc>
          <w:tcPr>
            <w:tcW w:type="dxa" w:w="1571"/>
            <w:shd w:fill="F2F2F2" w:color="auto" w:val="clear"/>
            <w:tcMar>
              <w:top w:type="dxa" w:w="60"/>
              <w:left w:type="dxa" w:w="90"/>
              <w:bottom w:type="dxa" w:w="60"/>
              <w:right w:type="dxa" w:w="90"/>
            </w:tcMar>
          </w:tcPr>
          <w:p>
            <w:pPr>
              <w:spacing w:after="0"/>
              <w:jc w:val="left"/>
            </w:pPr>
            <w:r>
              <w:rPr>
                <w:b w:val="false"/>
                <w:bCs w:val="false"/>
                <w:sz w:val="18"/>
                <w:szCs w:val="18"/>
              </w:rPr>
              <w:t xml:space="preserve">Power</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-19.9%</w:t>
            </w:r>
          </w:p>
        </w:tc>
        <w:tc>
          <w:tcPr>
            <w:tcW w:type="dxa" w:w="943"/>
            <w:shd w:fill="F2F2F2" w:color="auto" w:val="clear"/>
            <w:tcMar>
              <w:top w:type="dxa" w:w="60"/>
              <w:left w:type="dxa" w:w="90"/>
              <w:bottom w:type="dxa" w:w="60"/>
              <w:right w:type="dxa" w:w="90"/>
            </w:tcMar>
          </w:tcPr>
          <w:p>
            <w:pPr>
              <w:spacing w:after="0"/>
              <w:jc w:val="right"/>
            </w:pPr>
            <w:r>
              <w:rPr>
                <w:b w:val="false"/>
                <w:bCs w:val="false"/>
                <w:sz w:val="18"/>
                <w:szCs w:val="18"/>
              </w:rPr>
              <w:t xml:space="preserve">-3.2%</w:t>
            </w:r>
          </w:p>
        </w:tc>
        <w:tc>
          <w:tcPr>
            <w:tcW w:type="dxa" w:w="1048"/>
            <w:shd w:fill="F2F2F2" w:color="auto" w:val="clear"/>
            <w:tcMar>
              <w:top w:type="dxa" w:w="60"/>
              <w:left w:type="dxa" w:w="90"/>
              <w:bottom w:type="dxa" w:w="60"/>
              <w:right w:type="dxa" w:w="90"/>
            </w:tcMar>
          </w:tcPr>
          <w:p>
            <w:pPr>
              <w:spacing w:after="0"/>
              <w:jc w:val="right"/>
            </w:pPr>
            <w:r>
              <w:rPr>
                <w:b w:val="false"/>
                <w:bCs w:val="false"/>
                <w:sz w:val="18"/>
                <w:szCs w:val="18"/>
              </w:rPr>
              <w:t xml:space="preserve">+11%</w:t>
            </w:r>
          </w:p>
        </w:tc>
        <w:tc>
          <w:tcPr>
            <w:tcW w:type="dxa" w:w="1152"/>
            <w:shd w:fill="F2F2F2" w:color="auto" w:val="clear"/>
            <w:tcMar>
              <w:top w:type="dxa" w:w="60"/>
              <w:left w:type="dxa" w:w="90"/>
              <w:bottom w:type="dxa" w:w="60"/>
              <w:right w:type="dxa" w:w="90"/>
            </w:tcMar>
          </w:tcPr>
          <w:p>
            <w:pPr>
              <w:spacing w:after="0"/>
              <w:jc w:val="right"/>
            </w:pPr>
            <w:r>
              <w:rPr>
                <w:b w:val="false"/>
                <w:bCs w:val="false"/>
                <w:sz w:val="18"/>
                <w:szCs w:val="18"/>
              </w:rPr>
              <w:t xml:space="preserve">135.1</w:t>
            </w:r>
          </w:p>
        </w:tc>
        <w:tc>
          <w:tcPr>
            <w:tcW w:type="dxa" w:w="733"/>
            <w:shd w:fill="F2F2F2" w:color="auto" w:val="clear"/>
            <w:tcMar>
              <w:top w:type="dxa" w:w="60"/>
              <w:left w:type="dxa" w:w="90"/>
              <w:bottom w:type="dxa" w:w="60"/>
              <w:right w:type="dxa" w:w="90"/>
            </w:tcMar>
          </w:tcPr>
          <w:p>
            <w:pPr>
              <w:spacing w:after="0"/>
              <w:jc w:val="right"/>
            </w:pPr>
            <w:r>
              <w:rPr>
                <w:b w:val="false"/>
                <w:bCs w:val="false"/>
                <w:sz w:val="18"/>
                <w:szCs w:val="18"/>
              </w:rPr>
              <w:t xml:space="preserve">30</w:t>
            </w:r>
          </w:p>
        </w:tc>
        <w:tc>
          <w:tcPr>
            <w:tcW w:type="dxa" w:w="1048"/>
            <w:shd w:fill="F2F2F2" w:color="auto" w:val="clear"/>
            <w:tcMar>
              <w:top w:type="dxa" w:w="60"/>
              <w:left w:type="dxa" w:w="90"/>
              <w:bottom w:type="dxa" w:w="60"/>
              <w:right w:type="dxa" w:w="90"/>
            </w:tcMar>
          </w:tcPr>
          <w:p>
            <w:pPr>
              <w:spacing w:after="0"/>
              <w:jc w:val="left"/>
            </w:pPr>
          </w:p>
        </w:tc>
      </w:tr>
    </w:tbl>
    <w:p>
      <w:pPr>
        <w:spacing w:after="120"/>
      </w:pPr>
    </w:p>
    <w:p>
      <w:pPr>
        <w:pStyle w:val="Heading1"/>
        <w:pageBreakBefore/>
      </w:pPr>
      <w:r>
        <w:t xml:space="preserve">Appendix B. Where everything lives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shd w:fill="1F3864" w:color="auto" w:val="clear"/>
            <w:tcMar>
              <w:top w:type="dxa" w:w="60"/>
              <w:left w:type="dxa" w:w="90"/>
              <w:bottom w:type="dxa" w:w="60"/>
              <w:right w:type="dxa" w:w="90"/>
            </w:tcMar>
          </w:tcPr>
          <w:p>
            <w:pPr>
              <w:spacing w:after="0"/>
              <w:jc w:val="left"/>
            </w:pPr>
            <w:r>
              <w:rPr>
                <w:b/>
                <w:bCs/>
                <w:color w:val="FFFFFF"/>
                <w:sz w:val="18"/>
                <w:szCs w:val="18"/>
              </w:rPr>
              <w:t xml:space="preserve">Item</w:t>
            </w:r>
          </w:p>
        </w:tc>
        <w:tc>
          <w:tcPr>
            <w:tcW w:type="dxa" w:w="6265"/>
            <w:shd w:fill="1F3864" w:color="auto" w:val="clear"/>
            <w:tcMar>
              <w:top w:type="dxa" w:w="60"/>
              <w:left w:type="dxa" w:w="90"/>
              <w:bottom w:type="dxa" w:w="60"/>
              <w:right w:type="dxa" w:w="90"/>
            </w:tcMar>
          </w:tcPr>
          <w:p>
            <w:pPr>
              <w:spacing w:after="0"/>
              <w:jc w:val="left"/>
            </w:pPr>
            <w:r>
              <w:rPr>
                <w:b/>
                <w:bCs/>
                <w:color w:val="FFFFFF"/>
                <w:sz w:val="18"/>
                <w:szCs w:val="18"/>
              </w:rPr>
              <w:t xml:space="preserve">Location</w:t>
            </w:r>
          </w:p>
        </w:tc>
      </w:tr>
      <w:tr>
        <w:tc>
          <w:tcPr>
            <w:tcW w:type="dxa" w:w="3373"/>
            <w:tcMar>
              <w:top w:type="dxa" w:w="60"/>
              <w:left w:type="dxa" w:w="90"/>
              <w:bottom w:type="dxa" w:w="60"/>
              <w:right w:type="dxa" w:w="90"/>
            </w:tcMar>
          </w:tcPr>
          <w:p>
            <w:pPr>
              <w:spacing w:after="0"/>
              <w:jc w:val="left"/>
            </w:pPr>
            <w:r>
              <w:rPr>
                <w:b w:val="false"/>
                <w:bCs w:val="false"/>
                <w:sz w:val="18"/>
                <w:szCs w:val="18"/>
              </w:rPr>
              <w:t xml:space="preserve">The frozen ranking</w:t>
            </w:r>
          </w:p>
        </w:tc>
        <w:tc>
          <w:tcPr>
            <w:tcW w:type="dxa" w:w="6265"/>
            <w:tcMar>
              <w:top w:type="dxa" w:w="60"/>
              <w:left w:type="dxa" w:w="90"/>
              <w:bottom w:type="dxa" w:w="60"/>
              <w:right w:type="dxa" w:w="90"/>
            </w:tcMar>
          </w:tcPr>
          <w:p>
            <w:pPr>
              <w:spacing w:after="0"/>
              <w:jc w:val="left"/>
            </w:pPr>
            <w:r>
              <w:rPr>
                <w:b w:val="false"/>
                <w:bCs w:val="false"/>
                <w:sz w:val="18"/>
                <w:szCs w:val="18"/>
              </w:rPr>
              <w:t xml:space="preserve">data/locked/selection_ranking_2026-09-25.csv</w:t>
            </w:r>
          </w:p>
        </w:tc>
      </w:tr>
      <w:tr>
        <w:tc>
          <w:tcPr>
            <w:tcW w:type="dxa" w:w="3373"/>
            <w:shd w:fill="F2F2F2" w:color="auto" w:val="clear"/>
            <w:tcMar>
              <w:top w:type="dxa" w:w="60"/>
              <w:left w:type="dxa" w:w="90"/>
              <w:bottom w:type="dxa" w:w="60"/>
              <w:right w:type="dxa" w:w="90"/>
            </w:tcMar>
          </w:tcPr>
          <w:p>
            <w:pPr>
              <w:spacing w:after="0"/>
              <w:jc w:val="left"/>
            </w:pPr>
            <w:r>
              <w:rPr>
                <w:b w:val="false"/>
                <w:bCs w:val="false"/>
                <w:sz w:val="18"/>
                <w:szCs w:val="18"/>
              </w:rPr>
              <w:t xml:space="preserve">The rules and the list</w:t>
            </w:r>
          </w:p>
        </w:tc>
        <w:tc>
          <w:tcPr>
            <w:tcW w:type="dxa" w:w="6265"/>
            <w:shd w:fill="F2F2F2" w:color="auto" w:val="clear"/>
            <w:tcMar>
              <w:top w:type="dxa" w:w="60"/>
              <w:left w:type="dxa" w:w="90"/>
              <w:bottom w:type="dxa" w:w="60"/>
              <w:right w:type="dxa" w:w="90"/>
            </w:tcMar>
          </w:tcPr>
          <w:p>
            <w:pPr>
              <w:spacing w:after="0"/>
              <w:jc w:val="left"/>
            </w:pPr>
            <w:r>
              <w:rPr>
                <w:b w:val="false"/>
                <w:bCs w:val="false"/>
                <w:sz w:val="18"/>
                <w:szCs w:val="18"/>
              </w:rPr>
              <w:t xml:space="preserve">config.py (LOCKED_PORTFOLIO_SYMBOLS, THEME_EXCLUSIONS, BUSINESS_FOCUS_NOTES, thresholds)</w:t>
            </w:r>
          </w:p>
        </w:tc>
      </w:tr>
      <w:tr>
        <w:tc>
          <w:tcPr>
            <w:tcW w:type="dxa" w:w="3373"/>
            <w:tcMar>
              <w:top w:type="dxa" w:w="60"/>
              <w:left w:type="dxa" w:w="90"/>
              <w:bottom w:type="dxa" w:w="60"/>
              <w:right w:type="dxa" w:w="90"/>
            </w:tcMar>
          </w:tcPr>
          <w:p>
            <w:pPr>
              <w:spacing w:after="0"/>
              <w:jc w:val="left"/>
            </w:pPr>
            <w:r>
              <w:rPr>
                <w:b w:val="false"/>
                <w:bCs w:val="false"/>
                <w:sz w:val="18"/>
                <w:szCs w:val="18"/>
              </w:rPr>
              <w:t xml:space="preserve">Review tables (every stock, every rule)</w:t>
            </w:r>
          </w:p>
        </w:tc>
        <w:tc>
          <w:tcPr>
            <w:tcW w:type="dxa" w:w="6265"/>
            <w:tcMar>
              <w:top w:type="dxa" w:w="60"/>
              <w:left w:type="dxa" w:w="90"/>
              <w:bottom w:type="dxa" w:w="60"/>
              <w:right w:type="dxa" w:w="90"/>
            </w:tcMar>
          </w:tcPr>
          <w:p>
            <w:pPr>
              <w:spacing w:after="0"/>
              <w:jc w:val="left"/>
            </w:pPr>
            <w:r>
              <w:rPr>
                <w:b w:val="false"/>
                <w:bCs w:val="false"/>
                <w:sz w:val="18"/>
                <w:szCs w:val="18"/>
              </w:rPr>
              <w:t xml:space="preserve">output/*_full_review_table.csv; output/selection_ranking.csv (live)</w:t>
            </w:r>
          </w:p>
        </w:tc>
      </w:tr>
      <w:tr>
        <w:tc>
          <w:tcPr>
            <w:tcW w:type="dxa" w:w="3373"/>
            <w:shd w:fill="F2F2F2" w:color="auto" w:val="clear"/>
            <w:tcMar>
              <w:top w:type="dxa" w:w="60"/>
              <w:left w:type="dxa" w:w="90"/>
              <w:bottom w:type="dxa" w:w="60"/>
              <w:right w:type="dxa" w:w="90"/>
            </w:tcMar>
          </w:tcPr>
          <w:p>
            <w:pPr>
              <w:spacing w:after="0"/>
              <w:jc w:val="left"/>
            </w:pPr>
            <w:r>
              <w:rPr>
                <w:b w:val="false"/>
                <w:bCs w:val="false"/>
                <w:sz w:val="18"/>
                <w:szCs w:val="18"/>
              </w:rPr>
              <w:t xml:space="preserve">Risk, weights, stops</w:t>
            </w:r>
          </w:p>
        </w:tc>
        <w:tc>
          <w:tcPr>
            <w:tcW w:type="dxa" w:w="6265"/>
            <w:shd w:fill="F2F2F2" w:color="auto" w:val="clear"/>
            <w:tcMar>
              <w:top w:type="dxa" w:w="60"/>
              <w:left w:type="dxa" w:w="90"/>
              <w:bottom w:type="dxa" w:w="60"/>
              <w:right w:type="dxa" w:w="90"/>
            </w:tcMar>
          </w:tcPr>
          <w:p>
            <w:pPr>
              <w:spacing w:after="0"/>
              <w:jc w:val="left"/>
            </w:pPr>
            <w:r>
              <w:rPr>
                <w:b w:val="false"/>
                <w:bCs w:val="false"/>
                <w:sz w:val="18"/>
                <w:szCs w:val="18"/>
              </w:rPr>
              <w:t xml:space="preserve">output/portfolio_risk_summary.csv</w:t>
            </w:r>
          </w:p>
        </w:tc>
      </w:tr>
      <w:tr>
        <w:tc>
          <w:tcPr>
            <w:tcW w:type="dxa" w:w="3373"/>
            <w:tcMar>
              <w:top w:type="dxa" w:w="60"/>
              <w:left w:type="dxa" w:w="90"/>
              <w:bottom w:type="dxa" w:w="60"/>
              <w:right w:type="dxa" w:w="90"/>
            </w:tcMar>
          </w:tcPr>
          <w:p>
            <w:pPr>
              <w:spacing w:after="0"/>
              <w:jc w:val="left"/>
            </w:pPr>
            <w:r>
              <w:rPr>
                <w:b w:val="false"/>
                <w:bCs w:val="false"/>
                <w:sz w:val="18"/>
                <w:szCs w:val="18"/>
              </w:rPr>
              <w:t xml:space="preserve">Regressions, CAPM, hedge</w:t>
            </w:r>
          </w:p>
        </w:tc>
        <w:tc>
          <w:tcPr>
            <w:tcW w:type="dxa" w:w="6265"/>
            <w:tcMar>
              <w:top w:type="dxa" w:w="60"/>
              <w:left w:type="dxa" w:w="90"/>
              <w:bottom w:type="dxa" w:w="60"/>
              <w:right w:type="dxa" w:w="90"/>
            </w:tcMar>
          </w:tcPr>
          <w:p>
            <w:pPr>
              <w:spacing w:after="0"/>
              <w:jc w:val="left"/>
            </w:pPr>
            <w:r>
              <w:rPr>
                <w:b w:val="false"/>
                <w:bCs w:val="false"/>
                <w:sz w:val="18"/>
                <w:szCs w:val="18"/>
              </w:rPr>
              <w:t xml:space="preserve">output/regression_*.csv, capm_expected_returns.csv, hedge_plan.csv</w:t>
            </w:r>
          </w:p>
        </w:tc>
      </w:tr>
      <w:tr>
        <w:tc>
          <w:tcPr>
            <w:tcW w:type="dxa" w:w="3373"/>
            <w:shd w:fill="F2F2F2" w:color="auto" w:val="clear"/>
            <w:tcMar>
              <w:top w:type="dxa" w:w="60"/>
              <w:left w:type="dxa" w:w="90"/>
              <w:bottom w:type="dxa" w:w="60"/>
              <w:right w:type="dxa" w:w="90"/>
            </w:tcMar>
          </w:tcPr>
          <w:p>
            <w:pPr>
              <w:spacing w:after="0"/>
              <w:jc w:val="left"/>
            </w:pPr>
            <w:r>
              <w:rPr>
                <w:b w:val="false"/>
                <w:bCs w:val="false"/>
                <w:sz w:val="18"/>
                <w:szCs w:val="18"/>
              </w:rPr>
              <w:t xml:space="preserve">Studies</w:t>
            </w:r>
          </w:p>
        </w:tc>
        <w:tc>
          <w:tcPr>
            <w:tcW w:type="dxa" w:w="6265"/>
            <w:shd w:fill="F2F2F2" w:color="auto" w:val="clear"/>
            <w:tcMar>
              <w:top w:type="dxa" w:w="60"/>
              <w:left w:type="dxa" w:w="90"/>
              <w:bottom w:type="dxa" w:w="60"/>
              <w:right w:type="dxa" w:w="90"/>
            </w:tcMar>
          </w:tcPr>
          <w:p>
            <w:pPr>
              <w:spacing w:after="0"/>
              <w:jc w:val="left"/>
            </w:pPr>
            <w:r>
              <w:rPr>
                <w:b w:val="false"/>
                <w:bCs w:val="false"/>
                <w:sz w:val="18"/>
                <w:szCs w:val="18"/>
              </w:rPr>
              <w:t xml:space="preserve">research/momentum_study_results.md, conviction_study_results.md, signal_extensions_results.md, earnings_study_results.md, liquidity_study.py</w:t>
            </w:r>
          </w:p>
        </w:tc>
      </w:tr>
      <w:tr>
        <w:tc>
          <w:tcPr>
            <w:tcW w:type="dxa" w:w="3373"/>
            <w:tcMar>
              <w:top w:type="dxa" w:w="60"/>
              <w:left w:type="dxa" w:w="90"/>
              <w:bottom w:type="dxa" w:w="60"/>
              <w:right w:type="dxa" w:w="90"/>
            </w:tcMar>
          </w:tcPr>
          <w:p>
            <w:pPr>
              <w:spacing w:after="0"/>
              <w:jc w:val="left"/>
            </w:pPr>
            <w:r>
              <w:rPr>
                <w:b w:val="false"/>
                <w:bCs w:val="false"/>
                <w:sz w:val="18"/>
                <w:szCs w:val="18"/>
              </w:rPr>
              <w:t xml:space="preserve">Universe source</w:t>
            </w:r>
          </w:p>
        </w:tc>
        <w:tc>
          <w:tcPr>
            <w:tcW w:type="dxa" w:w="6265"/>
            <w:tcMar>
              <w:top w:type="dxa" w:w="60"/>
              <w:left w:type="dxa" w:w="90"/>
              <w:bottom w:type="dxa" w:w="60"/>
              <w:right w:type="dxa" w:w="90"/>
            </w:tcMar>
          </w:tcPr>
          <w:p>
            <w:pPr>
              <w:spacing w:after="0"/>
              <w:jc w:val="left"/>
            </w:pPr>
            <w:r>
              <w:rPr>
                <w:b w:val="false"/>
                <w:bCs w:val="false"/>
                <w:sz w:val="18"/>
                <w:szCs w:val="18"/>
              </w:rPr>
              <w:t xml:space="preserve">data/screener/ (Screener exports and SOURCE.md)</w:t>
            </w:r>
          </w:p>
        </w:tc>
      </w:tr>
      <w:tr>
        <w:tc>
          <w:tcPr>
            <w:tcW w:type="dxa" w:w="3373"/>
            <w:shd w:fill="F2F2F2" w:color="auto" w:val="clear"/>
            <w:tcMar>
              <w:top w:type="dxa" w:w="60"/>
              <w:left w:type="dxa" w:w="90"/>
              <w:bottom w:type="dxa" w:w="60"/>
              <w:right w:type="dxa" w:w="90"/>
            </w:tcMar>
          </w:tcPr>
          <w:p>
            <w:pPr>
              <w:spacing w:after="0"/>
              <w:jc w:val="left"/>
            </w:pPr>
            <w:r>
              <w:rPr>
                <w:b w:val="false"/>
                <w:bCs w:val="false"/>
                <w:sz w:val="18"/>
                <w:szCs w:val="18"/>
              </w:rPr>
              <w:t xml:space="preserve">Dashboard</w:t>
            </w:r>
          </w:p>
        </w:tc>
        <w:tc>
          <w:tcPr>
            <w:tcW w:type="dxa" w:w="6265"/>
            <w:shd w:fill="F2F2F2" w:color="auto" w:val="clear"/>
            <w:tcMar>
              <w:top w:type="dxa" w:w="60"/>
              <w:left w:type="dxa" w:w="90"/>
              <w:bottom w:type="dxa" w:w="60"/>
              <w:right w:type="dxa" w:w="90"/>
            </w:tcMar>
          </w:tcPr>
          <w:p>
            <w:pPr>
              <w:spacing w:after="0"/>
              <w:jc w:val="left"/>
            </w:pPr>
            <w:r>
              <w:rPr>
                <w:b w:val="false"/>
                <w:bCs w:val="false"/>
                <w:sz w:val="18"/>
                <w:szCs w:val="18"/>
              </w:rPr>
              <w:t xml:space="preserve">streamlit run app.py (or the shared web app)</w:t>
            </w:r>
          </w:p>
        </w:tc>
      </w:tr>
      <w:tr>
        <w:tc>
          <w:tcPr>
            <w:tcW w:type="dxa" w:w="3373"/>
            <w:tcMar>
              <w:top w:type="dxa" w:w="60"/>
              <w:left w:type="dxa" w:w="90"/>
              <w:bottom w:type="dxa" w:w="60"/>
              <w:right w:type="dxa" w:w="90"/>
            </w:tcMar>
          </w:tcPr>
          <w:p>
            <w:pPr>
              <w:spacing w:after="0"/>
              <w:jc w:val="left"/>
            </w:pPr>
            <w:r>
              <w:rPr>
                <w:b w:val="false"/>
                <w:bCs w:val="false"/>
                <w:sz w:val="18"/>
                <w:szCs w:val="18"/>
              </w:rPr>
              <w:t xml:space="preserve">TradingView</w:t>
            </w:r>
          </w:p>
        </w:tc>
        <w:tc>
          <w:tcPr>
            <w:tcW w:type="dxa" w:w="6265"/>
            <w:tcMar>
              <w:top w:type="dxa" w:w="60"/>
              <w:left w:type="dxa" w:w="90"/>
              <w:bottom w:type="dxa" w:w="60"/>
              <w:right w:type="dxa" w:w="90"/>
            </w:tcMar>
          </w:tcPr>
          <w:p>
            <w:pPr>
              <w:spacing w:after="0"/>
              <w:jc w:val="left"/>
            </w:pPr>
            <w:r>
              <w:rPr>
                <w:b w:val="false"/>
                <w:bCs w:val="false"/>
                <w:sz w:val="18"/>
                <w:szCs w:val="18"/>
              </w:rPr>
              <w:t xml:space="preserve">pine/capex_screen.pine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Capex &amp; Infra Portfolio · Defence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Brief: Capex &amp; Infrastructure Portfolio</dc:title>
  <dc:creator>Capex portfolio group</dc:creator>
  <cp:lastModifiedBy>Un-named</cp:lastModifiedBy>
  <cp:revision>1</cp:revision>
  <dcterms:created xsi:type="dcterms:W3CDTF">2026-09-27T17:23:12.663Z</dcterms:created>
  <dcterms:modified xsi:type="dcterms:W3CDTF">2026-09-27T17:23:12.663Z</dcterms:modified>
</cp:coreProperties>
</file>

<file path=docProps/custom.xml><?xml version="1.0" encoding="utf-8"?>
<Properties xmlns="http://schemas.openxmlformats.org/officeDocument/2006/custom-properties" xmlns:vt="http://schemas.openxmlformats.org/officeDocument/2006/docPropsVTypes"/>
</file>