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most of our holdings have a 20% daily price band, so even a full locked day on our largest position (15%) costs about 3% of the portfolio. The results calendar warns 7 days ahead so this is never a surprise.</w:t>
      </w:r>
    </w:p>
    <w:p>
      <w:pPr>
        <w:keepNext/>
        <w:spacing w:after="60" w:before="120"/>
      </w:pPr>
      <w:r>
        <w:rPr>
          <w:b/>
          <w:bCs/>
          <w:color w:val="1F3864"/>
        </w:rPr>
        <w:t xml:space="preserve">Q. </w:t>
      </w:r>
      <w:r>
        <w:rPr>
          <w:b/>
          <w:bCs/>
        </w:rPr>
        <w:t xml:space="preserve">Why 3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daily range; 3 ATR puts today's stops 13-17% below price. The multiple is a judgement (wide enough to survive ordinary weeks, tight enough to cap a loss at roughly a month of volatility), not an optimised number; we did not backtest alternatives.</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2026-09-28T04:53:39.078Z</dcterms:created>
  <dcterms:modified xsi:type="dcterms:W3CDTF">2026-09-28T04:53:39.078Z</dcterms:modified>
</cp:coreProperties>
</file>

<file path=docProps/custom.xml><?xml version="1.0" encoding="utf-8"?>
<Properties xmlns="http://schemas.openxmlformats.org/officeDocument/2006/custom-properties" xmlns:vt="http://schemas.openxmlformats.org/officeDocument/2006/docPropsVTypes"/>
</file>