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(and a fifth on sector quotas);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5x ATR stop adjusted to support, trailed (widened from 3x after a backtest);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Sector quotas (research/sector_quota_study.py)</w:t>
      </w:r>
    </w:p>
    <w:p>
      <w:pPr>
        <w:spacing w:after="120" w:line="276"/>
      </w:pPr>
      <w:r>
        <w:t xml:space="preserve">Written after the list was frozen, in answer to 'a three-pillar theme should hold all three pillars' (not pre-registered). Forcing one Cement and one Power stock into the top 8 trailed the plain ranking in both periods (−2.1 pp per quarter in 2021-23, −1.3 pp in 2024-26); balanced 3/3/2 pillars trailed by −2.6 and −1.1 pp. Neither is significant, but the direction is the same in both periods, the share of quarters beating the Nifty 500 fell out of sample (50% and 47% vs 57%), and the spread of outcomes narrowed only in 2021-23. Quotas cost return and did not reliably buy safety.</w:t>
      </w:r>
    </w:p>
    <w:p>
      <w:pPr>
        <w:pStyle w:val="Heading2"/>
      </w:pPr>
      <w:r>
        <w:t xml:space="preserve">5.6 Limitations you must be ready to state</w:t>
      </w:r>
    </w:p>
    <w:p>
      <w:pPr>
        <w:pStyle w:val="ListParagraph"/>
        <w:numPr>
          <w:ilvl w:val="0"/>
          <w:numId w:val="2"/>
        </w:numPr>
        <w:spacing w:after="60" w:line="264"/>
      </w:pPr>
      <w:r>
        <w:rPr>
          <w:b/>
          <w:bCs/>
        </w:rPr>
        <w:t xml:space="preserve">Survivorship bias:</w:t>
      </w:r>
      <w:r>
        <w:t xml:space="preserve"> the studies use today's universe. research/survivorship_study.py rebuilt it point in time (approximate market cap and liquidity on each date, from all 603 NSE companies in the exports): the old figures overstated the top 8 by about 3.1 pp per quarter (2021-23: +9.9 pp point in time vs +14.3 pp; 2024-26: +1.0 vs +2.7), but the ranking signal is as strong or stronger (rank IC 0.071 vs 0.053). Companies delisted since 2020 are still missing.</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23.1%</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28.6%</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25.7%</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25.7%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24.4%</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22.3%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22.5%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22.2%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+27%</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24</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-6%</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19</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+31%</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49</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₹2,178 (23.1%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0.92</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23%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₹1,213 (28.6%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0.93</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₹858 (25.7%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₹391 (25.7%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1.17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₹568 (24.4%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1.12</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₹443 (22.3%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₹13,784 (22.5%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₹345 (22.2%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0.85</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− 5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22.2-28.6% below price. </w:t>
      </w:r>
      <w:r>
        <w:rPr>
          <w:b/>
          <w:bCs/>
        </w:rPr>
        <w:t xml:space="preserve">Why 5 ATR (it was 3 until 28-Sep):</w:t>
      </w:r>
      <w:r>
        <w:t xml:space="preserve"> research/stop_rule_study.py replayed the rule on a point-in-time universe, 2021-2026, with next-day exits, the replacement rule and 0.25% trading costs. On these volatile mid-caps a 3-ATR trailing stop (~13%) sat inside ordinary noise: it fired on about 8 stocks a quarter and cost 3.3 pp per quarter against simply holding (t = −3.4), without improving the worst quarter. Wider stops cost less; 5 ATR trailing cost 1.4 pp and had the best worst quarter of all (−11.6 pp vs −18.0 pp holding). The brief requires a stop, so we keep one at the width that still caps a collapse.</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Measured and mostly corrected (research/survivorship_study.py): it inflated the top 8 by ~3 pp per quarter; point in time the rule still beat the Nifty 500 (+9.9 pp in 2021-23, +1.0 pp in 2024-26) and the signal was slightly stronger. Delisted companies remain a residual bias.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has no sector quotas. We tested quotas (research/sector_quota_study.py): one Cement + one Power in the top 8 trailed the pure ranking by 2.1 and 1.3 pp per quarter (2021-23, 2024-26), balanced 3/3/2 pillars by 2.6 and 1.1 pp, and neither lowered risk out of sample. The holdings are also less alike than the label suggests (average correlation 0.25).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Momentum portfolios rebalance monthly. Doesn't a 3-month buy-and-hold let the factor decay?</w:t>
      </w:r>
    </w:p>
    <w:p>
      <w:pPr>
        <w:spacing w:after="60" w:line="264"/>
        <w:ind w:left="360"/>
      </w:pPr>
      <w:r>
        <w:rPr>
          <w:b/>
          <w:bCs/>
          <w:color w:val="2E7D32"/>
        </w:rPr>
        <w:t xml:space="preserve">A. </w:t>
      </w:r>
      <w:r>
        <w:t xml:space="preserve">Our backtest already measures exactly that: the top 8 are picked once and held for 63 sessions with no rebalancing, and the outcome is their return over those 3 months. The figures we quote (hit rates, quintile spreads) include the decay. The mandate fixes the list after 5-Oct, so monthly rebalancing is not an option anyway; replacements happen only through stops.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stop (23% below)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A one-year sample covariance of 8 volatile mid-caps is noisy. Did you shrink it?</w:t>
      </w:r>
    </w:p>
    <w:p>
      <w:pPr>
        <w:spacing w:after="60" w:line="264"/>
        <w:ind w:left="360"/>
      </w:pPr>
      <w:r>
        <w:rPr>
          <w:b/>
          <w:bCs/>
          <w:color w:val="2E7D32"/>
        </w:rPr>
        <w:t xml:space="preserve">A. </w:t>
      </w:r>
      <w:r>
        <w:t xml:space="preserve">We tested it. Ledoit-Wolf shrinkage (towards a scaled identity; estimated intensity 0.14) moves no weight by more than 0.21 pp; a constant-correlation target moves them by at most 1.4 pp; estimating on each half-year separately moves them by at most 2.4 pp. ERC depends mainly on each stock's own volatility, which is estimated precisely, so the weights are robust to covariance noise.</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What if a stock opens locked at its lower circuit after results?</w:t>
      </w:r>
    </w:p>
    <w:p>
      <w:pPr>
        <w:spacing w:after="60" w:line="264"/>
        <w:ind w:left="360"/>
      </w:pPr>
      <w:r>
        <w:rPr>
          <w:b/>
          <w:bCs/>
          <w:color w:val="2E7D32"/>
        </w:rPr>
        <w:t xml:space="preserve">A. </w:t>
      </w:r>
      <w:r>
        <w:t xml:space="preserve">Then the stop cannot execute that day, true. Our stop is on the close, so we sell at the next session with buyers. The damage is bounded by sizing, not by the stop: a 20% fall on our largest position (15%) costs about 3% of the portfolio, and a narrower price band only spreads the fall over more days (we sell at the first session with buyers). The results calendar warns 7 days ahead so this is never a surprise.</w:t>
      </w:r>
    </w:p>
    <w:p>
      <w:pPr>
        <w:keepNext/>
        <w:spacing w:after="60" w:before="120"/>
      </w:pPr>
      <w:r>
        <w:rPr>
          <w:b/>
          <w:bCs/>
          <w:color w:val="1F3864"/>
        </w:rPr>
        <w:t xml:space="preserve">Q. </w:t>
      </w:r>
      <w:r>
        <w:rPr>
          <w:b/>
          <w:bCs/>
        </w:rPr>
        <w:t xml:space="preserve">Why 5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range; 5 ATR puts today's stops 22-29% below price. We tested widths (research/stop_rule_study.py): 3 ATR trailing fired on ~8 stocks a quarter and cost 3.3 pp per quarter vs holding; 4, 5 and 6 ATR cost 1.6, 1.4 and 0.9 pp. We chose 5, not the cheapest, because it had the best worst quarter (−11.6 pp). Choosing among tested widths is itself a mild data-mining risk, which we state.</w:t>
      </w:r>
    </w:p>
    <w:p>
      <w:pPr>
        <w:keepNext/>
        <w:spacing w:after="60" w:before="120"/>
      </w:pPr>
      <w:r>
        <w:rPr>
          <w:b/>
          <w:bCs/>
          <w:color w:val="1F3864"/>
        </w:rPr>
        <w:t xml:space="preserve">Q. </w:t>
      </w:r>
      <w:r>
        <w:rPr>
          <w:b/>
          <w:bCs/>
        </w:rPr>
        <w:t xml:space="preserve">Aren't stops 22-29% below price too wide to be stops?</w:t>
      </w:r>
    </w:p>
    <w:p>
      <w:pPr>
        <w:spacing w:after="60" w:line="264"/>
        <w:ind w:left="360"/>
      </w:pPr>
      <w:r>
        <w:rPr>
          <w:b/>
          <w:bCs/>
          <w:color w:val="2E7D32"/>
        </w:rPr>
        <w:t xml:space="preserve">A. </w:t>
      </w:r>
      <w:r>
        <w:t xml:space="preserve">They are wide by design: tighter stops on stocks this volatile sold good positions on ordinary dips and cost 3 pp a quarter in our backtest. The stop is there to cap a collapse (a stock that falls a quarter of its value has broken its trend), and a market-wide crash is covered by the puts. The most the stops let us lose if every stock hit its stop at once is about ₹23 L; a diversified portfolio would not see all eight fall that far together.</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5 × ATR(14) below the price (3 × until our stop backtest), moved just under a nearby support; trailed upward only. Currently 22.2-28.6%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5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5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2026-09-28T05:24:37.138Z</dcterms:created>
  <dcterms:modified xsi:type="dcterms:W3CDTF">2026-09-28T05:24:37.139Z</dcterms:modified>
</cp:coreProperties>
</file>

<file path=docProps/custom.xml><?xml version="1.0" encoding="utf-8"?>
<Properties xmlns="http://schemas.openxmlformats.org/officeDocument/2006/custom-properties" xmlns:vt="http://schemas.openxmlformats.org/officeDocument/2006/docPropsVTypes"/>
</file>