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11.3%, SBCL 12.7%, AEROFLEX 9.2%, TDPOWERSYS 11.2%, RAMRAT 14.4%,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(and a fifth on sector quotas);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5x ATR stop adjusted to support, trailed (widened from 3x after a backtest);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2"/>
      </w:pPr>
      <w:r>
        <w:t xml:space="preserve">3.5 Are we capturing the capex cycle? (the professor's test)</w:t>
      </w:r>
    </w:p>
    <w:p>
      <w:pPr>
        <w:spacing w:after="120" w:line="276"/>
      </w:pPr>
      <w:r>
        <w:t xml:space="preserve">The professor told us (29-Sep) that he does not mind which sectors, commodities or ETFs we hold; what he cares about is whether the portfolio captures the capex cycle. We answer it two ways: where the money our companies earn comes from, and how the portfolio actually moves.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Holding</w:t>
            </w: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Where the capex money reaches it</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WELCORP</w:t>
            </w:r>
          </w:p>
        </w:tc>
        <w:tc>
          <w:tcPr>
            <w:tcW w:type="dxa" w:w="7710"/>
            <w:tcMar>
              <w:top w:type="dxa" w:w="60"/>
              <w:left w:type="dxa" w:w="90"/>
              <w:bottom w:type="dxa" w:w="60"/>
              <w:right w:type="dxa" w:w="90"/>
            </w:tcMar>
          </w:tcPr>
          <w:p>
            <w:pPr>
              <w:spacing w:after="0"/>
              <w:jc w:val="left"/>
            </w:pPr>
            <w:r>
              <w:rPr>
                <w:b w:val="false"/>
                <w:bCs w:val="false"/>
                <w:sz w:val="18"/>
                <w:szCs w:val="18"/>
              </w:rPr>
              <w:t xml:space="preserve">Oil &amp; gas and water pipelines (line pipe): energy and water infrastructure</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Steel-plant refractories: new steel capacity, TMT for construction</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SBCL</w:t>
            </w:r>
          </w:p>
        </w:tc>
        <w:tc>
          <w:tcPr>
            <w:tcW w:type="dxa" w:w="7710"/>
            <w:tcMar>
              <w:top w:type="dxa" w:w="60"/>
              <w:left w:type="dxa" w:w="90"/>
              <w:bottom w:type="dxa" w:w="60"/>
              <w:right w:type="dxa" w:w="90"/>
            </w:tcMar>
          </w:tcPr>
          <w:p>
            <w:pPr>
              <w:spacing w:after="0"/>
              <w:jc w:val="left"/>
            </w:pPr>
            <w:r>
              <w:rPr>
                <w:b w:val="false"/>
                <w:bCs w:val="false"/>
                <w:sz w:val="18"/>
                <w:szCs w:val="18"/>
              </w:rPr>
              <w:t xml:space="preserve">Switchgear and smart-meter components: power distribution upgrade</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Flow hoses for process plants: industrial and oil &amp; gas capex</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710"/>
            <w:tcMar>
              <w:top w:type="dxa" w:w="60"/>
              <w:left w:type="dxa" w:w="90"/>
              <w:bottom w:type="dxa" w:w="60"/>
              <w:right w:type="dxa" w:w="90"/>
            </w:tcMar>
          </w:tcPr>
          <w:p>
            <w:pPr>
              <w:spacing w:after="0"/>
              <w:jc w:val="left"/>
            </w:pPr>
            <w:r>
              <w:rPr>
                <w:b w:val="false"/>
                <w:bCs w:val="false"/>
                <w:sz w:val="18"/>
                <w:szCs w:val="18"/>
              </w:rPr>
              <w:t xml:space="preserve">Generators and motors for power plants: generation capex</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Winding wires for motors and transformers: electrical equipment, grid</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APARINDS</w:t>
            </w:r>
          </w:p>
        </w:tc>
        <w:tc>
          <w:tcPr>
            <w:tcW w:type="dxa" w:w="7710"/>
            <w:tcMar>
              <w:top w:type="dxa" w:w="60"/>
              <w:left w:type="dxa" w:w="90"/>
              <w:bottom w:type="dxa" w:w="60"/>
              <w:right w:type="dxa" w:w="90"/>
            </w:tcMar>
          </w:tcPr>
          <w:p>
            <w:pPr>
              <w:spacing w:after="0"/>
              <w:jc w:val="left"/>
            </w:pPr>
            <w:r>
              <w:rPr>
                <w:b w:val="false"/>
                <w:bCs w:val="false"/>
                <w:sz w:val="18"/>
                <w:szCs w:val="18"/>
              </w:rPr>
              <w:t xml:space="preserve">Conductors, cables, transformer oils: transmission and distribution</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Renewable power producer: generation build-out (energy transition)</w:t>
            </w:r>
          </w:p>
        </w:tc>
      </w:tr>
    </w:tbl>
    <w:p>
      <w:pPr>
        <w:spacing w:after="120"/>
      </w:pPr>
    </w:p>
    <w:p>
      <w:pPr>
        <w:spacing w:after="120" w:line="276"/>
      </w:pPr>
      <w:r>
        <w:rPr>
          <w:b/>
          <w:bCs/>
        </w:rPr>
        <w:t xml:space="preserve">How the portfolio moves (capex_exposure.py, past year, daily).</w:t>
      </w:r>
      <w:r>
        <w:t xml:space="preserve"> Regressed on each benchmark in turn, it behaves most like our capex universe (all 157 universe stocks, equal weight: R² 0.68, beta 1.12), more than like the Nifty 500 (0.45), Momentum 50 (0.49), Smallcap 500 (0.61), Nifty Infrastructure (0.39), Cement (0.34) or Power (0.05). Holding the market, size and momentum constant, the capex loading is 1.25 (t = 6.1), size −0.04 (t = −0.1), momentum 0.36 (t = 2.4). So it carries the capex cycle itself, not a disguised small-cap bet (capex and size are correlated, 0.81, so we read that split with care). The cycle has been rewarding: the capex universe returned about +16% over the year against −2% for the Nifty 500.</w:t>
      </w:r>
    </w:p>
    <w:p>
      <w:pPr>
        <w:spacing w:after="120" w:line="276"/>
      </w:pPr>
      <w:r>
        <w:rPr>
          <w:b/>
          <w:bCs/>
        </w:rPr>
        <w:t xml:space="preserve">What we capture and what we do not.</w:t>
      </w:r>
      <w:r>
        <w:t xml:space="preserve"> We hold the companies that receive capex spending (equipment, components, EPC), not the utilities that own the finished assets (Power R² 0.05) or the building materials (Cement 0.34). That is deliberate: order books and margins move with the spending cycle; utility returns move with tariffs and rates.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Sector quotas (research/sector_quota_study.py)</w:t>
      </w:r>
    </w:p>
    <w:p>
      <w:pPr>
        <w:spacing w:after="120" w:line="276"/>
      </w:pPr>
      <w:r>
        <w:t xml:space="preserve">Written after the list was frozen, in answer to 'a three-pillar theme should hold all three pillars' (not pre-registered). Forcing one Cement and one Power stock into the top 8 trailed the plain ranking in both periods (−2.1 pp per quarter in 2021-23, −1.3 pp in 2024-26); balanced 3/3/2 pillars trailed by −2.6 and −1.1 pp. Neither is significant, but the direction is the same in both periods, the share of quarters beating the Nifty 500 fell out of sample (50% and 47% vs 57%), and the spread of outcomes narrowed only in 2021-23. Quotas cost return and did not reliably buy safety.</w:t>
      </w:r>
    </w:p>
    <w:p>
      <w:pPr>
        <w:pStyle w:val="Heading2"/>
      </w:pPr>
      <w:r>
        <w:t xml:space="preserve">5.6 Limitations you must be ready to state</w:t>
      </w:r>
    </w:p>
    <w:p>
      <w:pPr>
        <w:pStyle w:val="ListParagraph"/>
        <w:numPr>
          <w:ilvl w:val="0"/>
          <w:numId w:val="2"/>
        </w:numPr>
        <w:spacing w:after="60" w:line="264"/>
      </w:pPr>
      <w:r>
        <w:rPr>
          <w:b/>
          <w:bCs/>
        </w:rPr>
        <w:t xml:space="preserve">Survivorship bias:</w:t>
      </w:r>
      <w:r>
        <w:t xml:space="preserve"> the studies use today's universe. research/survivorship_study.py rebuilt it point in time (approximate market cap and liquidity on each date, from all 603 NSE companies in the exports): the old figures overstated the top 8 by about 3.1 pp per quarter (2021-23: +9.9 pp point in time vs +14.3 pp; 2024-26: +1.0 vs +2.7), but the ranking signal is as strong or stronger (rank IC 0.071 vs 0.053). Companies delisted since 2020 are still missing.</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+97%</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239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24.4%</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+42%</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26.9%</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1.66</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+52%</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25</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26.1%</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1.44</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25.0%</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1.89</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+35%</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129</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11.2%</w:t>
            </w:r>
          </w:p>
        </w:tc>
        <w:tc>
          <w:tcPr>
            <w:tcW w:type="dxa" w:w="859"/>
            <w:tcMar>
              <w:top w:type="dxa" w:w="60"/>
              <w:left w:type="dxa" w:w="90"/>
              <w:bottom w:type="dxa" w:w="60"/>
              <w:right w:type="dxa" w:w="90"/>
            </w:tcMar>
          </w:tcPr>
          <w:p>
            <w:pPr>
              <w:spacing w:after="0"/>
              <w:jc w:val="right"/>
            </w:pPr>
            <w:r>
              <w:rPr>
                <w:b w:val="false"/>
                <w:bCs w:val="false"/>
                <w:sz w:val="18"/>
                <w:szCs w:val="18"/>
              </w:rPr>
              <w:t xml:space="preserve">26.0%</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21.7%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+26%</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217</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22.3%</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21.8%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+40%</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25</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61</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-7%</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+8%</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20</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+35%</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54</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13.77%)</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₹2,842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488 / ₹13,86,896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₹2,148 (24.4%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₹2,900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39.5 / 11.2 / 64.4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42.8%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13.9%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0.88</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23% below the price and an equal-risk weight (13.9%) rather than a conviction-sized bet.</w:t>
      </w:r>
    </w:p>
    <w:p>
      <w:pPr>
        <w:pStyle w:val="Heading3"/>
      </w:pPr>
      <w:r>
        <w:t xml:space="preserve">RPEL: Raghav Productivity Enhancers (rank 2, weight 11.35%)</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₹1,718</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642 / ₹11,03,020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₹1,255 (26.9%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₹1,749</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27.2 / 5.1 / 54.9</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52.7% / 1.66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16.8%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0.98</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12.73%)</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₹1,111</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1105 / ₹12,27,987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₹821 (26.1%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31.4 / 5.1 / 55.3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₹540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1743 / ₹9,40,523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₹405 (25.0%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24.8 / 7.0 / 56.9</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1.89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11.19%)</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₹777</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1516 / ₹11,78,463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₹575 (26.0%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₹785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27.5 / 14.8 / 56.3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55.3%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13.5%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14.39%)</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₹584</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2456 / ₹14,33,813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(21.7%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₹590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26.3 / 15.1 / 64.3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42.9% / 1.28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14.1%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12.36%)</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₹17,803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69 / ₹12,28,407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₹13,827 (22.3%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25.3 / 3.0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14.7%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1.05</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₹438</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3322 / ₹14,54,870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₹342 (21.8%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₹390 / ₹441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33.3 / 12.5 / 60.1</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37.8% / 0.41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7.9%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0.86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The professor confirmed (29-Sep) that no sector, commodity or ETF is required: what he looks for is whether the portfolio captures the capex cycle (Section 3.5).</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− 5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21.7-26.9% below price. </w:t>
      </w:r>
      <w:r>
        <w:rPr>
          <w:b/>
          <w:bCs/>
        </w:rPr>
        <w:t xml:space="preserve">Why 5 ATR (it was 3 until 28-Sep):</w:t>
      </w:r>
      <w:r>
        <w:t xml:space="preserve"> research/stop_rule_study.py replayed the rule on a point-in-time universe, 2021-2026, with next-day exits, the replacement rule and 0.25% trading costs. On these volatile mid-caps a 3-ATR trailing stop (~13%) sat inside ordinary noise: it fired on about 8 stocks a quarter and cost 3.3 pp per quarter against simply holding (t = −3.4), without improving the worst quarter. Wider stops cost less; 5 ATR trailing cost 1.4 pp and had the best worst quarter of all (−11.6 pp vs −18.0 pp holding). The brief requires a stop, so we keep one at the width that still caps a collapse.</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Measured and mostly corrected (research/survivorship_study.py): it inflated the top 8 by ~3 pp per quarter; point in time the rule still beat the Nifty 500 (+9.9 pp in 2021-23, +1.0 pp in 2024-26) and the signal was slightly stronger. Delisted companies remain a residual bias.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has no sector quotas. We tested quotas (research/sector_quota_study.py): one Cement + one Power in the top 8 trailed the pure ranking by 2.1 and 1.3 pp per quarter (2021-23, 2024-26), balanced 3/3/2 pillars by 2.6 and 1.1 pp, and neither lowered risk out of sample. The holdings are also less alike than the label suggests (average correlation 0.25). The professor confirmed no sector is required; the test is whether we capture the capex cycle, and we do (Section 3.5).</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Momentum portfolios rebalance monthly. Doesn't a 3-month buy-and-hold let the factor decay?</w:t>
      </w:r>
    </w:p>
    <w:p>
      <w:pPr>
        <w:spacing w:after="60" w:line="264"/>
        <w:ind w:left="360"/>
      </w:pPr>
      <w:r>
        <w:rPr>
          <w:b/>
          <w:bCs/>
          <w:color w:val="2E7D32"/>
        </w:rPr>
        <w:t xml:space="preserve">A. </w:t>
      </w:r>
      <w:r>
        <w:t xml:space="preserve">Our backtest already measures exactly that: the top 8 are picked once and held for 63 sessions with no rebalancing, and the outcome is their return over those 3 months. The figures we quote (hit rates, quintile spreads) include the decay. The mandate fixes the list after 5-Oct, so monthly rebalancing is not an option anyway; replacements happen only through stops.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stop (23% below)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A one-year sample covariance of 8 volatile mid-caps is noisy. Did you shrink it?</w:t>
      </w:r>
    </w:p>
    <w:p>
      <w:pPr>
        <w:spacing w:after="60" w:line="264"/>
        <w:ind w:left="360"/>
      </w:pPr>
      <w:r>
        <w:rPr>
          <w:b/>
          <w:bCs/>
          <w:color w:val="2E7D32"/>
        </w:rPr>
        <w:t xml:space="preserve">A. </w:t>
      </w:r>
      <w:r>
        <w:t xml:space="preserve">We tested it. Ledoit-Wolf shrinkage (towards a scaled identity; estimated intensity 0.14) moves no weight by more than 0.21 pp; a constant-correlation target moves them by at most 1.4 pp; estimating on each half-year separately moves them by at most 2.4 pp. ERC depends mainly on each stock's own volatility, which is estimated precisely, so the weights are robust to covariance noise.</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How do you know you are capturing the capex cycle?</w:t>
      </w:r>
    </w:p>
    <w:p>
      <w:pPr>
        <w:spacing w:after="60" w:line="264"/>
        <w:ind w:left="360"/>
      </w:pPr>
      <w:r>
        <w:rPr>
          <w:b/>
          <w:bCs/>
          <w:color w:val="2E7D32"/>
        </w:rPr>
        <w:t xml:space="preserve">A. </w:t>
      </w:r>
      <w:r>
        <w:t xml:space="preserve">Two ways. Business: every holding sells into a capex stream (pipelines, steel capacity, grid and distribution, power generation, process plants). Behaviour: the portfolio tracks our capex universe (R² 0.68) better than the Nifty 500 (0.45) or any style index, and its capex loading stays large and significant (1.25, t = 6.1) after controlling for market, size and momentum. Live on the dashboard's Risk tab, refreshed nightly.</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What if a stock opens locked at its lower circuit after results?</w:t>
      </w:r>
    </w:p>
    <w:p>
      <w:pPr>
        <w:spacing w:after="60" w:line="264"/>
        <w:ind w:left="360"/>
      </w:pPr>
      <w:r>
        <w:rPr>
          <w:b/>
          <w:bCs/>
          <w:color w:val="2E7D32"/>
        </w:rPr>
        <w:t xml:space="preserve">A. </w:t>
      </w:r>
      <w:r>
        <w:t xml:space="preserve">Then the stop cannot execute that day, true. Our stop is on the close, so we sell at the next session with buyers. The damage is bounded by sizing, not by the stop: a 20% fall on our largest position (15%) costs about 3% of the portfolio, and a narrower price band only spreads the fall over more days (we sell at the first session with buyers). The results calendar warns 7 days ahead so this is never a surprise.</w:t>
      </w:r>
    </w:p>
    <w:p>
      <w:pPr>
        <w:keepNext/>
        <w:spacing w:after="60" w:before="120"/>
      </w:pPr>
      <w:r>
        <w:rPr>
          <w:b/>
          <w:bCs/>
          <w:color w:val="1F3864"/>
        </w:rPr>
        <w:t xml:space="preserve">Q. </w:t>
      </w:r>
      <w:r>
        <w:rPr>
          <w:b/>
          <w:bCs/>
        </w:rPr>
        <w:t xml:space="preserve">Is the stop-loss linked to how much you put in each stock?</w:t>
      </w:r>
    </w:p>
    <w:p>
      <w:pPr>
        <w:spacing w:after="60" w:line="264"/>
        <w:ind w:left="360"/>
      </w:pPr>
      <w:r>
        <w:rPr>
          <w:b/>
          <w:bCs/>
          <w:color w:val="2E7D32"/>
        </w:rPr>
        <w:t xml:space="preserve">A. </w:t>
      </w:r>
      <w:r>
        <w:t xml:space="preserve">Yes, by design. What a stop can cost the portfolio is weight × distance to the stop. Equal-risk weights give volatile stocks less money, and ATR stops give them more room, so the two offset: each stop can cost between 2.4% (AEROFLEX) and 3.4% (WELCORP) of the ₹1 crore. No single stop can hurt much more than any other; all eight at once would cost about 24%, a market crash on top of that is what the puts cover.</w:t>
      </w:r>
    </w:p>
    <w:p>
      <w:pPr>
        <w:keepNext/>
        <w:spacing w:after="60" w:before="120"/>
      </w:pPr>
      <w:r>
        <w:rPr>
          <w:b/>
          <w:bCs/>
          <w:color w:val="1F3864"/>
        </w:rPr>
        <w:t xml:space="preserve">Q. </w:t>
      </w:r>
      <w:r>
        <w:rPr>
          <w:b/>
          <w:bCs/>
        </w:rPr>
        <w:t xml:space="preserve">How does your risk-reward compare with the Nifty 500?</w:t>
      </w:r>
    </w:p>
    <w:p>
      <w:pPr>
        <w:spacing w:after="60" w:line="264"/>
        <w:ind w:left="360"/>
      </w:pPr>
      <w:r>
        <w:rPr>
          <w:b/>
          <w:bCs/>
          <w:color w:val="2E7D32"/>
        </w:rPr>
        <w:t xml:space="preserve">A. </w:t>
      </w:r>
      <w:r>
        <w:t xml:space="preserve">Measured the same way for both over the past year (backtest of today's portfolio, hindsight): Sharpe 5.6 vs −0.5, Sortino 9.6 vs −0.7, up-capture 1.80 (we rose 1.8× as much on the Nifty's up days) and down-capture 0.57 (fell about half as much on its down days), information ratio 4.8. The cost: more volatility (27% vs 14%), 21% tracking error and a deeper worst drawdown (−19% vs −15%). The live figures replace these after 20 sessions.</w:t>
      </w:r>
    </w:p>
    <w:p>
      <w:pPr>
        <w:keepNext/>
        <w:spacing w:after="60" w:before="120"/>
      </w:pPr>
      <w:r>
        <w:rPr>
          <w:b/>
          <w:bCs/>
          <w:color w:val="1F3864"/>
        </w:rPr>
        <w:t xml:space="preserve">Q. </w:t>
      </w:r>
      <w:r>
        <w:rPr>
          <w:b/>
          <w:bCs/>
        </w:rPr>
        <w:t xml:space="preserve">Why 5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range; 5 ATR puts today's stops 22-29% below price. We tested widths (research/stop_rule_study.py): 3 ATR trailing fired on ~8 stocks a quarter and cost 3.3 pp per quarter vs holding; 4, 5 and 6 ATR cost 1.6, 1.4 and 0.9 pp. We chose 5, not the cheapest, because it had the best worst quarter (−11.6 pp). Choosing among tested widths is itself a mild data-mining risk, which we state.</w:t>
      </w:r>
    </w:p>
    <w:p>
      <w:pPr>
        <w:keepNext/>
        <w:spacing w:after="60" w:before="120"/>
      </w:pPr>
      <w:r>
        <w:rPr>
          <w:b/>
          <w:bCs/>
          <w:color w:val="1F3864"/>
        </w:rPr>
        <w:t xml:space="preserve">Q. </w:t>
      </w:r>
      <w:r>
        <w:rPr>
          <w:b/>
          <w:bCs/>
        </w:rPr>
        <w:t xml:space="preserve">Aren't stops 22-29% below price too wide to be stops?</w:t>
      </w:r>
    </w:p>
    <w:p>
      <w:pPr>
        <w:spacing w:after="60" w:line="264"/>
        <w:ind w:left="360"/>
      </w:pPr>
      <w:r>
        <w:rPr>
          <w:b/>
          <w:bCs/>
          <w:color w:val="2E7D32"/>
        </w:rPr>
        <w:t xml:space="preserve">A. </w:t>
      </w:r>
      <w:r>
        <w:t xml:space="preserve">They are wide by design: tighter stops on stocks this volatile sold good positions on ordinary dips and cost 3 pp a quarter in our backtest. The stop is there to cap a collapse (a stock that falls a quarter of its value has broken its trend), and a market-wide crash is covered by the puts. The most the stops let us lose if every stock hit its stop at once is about ₹23 L; a diversified portfolio would not see all eight fall that far together.</w:t>
      </w:r>
    </w:p>
    <w:p>
      <w:pPr>
        <w:keepNext/>
        <w:spacing w:after="60" w:before="120"/>
      </w:pPr>
      <w:r>
        <w:rPr>
          <w:b/>
          <w:bCs/>
          <w:color w:val="1F3864"/>
        </w:rPr>
        <w:t xml:space="preserve">Q. </w:t>
      </w:r>
      <w:r>
        <w:rPr>
          <w:b/>
          <w:bCs/>
        </w:rPr>
        <w:t xml:space="preserve">Why no target price where you book profit?</w:t>
      </w:r>
    </w:p>
    <w:p>
      <w:pPr>
        <w:spacing w:after="60" w:line="264"/>
        <w:ind w:left="360"/>
      </w:pPr>
      <w:r>
        <w:rPr>
          <w:b/>
          <w:bCs/>
          <w:color w:val="2E7D32"/>
        </w:rPr>
        <w:t xml:space="preserve">A. </w:t>
      </w:r>
      <w:r>
        <w:t xml:space="preserve">We tested it on the live rule (research/stop_rule_study.py, 2021-2026, point-in-time universe, next-day exits, replacement, 0.25% costs). Selling when a stock rises one stop-distance (about its typical 3-month move) cost 0.9 pp a quarter; targets at 1.5 and 2 stop-distances changed the return by under 0.1 pp and doubled the trading. Momentum earns its return from the few stocks that keep running, so a target sells exactly the winners. The trailing stop is our exit for profits too: it rises with the price and locks in the gain. The dashboard shows a target level per stock (price + typical 3-month move) as the reward reference in the risk-reward table, not as an order.</w:t>
      </w:r>
    </w:p>
    <w:p>
      <w:pPr>
        <w:keepNext/>
        <w:spacing w:after="60" w:before="120"/>
      </w:pPr>
      <w:r>
        <w:rPr>
          <w:b/>
          <w:bCs/>
          <w:color w:val="1F3864"/>
        </w:rPr>
        <w:t xml:space="preserve">Q. </w:t>
      </w:r>
      <w:r>
        <w:rPr>
          <w:b/>
          <w:bCs/>
        </w:rPr>
        <w:t xml:space="preserve">Do you keep the hedge ratio as the portfolio changes?</w:t>
      </w:r>
    </w:p>
    <w:p>
      <w:pPr>
        <w:spacing w:after="60" w:line="264"/>
        <w:ind w:left="360"/>
      </w:pPr>
      <w:r>
        <w:rPr>
          <w:b/>
          <w:bCs/>
          <w:color w:val="2E7D32"/>
        </w:rPr>
        <w:t xml:space="preserve">A. </w:t>
      </w:r>
      <w:r>
        <w:t xml:space="preserve">Yes. Every evening the lots needed are recomputed: tail hedge ratio × the stocks' value ÷ (Nifty × 65). When they differ from the lots held by a full lot, we buy or sell lots of the put we hold (a full-lot band, so 8.49 vs 8.51 lots does not trade every evening). On 1-Oct: 8 lots held, 8.49 needed. Stop exits that park money, a rally in our stocks or a change in the downside beta all move the figure; the profit-lock roll at +10% re-sizes the hedge itself.</w:t>
      </w:r>
    </w:p>
    <w:p>
      <w:pPr>
        <w:keepNext/>
        <w:spacing w:after="60" w:before="120"/>
      </w:pPr>
      <w:r>
        <w:rPr>
          <w:b/>
          <w:bCs/>
          <w:color w:val="1F3864"/>
        </w:rPr>
        <w:t xml:space="preserve">Q. </w:t>
      </w:r>
      <w:r>
        <w:rPr>
          <w:b/>
          <w:bCs/>
        </w:rPr>
        <w:t xml:space="preserve">Why an out-of-the-money put and not an in-the-money one?</w:t>
      </w:r>
    </w:p>
    <w:p>
      <w:pPr>
        <w:spacing w:after="60" w:line="264"/>
        <w:ind w:left="360"/>
      </w:pPr>
      <w:r>
        <w:rPr>
          <w:b/>
          <w:bCs/>
          <w:color w:val="2E7D32"/>
        </w:rPr>
        <w:t xml:space="preserve">A. </w:t>
      </w:r>
      <w:r>
        <w:t xml:space="preserve">An in-the-money put is mostly a short Nifty position. On 28-Sep, 8 lots of the 24000 PE (5% in the money) cost ₹5.3 L with delta −0.79: about ₹94 L of Nifty sold, nearly a full futures hedge. That gives up the market return we are paid to earn, removes only the ~31% of our variance the Nifty explains, and costs more than twice the cash we hold. Our 22000 PE cost ₹1.1 L with delta −0.23: insurance that pays in a crash and leaves the upside. If the market had kept falling, the in-the-money put would have earned more; that is a bet on the market's direction, not a hedge.</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5 × ATR(14) below the price (3 × until our stop backtest), moved just under a nearby support; trailed upward only. Currently 21.7-26.9%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at most one of the eight shows significant autocorrelation at 5% on a given day (currently SBCL, at 2- and 4-day lags, not yesterday-to-today), which is what chance alone produces across eight tests, and the portfolio as a whole is not predictable.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5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5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2026-10-03T02:03:16.694Z</dcterms:created>
  <dcterms:modified xsi:type="dcterms:W3CDTF">2026-10-03T02:03:16.695Z</dcterms:modified>
</cp:coreProperties>
</file>

<file path=docProps/custom.xml><?xml version="1.0" encoding="utf-8"?>
<Properties xmlns="http://schemas.openxmlformats.org/officeDocument/2006/custom-properties" xmlns:vt="http://schemas.openxmlformats.org/officeDocument/2006/docPropsVTypes"/>
</file>