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11.3%, SBCL 12.7%, AEROFLEX 9.2%, TDPOWERSYS 11.2%, RAMRAT 14.4%,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5x ATR stop adjusted to support, trailed (widened from 3x after a backtest);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2"/>
      </w:pPr>
      <w:r>
        <w:t xml:space="preserve">3.5 Are we capturing the capex cycle? (the professor's test)</w:t>
      </w:r>
    </w:p>
    <w:p>
      <w:pPr>
        <w:spacing w:after="120" w:line="276"/>
      </w:pPr>
      <w:r>
        <w:t xml:space="preserve">The professor told us (29-Sep) that he does not mind which sectors, commodities or ETFs we hold; what he cares about is whether the portfolio captures the capex cycle. We answer it two ways: where the money our companies earn comes from, and how the portfolio actually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Holding</w:t>
            </w: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Where the capex money reaches it</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WELCORP</w:t>
            </w:r>
          </w:p>
        </w:tc>
        <w:tc>
          <w:tcPr>
            <w:tcW w:type="dxa" w:w="7710"/>
            <w:tcMar>
              <w:top w:type="dxa" w:w="60"/>
              <w:left w:type="dxa" w:w="90"/>
              <w:bottom w:type="dxa" w:w="60"/>
              <w:right w:type="dxa" w:w="90"/>
            </w:tcMar>
          </w:tcPr>
          <w:p>
            <w:pPr>
              <w:spacing w:after="0"/>
              <w:jc w:val="left"/>
            </w:pPr>
            <w:r>
              <w:rPr>
                <w:b w:val="false"/>
                <w:bCs w:val="false"/>
                <w:sz w:val="18"/>
                <w:szCs w:val="18"/>
              </w:rPr>
              <w:t xml:space="preserve">Oil &amp; gas and water pipelines (line pipe): energy and water infrastructure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Steel-plant refractories: new steel capacity, TMT for construction</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SBCL</w:t>
            </w:r>
          </w:p>
        </w:tc>
        <w:tc>
          <w:tcPr>
            <w:tcW w:type="dxa" w:w="7710"/>
            <w:tcMar>
              <w:top w:type="dxa" w:w="60"/>
              <w:left w:type="dxa" w:w="90"/>
              <w:bottom w:type="dxa" w:w="60"/>
              <w:right w:type="dxa" w:w="90"/>
            </w:tcMar>
          </w:tcPr>
          <w:p>
            <w:pPr>
              <w:spacing w:after="0"/>
              <w:jc w:val="left"/>
            </w:pPr>
            <w:r>
              <w:rPr>
                <w:b w:val="false"/>
                <w:bCs w:val="false"/>
                <w:sz w:val="18"/>
                <w:szCs w:val="18"/>
              </w:rPr>
              <w:t xml:space="preserve">Switchgear and smart-meter components: power distribution upgrade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Flow hoses for process plants: industrial and oil &amp; gas capex</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710"/>
            <w:tcMar>
              <w:top w:type="dxa" w:w="60"/>
              <w:left w:type="dxa" w:w="90"/>
              <w:bottom w:type="dxa" w:w="60"/>
              <w:right w:type="dxa" w:w="90"/>
            </w:tcMar>
          </w:tcPr>
          <w:p>
            <w:pPr>
              <w:spacing w:after="0"/>
              <w:jc w:val="left"/>
            </w:pPr>
            <w:r>
              <w:rPr>
                <w:b w:val="false"/>
                <w:bCs w:val="false"/>
                <w:sz w:val="18"/>
                <w:szCs w:val="18"/>
              </w:rPr>
              <w:t xml:space="preserve">Generators and motors for power plants: generation capex</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Winding wires for motors and transformers: electrical equipment, grid</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APARINDS</w:t>
            </w:r>
          </w:p>
        </w:tc>
        <w:tc>
          <w:tcPr>
            <w:tcW w:type="dxa" w:w="7710"/>
            <w:tcMar>
              <w:top w:type="dxa" w:w="60"/>
              <w:left w:type="dxa" w:w="90"/>
              <w:bottom w:type="dxa" w:w="60"/>
              <w:right w:type="dxa" w:w="90"/>
            </w:tcMar>
          </w:tcPr>
          <w:p>
            <w:pPr>
              <w:spacing w:after="0"/>
              <w:jc w:val="left"/>
            </w:pPr>
            <w:r>
              <w:rPr>
                <w:b w:val="false"/>
                <w:bCs w:val="false"/>
                <w:sz w:val="18"/>
                <w:szCs w:val="18"/>
              </w:rPr>
              <w:t xml:space="preserve">Conductors, cables, transformer oils: transmission and distribution</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Renewable power producer: generation build-out (energy transition)</w:t>
            </w:r>
          </w:p>
        </w:tc>
      </w:tr>
    </w:tbl>
    <w:p>
      <w:pPr>
        <w:spacing w:after="120"/>
      </w:pPr>
    </w:p>
    <w:p>
      <w:pPr>
        <w:spacing w:after="120" w:line="276"/>
      </w:pPr>
      <w:r>
        <w:rPr>
          <w:b/>
          <w:bCs/>
        </w:rPr>
        <w:t xml:space="preserve">How the portfolio moves (capex_exposure.py, past year, daily).</w:t>
      </w:r>
      <w:r>
        <w:t xml:space="preserve"> Regressed on each benchmark in turn, it behaves most like our capex universe (all 157 universe stocks, equal weight: R² 0.68, beta 1.12), more than like the Nifty 500 (0.45), Momentum 50 (0.49), Smallcap 500 (0.61), Nifty Infrastructure (0.39), Cement (0.34) or Power (0.05). Holding the market, size and momentum constant, the capex loading is 1.25 (t = 6.1), size −0.04 (t = −0.1), momentum 0.36 (t = 2.4). So it carries the capex cycle itself, not a disguised small-cap bet (capex and size are correlated, 0.81, so we read that split with care). The cycle has been rewarding: the capex universe returned about +16% over the year against −2% for the Nifty 500.</w:t>
      </w:r>
    </w:p>
    <w:p>
      <w:pPr>
        <w:spacing w:after="120" w:line="276"/>
      </w:pPr>
      <w:r>
        <w:rPr>
          <w:b/>
          <w:bCs/>
        </w:rPr>
        <w:t xml:space="preserve">What we capture and what we do not.</w:t>
      </w:r>
      <w:r>
        <w:t xml:space="preserve"> We hold the companies that receive capex spending (equipment, components, EPC), not the utilities that own the finished assets (Power R² 0.05) or the building materials (Cement 0.34). That is deliberate: order books and margins move with the spending cycle; utility returns move with tariffs and rates.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research/survivorship_study.py rebuilt it point in time (approximate market cap and liquidity on each date, from all 603 NSE companies in the exports): the old figures overstated the top 8 by about 3.1 pp per quarter (2021-23: +9.9 pp point in time vs +14.3 pp; 2024-26: +1.0 vs +2.7), but the ranking signal is as strong or stronger (rank IC 0.071 vs 0.053). Companies delisted since 2020 are still missing.</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+97%</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239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24.4%</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+42%</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26.9%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1.66</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+52%</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25</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26.1%</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1.44</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25.0%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1.89</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+35%</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129</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11.2%</w:t>
            </w:r>
          </w:p>
        </w:tc>
        <w:tc>
          <w:tcPr>
            <w:tcW w:type="dxa" w:w="859"/>
            <w:tcMar>
              <w:top w:type="dxa" w:w="60"/>
              <w:left w:type="dxa" w:w="90"/>
              <w:bottom w:type="dxa" w:w="60"/>
              <w:right w:type="dxa" w:w="90"/>
            </w:tcMar>
          </w:tcPr>
          <w:p>
            <w:pPr>
              <w:spacing w:after="0"/>
              <w:jc w:val="right"/>
            </w:pPr>
            <w:r>
              <w:rPr>
                <w:b w:val="false"/>
                <w:bCs w:val="false"/>
                <w:sz w:val="18"/>
                <w:szCs w:val="18"/>
              </w:rPr>
              <w:t xml:space="preserve">26.0%</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+26%</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217</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22.3%</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+40%</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25</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61</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-7%</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+8%</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20</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+35%</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54</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13.77%)</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₹2,842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488 / ₹13,86,896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₹2,148 (24.4%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₹2,900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39.5 / 11.2 / 64.4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42.8%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13.9%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23% below the price and an equal-risk weight (13.9%) rather than a conviction-sized bet.</w:t>
      </w:r>
    </w:p>
    <w:p>
      <w:pPr>
        <w:pStyle w:val="Heading3"/>
      </w:pPr>
      <w:r>
        <w:t xml:space="preserve">RPEL: Raghav Productivity Enhancers (rank 2, weight 11.35%)</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₹1,718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642 / ₹11,03,020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₹1,255 (26.9%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₹1,749</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27.2 / 5.1 / 54.9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52.7% / 1.66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16.8%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12.73%)</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₹1,111</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1105 / ₹12,27,987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₹821 (26.1%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31.4 / 5.1 / 55.3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₹540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1743 / ₹9,40,523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₹405 (25.0%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24.8 / 7.0 / 56.9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1.89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11.19%)</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₹777</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1516 / ₹11,78,463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₹575 (26.0%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₹785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27.5 / 14.8 / 56.3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55.3%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13.5%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14.39%)</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₹584</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2456 / ₹14,33,813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(21.7%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₹590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26.3 / 15.1 / 64.3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42.9% / 1.28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14.1%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12.36%)</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₹17,803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69 / ₹12,28,407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₹13,827 (22.3%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25.3 / 3.0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14.7%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1.05</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₹438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3322 / ₹14,54,870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₹342 (21.8%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₹390 / ₹441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33.3 / 12.5 / 60.1</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37.8% / 0.41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7.9%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The professor confirmed (29-Sep) that no sector, commodity or ETF is required: what he looks for is whether the portfolio captures the capex cycle (Section 3.5).</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− 5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21.7-26.9% below price. </w:t>
      </w:r>
      <w:r>
        <w:rPr>
          <w:b/>
          <w:bCs/>
        </w:rPr>
        <w:t xml:space="preserve">Why 5 ATR (it was 3 until 28-Sep):</w:t>
      </w:r>
      <w:r>
        <w:t xml:space="preserve"> research/stop_rule_study.py replayed the rule on a point-in-time universe, 2021-2026, with next-day exits, the replacement rule and 0.25% trading costs. On these volatile mid-caps a 3-ATR trailing stop (~13%) sat inside ordinary noise: it fired on about 8 stocks a quarter and cost 3.3 pp per quarter against simply holding (t = −3.4), without improving the worst quarter. Wider stops cost less; 5 ATR trailing cost 1.4 pp and had the best worst quarter of all (−11.6 pp vs −18.0 pp holding). The brief requires a stop, so we keep one at the width that still caps a collapse.</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Measured and mostly corrected (research/survivorship_study.py): it inflated the top 8 by ~3 pp per quarter; point in time the rule still beat the Nifty 500 (+9.9 pp in 2021-23, +1.0 pp in 2024-26) and the signal was slightly stronger. Delisted companies remain a residual bias.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The professor confirmed no sector is required; the test is whether we capture the capex cycle, and we do (Section 3.5).</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stop (23% below)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How do you know you are capturing the capex cycle?</w:t>
      </w:r>
    </w:p>
    <w:p>
      <w:pPr>
        <w:spacing w:after="60" w:line="264"/>
        <w:ind w:left="360"/>
      </w:pPr>
      <w:r>
        <w:rPr>
          <w:b/>
          <w:bCs/>
          <w:color w:val="2E7D32"/>
        </w:rPr>
        <w:t xml:space="preserve">A. </w:t>
      </w:r>
      <w:r>
        <w:t xml:space="preserve">Two ways. Business: every holding sells into a capex stream (pipelines, steel capacity, grid and distribution, power generation, process plants). Behaviour: the portfolio tracks our capex universe (R² 0.68) better than the Nifty 500 (0.45) or any style index, and its capex loading stays large and significant (1.25, t = 6.1) after controlling for market, size and momentum. Live on the dashboard's Risk tab, refreshed nightly.</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Why 5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range; 5 ATR puts today's stops 22-29% below price. We tested widths (research/stop_rule_study.py): 3 ATR trailing fired on ~8 stocks a quarter and cost 3.3 pp per quarter vs holding; 4, 5 and 6 ATR cost 1.6, 1.4 and 0.9 pp. We chose 5, not the cheapest, because it had the best worst quarter (−11.6 pp). Choosing among tested widths is itself a mild data-mining risk, which we state.</w:t>
      </w:r>
    </w:p>
    <w:p>
      <w:pPr>
        <w:keepNext/>
        <w:spacing w:after="60" w:before="120"/>
      </w:pPr>
      <w:r>
        <w:rPr>
          <w:b/>
          <w:bCs/>
          <w:color w:val="1F3864"/>
        </w:rPr>
        <w:t xml:space="preserve">Q. </w:t>
      </w:r>
      <w:r>
        <w:rPr>
          <w:b/>
          <w:bCs/>
        </w:rPr>
        <w:t xml:space="preserve">Aren't stops 22-29% below price too wide to be stops?</w:t>
      </w:r>
    </w:p>
    <w:p>
      <w:pPr>
        <w:spacing w:after="60" w:line="264"/>
        <w:ind w:left="360"/>
      </w:pPr>
      <w:r>
        <w:rPr>
          <w:b/>
          <w:bCs/>
          <w:color w:val="2E7D32"/>
        </w:rPr>
        <w:t xml:space="preserve">A. </w:t>
      </w:r>
      <w:r>
        <w:t xml:space="preserve">They are wide by design: tighter stops on stocks this volatile sold good positions on ordinary dips and cost 3 pp a quarter in our backtest. The stop is there to cap a collapse (a stock that falls a quarter of its value has broken its trend), and a market-wide crash is covered by the puts. The most the stops let us lose if every stock hit its stop at once is about ₹23 L; a diversified portfolio would not see all eight fall that far together.</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5 × ATR(14) below the price (3 × until our stop backtest), moved just under a nearby support; trailed upward only. Currently 21.7-26.9%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at most one of the eight shows significant autocorrelation at 5% on a given day (currently SBCL, at 2- and 4-day lags, not yesterday-to-today), which is what chance alone produces across eight tests, and the portfolio as a whole is not predictable.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5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5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2026-09-30T03:13:39.337Z</dcterms:created>
  <dcterms:modified xsi:type="dcterms:W3CDTF">2026-09-30T03:13:39.339Z</dcterms:modified>
</cp:coreProperties>
</file>

<file path=docProps/custom.xml><?xml version="1.0" encoding="utf-8"?>
<Properties xmlns="http://schemas.openxmlformats.org/officeDocument/2006/custom-properties" xmlns:vt="http://schemas.openxmlformats.org/officeDocument/2006/docPropsVTypes"/>
</file>