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137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VOLTAMP</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three Screener.in sector exports downloaded on 26-Sep-2026 (Cement, Capital Goods, Power; data/screener/), filtered by stated rules.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three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978</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 largest ~₹3,250 cr)</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358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620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434</w:t>
            </w:r>
          </w:p>
        </w:tc>
        <w:tc>
          <w:tcPr>
            <w:tcW w:type="dxa" w:w="1305"/>
            <w:tcMar>
              <w:top w:type="dxa" w:w="60"/>
              <w:left w:type="dxa" w:w="90"/>
              <w:bottom w:type="dxa" w:w="60"/>
              <w:right w:type="dxa" w:w="90"/>
            </w:tcMar>
          </w:tcPr>
          <w:p>
            <w:pPr>
              <w:spacing w:after="0"/>
              <w:jc w:val="right"/>
            </w:pPr>
            <w:r>
              <w:rPr>
                <w:b w:val="false"/>
                <w:bCs w:val="false"/>
                <w:sz w:val="18"/>
                <w:szCs w:val="18"/>
              </w:rPr>
              <w:t xml:space="preserve">186</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169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161</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159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(22): EMS/electronics, auto &amp; consumer components, defence/aerospace/shipbuilding, primary steel, packaging &amp; films</w:t>
            </w:r>
          </w:p>
        </w:tc>
        <w:tc>
          <w:tcPr>
            <w:tcW w:type="dxa" w:w="1305"/>
            <w:tcMar>
              <w:top w:type="dxa" w:w="60"/>
              <w:left w:type="dxa" w:w="90"/>
              <w:bottom w:type="dxa" w:w="60"/>
              <w:right w:type="dxa" w:w="90"/>
            </w:tcMar>
          </w:tcPr>
          <w:p>
            <w:pPr>
              <w:spacing w:after="0"/>
              <w:jc w:val="right"/>
            </w:pPr>
            <w:r>
              <w:rPr>
                <w:b w:val="false"/>
                <w:bCs w:val="false"/>
                <w:sz w:val="18"/>
                <w:szCs w:val="18"/>
              </w:rPr>
              <w:t xml:space="preserve">22</w:t>
            </w:r>
          </w:p>
        </w:tc>
        <w:tc>
          <w:tcPr>
            <w:tcW w:type="dxa" w:w="130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100,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137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9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121</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111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46</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1-32</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The RRG is still shown on the dashboard as context.</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1"/>
        <w:gridCol w:w="721"/>
        <w:gridCol w:w="721"/>
        <w:gridCol w:w="811"/>
        <w:gridCol w:w="721"/>
        <w:gridCol w:w="1081"/>
        <w:gridCol w:w="2162"/>
        <w:gridCol w:w="901"/>
        <w:gridCol w:w="1079"/>
      </w:tblGrid>
      <w:tr>
        <w:trPr>
          <w:tblHeader/>
        </w:trPr>
        <w:tc>
          <w:tcPr>
            <w:tcW w:type="dxa" w:w="1441"/>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811"/>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081"/>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2162"/>
            <w:shd w:fill="1F3864" w:color="auto" w:val="clear"/>
            <w:tcMar>
              <w:top w:type="dxa" w:w="60"/>
              <w:left w:type="dxa" w:w="90"/>
              <w:bottom w:type="dxa" w:w="60"/>
              <w:right w:type="dxa" w:w="90"/>
            </w:tcMar>
          </w:tcPr>
          <w:p>
            <w:pPr>
              <w:spacing w:after="0"/>
              <w:jc w:val="left"/>
            </w:pPr>
            <w:r>
              <w:rPr>
                <w:b/>
                <w:bCs/>
                <w:color w:val="FFFFFF"/>
                <w:sz w:val="18"/>
                <w:szCs w:val="18"/>
              </w:rPr>
              <w:t xml:space="preserve">RRG vs N500 / sector</w:t>
            </w:r>
          </w:p>
        </w:tc>
        <w:tc>
          <w:tcPr>
            <w:tcW w:type="dxa" w:w="901"/>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c>
          <w:tcPr>
            <w:tcW w:type="dxa" w:w="1079"/>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WELCORP</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721"/>
            <w:tcMar>
              <w:top w:type="dxa" w:w="60"/>
              <w:left w:type="dxa" w:w="90"/>
              <w:bottom w:type="dxa" w:w="60"/>
              <w:right w:type="dxa" w:w="90"/>
            </w:tcMar>
          </w:tcPr>
          <w:p>
            <w:pPr>
              <w:spacing w:after="0"/>
              <w:jc w:val="right"/>
            </w:pPr>
            <w:r>
              <w:rPr>
                <w:b w:val="false"/>
                <w:bCs w:val="false"/>
                <w:sz w:val="18"/>
                <w:szCs w:val="18"/>
              </w:rPr>
              <w:t xml:space="preserve">14%</w:t>
            </w:r>
          </w:p>
        </w:tc>
        <w:tc>
          <w:tcPr>
            <w:tcW w:type="dxa" w:w="811"/>
            <w:tcMar>
              <w:top w:type="dxa" w:w="60"/>
              <w:left w:type="dxa" w:w="90"/>
              <w:bottom w:type="dxa" w:w="60"/>
              <w:right w:type="dxa" w:w="90"/>
            </w:tcMar>
          </w:tcPr>
          <w:p>
            <w:pPr>
              <w:spacing w:after="0"/>
              <w:jc w:val="right"/>
            </w:pPr>
            <w:r>
              <w:rPr>
                <w:b w:val="false"/>
                <w:bCs w:val="false"/>
                <w:sz w:val="18"/>
                <w:szCs w:val="18"/>
              </w:rPr>
              <w:t xml:space="preserve">0.26</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74,716</w:t>
            </w:r>
          </w:p>
        </w:tc>
        <w:tc>
          <w:tcPr>
            <w:tcW w:type="dxa" w:w="2162"/>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High</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SBCL</w:t>
            </w:r>
          </w:p>
        </w:tc>
        <w:tc>
          <w:tcPr>
            <w:tcW w:type="dxa" w:w="721"/>
            <w:tcMar>
              <w:top w:type="dxa" w:w="60"/>
              <w:left w:type="dxa" w:w="90"/>
              <w:bottom w:type="dxa" w:w="60"/>
              <w:right w:type="dxa" w:w="90"/>
            </w:tcMar>
          </w:tcPr>
          <w:p>
            <w:pPr>
              <w:spacing w:after="0"/>
              <w:jc w:val="right"/>
            </w:pPr>
            <w:r>
              <w:rPr>
                <w:b w:val="false"/>
                <w:bCs w:val="false"/>
                <w:sz w:val="18"/>
                <w:szCs w:val="18"/>
              </w:rPr>
              <w:t xml:space="preserve">27%</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811"/>
            <w:tcMar>
              <w:top w:type="dxa" w:w="60"/>
              <w:left w:type="dxa" w:w="90"/>
              <w:bottom w:type="dxa" w:w="60"/>
              <w:right w:type="dxa" w:w="90"/>
            </w:tcMar>
          </w:tcPr>
          <w:p>
            <w:pPr>
              <w:spacing w:after="0"/>
              <w:jc w:val="right"/>
            </w:pPr>
            <w:r>
              <w:rPr>
                <w:b w:val="false"/>
                <w:bCs w:val="false"/>
                <w:sz w:val="18"/>
                <w:szCs w:val="18"/>
              </w:rPr>
              <w:t xml:space="preserve">0.15</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6,650</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TDPOWERSYS</w:t>
            </w:r>
          </w:p>
        </w:tc>
        <w:tc>
          <w:tcPr>
            <w:tcW w:type="dxa" w:w="721"/>
            <w:tcMar>
              <w:top w:type="dxa" w:w="60"/>
              <w:left w:type="dxa" w:w="90"/>
              <w:bottom w:type="dxa" w:w="60"/>
              <w:right w:type="dxa" w:w="90"/>
            </w:tcMar>
          </w:tcPr>
          <w:p>
            <w:pPr>
              <w:spacing w:after="0"/>
              <w:jc w:val="right"/>
            </w:pPr>
            <w:r>
              <w:rPr>
                <w:b w:val="false"/>
                <w:bCs w:val="false"/>
                <w:sz w:val="18"/>
                <w:szCs w:val="18"/>
              </w:rPr>
              <w:t xml:space="preserve">34%</w:t>
            </w:r>
          </w:p>
        </w:tc>
        <w:tc>
          <w:tcPr>
            <w:tcW w:type="dxa" w:w="721"/>
            <w:tcMar>
              <w:top w:type="dxa" w:w="60"/>
              <w:left w:type="dxa" w:w="90"/>
              <w:bottom w:type="dxa" w:w="60"/>
              <w:right w:type="dxa" w:w="90"/>
            </w:tcMar>
          </w:tcPr>
          <w:p>
            <w:pPr>
              <w:spacing w:after="0"/>
              <w:jc w:val="right"/>
            </w:pPr>
            <w:r>
              <w:rPr>
                <w:b w:val="false"/>
                <w:bCs w:val="false"/>
                <w:sz w:val="18"/>
                <w:szCs w:val="18"/>
              </w:rPr>
              <w:t xml:space="preserve">18%</w:t>
            </w:r>
          </w:p>
        </w:tc>
        <w:tc>
          <w:tcPr>
            <w:tcW w:type="dxa" w:w="811"/>
            <w:tcMar>
              <w:top w:type="dxa" w:w="60"/>
              <w:left w:type="dxa" w:w="90"/>
              <w:bottom w:type="dxa" w:w="60"/>
              <w:right w:type="dxa" w:w="90"/>
            </w:tcMar>
          </w:tcPr>
          <w:p>
            <w:pPr>
              <w:spacing w:after="0"/>
              <w:jc w:val="right"/>
            </w:pPr>
            <w:r>
              <w:rPr>
                <w:b w:val="false"/>
                <w:bCs w:val="false"/>
                <w:sz w:val="18"/>
                <w:szCs w:val="18"/>
              </w:rPr>
              <w:t xml:space="preserve">0.02</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23,577</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APARINDS</w:t>
            </w:r>
          </w:p>
        </w:tc>
        <w:tc>
          <w:tcPr>
            <w:tcW w:type="dxa" w:w="721"/>
            <w:tcMar>
              <w:top w:type="dxa" w:w="60"/>
              <w:left w:type="dxa" w:w="90"/>
              <w:bottom w:type="dxa" w:w="60"/>
              <w:right w:type="dxa" w:w="90"/>
            </w:tcMar>
          </w:tcPr>
          <w:p>
            <w:pPr>
              <w:spacing w:after="0"/>
              <w:jc w:val="right"/>
            </w:pPr>
            <w:r>
              <w:rPr>
                <w:b w:val="false"/>
                <w:bCs w:val="false"/>
                <w:sz w:val="18"/>
                <w:szCs w:val="18"/>
              </w:rPr>
              <w:t xml:space="preserve">32%</w:t>
            </w:r>
          </w:p>
        </w:tc>
        <w:tc>
          <w:tcPr>
            <w:tcW w:type="dxa" w:w="721"/>
            <w:tcMar>
              <w:top w:type="dxa" w:w="60"/>
              <w:left w:type="dxa" w:w="90"/>
              <w:bottom w:type="dxa" w:w="60"/>
              <w:right w:type="dxa" w:w="90"/>
            </w:tcMar>
          </w:tcPr>
          <w:p>
            <w:pPr>
              <w:spacing w:after="0"/>
              <w:jc w:val="right"/>
            </w:pPr>
            <w:r>
              <w:rPr>
                <w:b w:val="false"/>
                <w:bCs w:val="false"/>
                <w:sz w:val="18"/>
                <w:szCs w:val="18"/>
              </w:rPr>
              <w:t xml:space="preserve">9%</w:t>
            </w:r>
          </w:p>
        </w:tc>
        <w:tc>
          <w:tcPr>
            <w:tcW w:type="dxa" w:w="811"/>
            <w:tcMar>
              <w:top w:type="dxa" w:w="60"/>
              <w:left w:type="dxa" w:w="90"/>
              <w:bottom w:type="dxa" w:w="60"/>
              <w:right w:type="dxa" w:w="90"/>
            </w:tcMar>
          </w:tcPr>
          <w:p>
            <w:pPr>
              <w:spacing w:after="0"/>
              <w:jc w:val="right"/>
            </w:pPr>
            <w:r>
              <w:rPr>
                <w:b w:val="false"/>
                <w:bCs w:val="false"/>
                <w:sz w:val="18"/>
                <w:szCs w:val="18"/>
              </w:rPr>
              <w:t xml:space="preserve">0.18</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74,432</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7"/>
        <w:gridCol w:w="784"/>
        <w:gridCol w:w="1121"/>
        <w:gridCol w:w="1121"/>
        <w:gridCol w:w="1121"/>
        <w:gridCol w:w="1345"/>
        <w:gridCol w:w="897"/>
        <w:gridCol w:w="1232"/>
      </w:tblGrid>
      <w:tr>
        <w:trPr>
          <w:tblHeader/>
        </w:trPr>
        <w:tc>
          <w:tcPr>
            <w:tcW w:type="dxa" w:w="2017"/>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784"/>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345"/>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897"/>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232"/>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QPOWER</w:t>
            </w:r>
          </w:p>
        </w:tc>
        <w:tc>
          <w:tcPr>
            <w:tcW w:type="dxa" w:w="784"/>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+49%</w:t>
            </w:r>
          </w:p>
        </w:tc>
        <w:tc>
          <w:tcPr>
            <w:tcW w:type="dxa" w:w="1121"/>
            <w:tcMar>
              <w:top w:type="dxa" w:w="60"/>
              <w:left w:type="dxa" w:w="90"/>
              <w:bottom w:type="dxa" w:w="60"/>
              <w:right w:type="dxa" w:w="90"/>
            </w:tcMar>
          </w:tcPr>
          <w:p>
            <w:pPr>
              <w:spacing w:after="0"/>
              <w:jc w:val="right"/>
            </w:pPr>
            <w:r>
              <w:rPr>
                <w:b w:val="false"/>
                <w:bCs w:val="false"/>
                <w:sz w:val="18"/>
                <w:szCs w:val="18"/>
              </w:rPr>
              <w:t xml:space="preserve">+27%</w:t>
            </w:r>
          </w:p>
        </w:tc>
        <w:tc>
          <w:tcPr>
            <w:tcW w:type="dxa" w:w="1121"/>
            <w:tcMar>
              <w:top w:type="dxa" w:w="60"/>
              <w:left w:type="dxa" w:w="90"/>
              <w:bottom w:type="dxa" w:w="60"/>
              <w:right w:type="dxa" w:w="90"/>
            </w:tcMar>
          </w:tcPr>
          <w:p>
            <w:pPr>
              <w:spacing w:after="0"/>
              <w:jc w:val="right"/>
            </w:pPr>
            <w:r>
              <w:rPr>
                <w:b w:val="false"/>
                <w:bCs w:val="false"/>
                <w:sz w:val="18"/>
                <w:szCs w:val="18"/>
              </w:rPr>
              <w:t xml:space="preserve">+50%</w:t>
            </w:r>
          </w:p>
        </w:tc>
        <w:tc>
          <w:tcPr>
            <w:tcW w:type="dxa" w:w="1345"/>
            <w:tcMar>
              <w:top w:type="dxa" w:w="60"/>
              <w:left w:type="dxa" w:w="90"/>
              <w:bottom w:type="dxa" w:w="60"/>
              <w:right w:type="dxa" w:w="90"/>
            </w:tcMar>
          </w:tcPr>
          <w:p>
            <w:pPr>
              <w:spacing w:after="0"/>
              <w:jc w:val="right"/>
            </w:pPr>
            <w:r>
              <w:rPr>
                <w:b w:val="false"/>
                <w:bCs w:val="false"/>
                <w:sz w:val="18"/>
                <w:szCs w:val="18"/>
              </w:rPr>
              <w:t xml:space="preserve">24</w:t>
            </w:r>
          </w:p>
        </w:tc>
        <w:tc>
          <w:tcPr>
            <w:tcW w:type="dxa" w:w="897"/>
            <w:tcMar>
              <w:top w:type="dxa" w:w="60"/>
              <w:left w:type="dxa" w:w="90"/>
              <w:bottom w:type="dxa" w:w="60"/>
              <w:right w:type="dxa" w:w="90"/>
            </w:tcMar>
          </w:tcPr>
          <w:p>
            <w:pPr>
              <w:spacing w:after="0"/>
              <w:jc w:val="right"/>
            </w:pPr>
            <w:r>
              <w:rPr>
                <w:b w:val="false"/>
                <w:bCs w:val="false"/>
                <w:sz w:val="18"/>
                <w:szCs w:val="18"/>
              </w:rPr>
              <w:t xml:space="preserve">88</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GRINDWELL</w:t>
            </w:r>
          </w:p>
        </w:tc>
        <w:tc>
          <w:tcPr>
            <w:tcW w:type="dxa" w:w="784"/>
            <w:tcMar>
              <w:top w:type="dxa" w:w="60"/>
              <w:left w:type="dxa" w:w="90"/>
              <w:bottom w:type="dxa" w:w="60"/>
              <w:right w:type="dxa" w:w="90"/>
            </w:tcMar>
          </w:tcPr>
          <w:p>
            <w:pPr>
              <w:spacing w:after="0"/>
              <w:jc w:val="right"/>
            </w:pPr>
            <w:r>
              <w:rPr>
                <w:b w:val="false"/>
                <w:bCs w:val="false"/>
                <w:sz w:val="18"/>
                <w:szCs w:val="18"/>
              </w:rPr>
              <w:t xml:space="preserve">11</w:t>
            </w:r>
          </w:p>
        </w:tc>
        <w:tc>
          <w:tcPr>
            <w:tcW w:type="dxa" w:w="1121"/>
            <w:tcMar>
              <w:top w:type="dxa" w:w="60"/>
              <w:left w:type="dxa" w:w="90"/>
              <w:bottom w:type="dxa" w:w="60"/>
              <w:right w:type="dxa" w:w="90"/>
            </w:tcMar>
          </w:tcPr>
          <w:p>
            <w:pPr>
              <w:spacing w:after="0"/>
              <w:jc w:val="right"/>
            </w:pPr>
            <w:r>
              <w:rPr>
                <w:b w:val="false"/>
                <w:bCs w:val="false"/>
                <w:sz w:val="18"/>
                <w:szCs w:val="18"/>
              </w:rPr>
              <w:t xml:space="preserve">+37%</w:t>
            </w:r>
          </w:p>
        </w:tc>
        <w:tc>
          <w:tcPr>
            <w:tcW w:type="dxa" w:w="1121"/>
            <w:tcMar>
              <w:top w:type="dxa" w:w="60"/>
              <w:left w:type="dxa" w:w="90"/>
              <w:bottom w:type="dxa" w:w="60"/>
              <w:right w:type="dxa" w:w="90"/>
            </w:tcMar>
          </w:tcPr>
          <w:p>
            <w:pPr>
              <w:spacing w:after="0"/>
              <w:jc w:val="right"/>
            </w:pPr>
            <w:r>
              <w:rPr>
                <w:b w:val="false"/>
                <w:bCs w:val="false"/>
                <w:sz w:val="18"/>
                <w:szCs w:val="18"/>
              </w:rPr>
              <w:t xml:space="preserve">-6%</w:t>
            </w:r>
          </w:p>
        </w:tc>
        <w:tc>
          <w:tcPr>
            <w:tcW w:type="dxa" w:w="1121"/>
            <w:tcMar>
              <w:top w:type="dxa" w:w="60"/>
              <w:left w:type="dxa" w:w="90"/>
              <w:bottom w:type="dxa" w:w="60"/>
              <w:right w:type="dxa" w:w="90"/>
            </w:tcMar>
          </w:tcPr>
          <w:p>
            <w:pPr>
              <w:spacing w:after="0"/>
              <w:jc w:val="right"/>
            </w:pPr>
            <w:r>
              <w:rPr>
                <w:b w:val="false"/>
                <w:bCs w:val="false"/>
                <w:sz w:val="18"/>
                <w:szCs w:val="18"/>
              </w:rPr>
              <w:t xml:space="preserve">+22%</w:t>
            </w:r>
          </w:p>
        </w:tc>
        <w:tc>
          <w:tcPr>
            <w:tcW w:type="dxa" w:w="1345"/>
            <w:tcMar>
              <w:top w:type="dxa" w:w="60"/>
              <w:left w:type="dxa" w:w="90"/>
              <w:bottom w:type="dxa" w:w="60"/>
              <w:right w:type="dxa" w:w="90"/>
            </w:tcMar>
          </w:tcPr>
          <w:p>
            <w:pPr>
              <w:spacing w:after="0"/>
              <w:jc w:val="right"/>
            </w:pPr>
            <w:r>
              <w:rPr>
                <w:b w:val="false"/>
                <w:bCs w:val="false"/>
                <w:sz w:val="18"/>
                <w:szCs w:val="18"/>
              </w:rPr>
              <w:t xml:space="preserve">6</w:t>
            </w:r>
          </w:p>
        </w:tc>
        <w:tc>
          <w:tcPr>
            <w:tcW w:type="dxa" w:w="897"/>
            <w:tcMar>
              <w:top w:type="dxa" w:w="60"/>
              <w:left w:type="dxa" w:w="90"/>
              <w:bottom w:type="dxa" w:w="60"/>
              <w:right w:type="dxa" w:w="90"/>
            </w:tcMar>
          </w:tcPr>
          <w:p>
            <w:pPr>
              <w:spacing w:after="0"/>
              <w:jc w:val="right"/>
            </w:pPr>
            <w:r>
              <w:rPr>
                <w:b w:val="false"/>
                <w:bCs w:val="false"/>
                <w:sz w:val="18"/>
                <w:szCs w:val="18"/>
              </w:rPr>
              <w:t xml:space="preserve">50</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CARBORUNIV</w:t>
            </w:r>
          </w:p>
        </w:tc>
        <w:tc>
          <w:tcPr>
            <w:tcW w:type="dxa" w:w="784"/>
            <w:tcMar>
              <w:top w:type="dxa" w:w="60"/>
              <w:left w:type="dxa" w:w="90"/>
              <w:bottom w:type="dxa" w:w="60"/>
              <w:right w:type="dxa" w:w="90"/>
            </w:tcMar>
          </w:tcPr>
          <w:p>
            <w:pPr>
              <w:spacing w:after="0"/>
              <w:jc w:val="right"/>
            </w:pPr>
            <w:r>
              <w:rPr>
                <w:b w:val="false"/>
                <w:bCs w:val="false"/>
                <w:sz w:val="18"/>
                <w:szCs w:val="18"/>
              </w:rPr>
              <w:t xml:space="preserve">13</w:t>
            </w:r>
          </w:p>
        </w:tc>
        <w:tc>
          <w:tcPr>
            <w:tcW w:type="dxa" w:w="1121"/>
            <w:tcMar>
              <w:top w:type="dxa" w:w="60"/>
              <w:left w:type="dxa" w:w="90"/>
              <w:bottom w:type="dxa" w:w="60"/>
              <w:right w:type="dxa" w:w="90"/>
            </w:tcMar>
          </w:tcPr>
          <w:p>
            <w:pPr>
              <w:spacing w:after="0"/>
              <w:jc w:val="right"/>
            </w:pPr>
            <w:r>
              <w:rPr>
                <w:b w:val="false"/>
                <w:bCs w:val="false"/>
                <w:sz w:val="18"/>
                <w:szCs w:val="18"/>
              </w:rPr>
              <w:t xml:space="preserve">+32%</w:t>
            </w:r>
          </w:p>
        </w:tc>
        <w:tc>
          <w:tcPr>
            <w:tcW w:type="dxa" w:w="1121"/>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+23%</w:t>
            </w:r>
          </w:p>
        </w:tc>
        <w:tc>
          <w:tcPr>
            <w:tcW w:type="dxa" w:w="1345"/>
            <w:tcMar>
              <w:top w:type="dxa" w:w="60"/>
              <w:left w:type="dxa" w:w="90"/>
              <w:bottom w:type="dxa" w:w="60"/>
              <w:right w:type="dxa" w:w="90"/>
            </w:tcMar>
          </w:tcPr>
          <w:p>
            <w:pPr>
              <w:spacing w:after="0"/>
              <w:jc w:val="right"/>
            </w:pPr>
            <w:r>
              <w:rPr>
                <w:b w:val="false"/>
                <w:bCs w:val="false"/>
                <w:sz w:val="18"/>
                <w:szCs w:val="18"/>
              </w:rPr>
              <w:t xml:space="preserve">19</w:t>
            </w:r>
          </w:p>
        </w:tc>
        <w:tc>
          <w:tcPr>
            <w:tcW w:type="dxa" w:w="897"/>
            <w:tcMar>
              <w:top w:type="dxa" w:w="60"/>
              <w:left w:type="dxa" w:w="90"/>
              <w:bottom w:type="dxa" w:w="60"/>
              <w:right w:type="dxa" w:w="90"/>
            </w:tcMar>
          </w:tcPr>
          <w:p>
            <w:pPr>
              <w:spacing w:after="0"/>
              <w:jc w:val="right"/>
            </w:pPr>
            <w:r>
              <w:rPr>
                <w:b w:val="false"/>
                <w:bCs w:val="false"/>
                <w:sz w:val="18"/>
                <w:szCs w:val="18"/>
              </w:rPr>
              <w:t xml:space="preserve">97</w:t>
            </w:r>
          </w:p>
        </w:tc>
        <w:tc>
          <w:tcPr>
            <w:tcW w:type="dxa" w:w="1232"/>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VOLTAMP</w:t>
            </w:r>
          </w:p>
        </w:tc>
        <w:tc>
          <w:tcPr>
            <w:tcW w:type="dxa" w:w="784"/>
            <w:tcMar>
              <w:top w:type="dxa" w:w="60"/>
              <w:left w:type="dxa" w:w="90"/>
              <w:bottom w:type="dxa" w:w="60"/>
              <w:right w:type="dxa" w:w="90"/>
            </w:tcMar>
          </w:tcPr>
          <w:p>
            <w:pPr>
              <w:spacing w:after="0"/>
              <w:jc w:val="right"/>
            </w:pPr>
            <w:r>
              <w:rPr>
                <w:b w:val="false"/>
                <w:bCs w:val="false"/>
                <w:sz w:val="18"/>
                <w:szCs w:val="18"/>
              </w:rPr>
              <w:t xml:space="preserve">15</w:t>
            </w:r>
          </w:p>
        </w:tc>
        <w:tc>
          <w:tcPr>
            <w:tcW w:type="dxa" w:w="1121"/>
            <w:tcMar>
              <w:top w:type="dxa" w:w="60"/>
              <w:left w:type="dxa" w:w="90"/>
              <w:bottom w:type="dxa" w:w="60"/>
              <w:right w:type="dxa" w:w="90"/>
            </w:tcMar>
          </w:tcPr>
          <w:p>
            <w:pPr>
              <w:spacing w:after="0"/>
              <w:jc w:val="right"/>
            </w:pPr>
            <w:r>
              <w:rPr>
                <w:b w:val="false"/>
                <w:bCs w:val="false"/>
                <w:sz w:val="18"/>
                <w:szCs w:val="18"/>
              </w:rPr>
              <w:t xml:space="preserve">+18%</w:t>
            </w:r>
          </w:p>
        </w:tc>
        <w:tc>
          <w:tcPr>
            <w:tcW w:type="dxa" w:w="1121"/>
            <w:tcMar>
              <w:top w:type="dxa" w:w="60"/>
              <w:left w:type="dxa" w:w="90"/>
              <w:bottom w:type="dxa" w:w="60"/>
              <w:right w:type="dxa" w:w="90"/>
            </w:tcMar>
          </w:tcPr>
          <w:p>
            <w:pPr>
              <w:spacing w:after="0"/>
              <w:jc w:val="right"/>
            </w:pPr>
            <w:r>
              <w:rPr>
                <w:b w:val="false"/>
                <w:bCs w:val="false"/>
                <w:sz w:val="18"/>
                <w:szCs w:val="18"/>
              </w:rPr>
              <w:t xml:space="preserve">+8%</w:t>
            </w:r>
          </w:p>
        </w:tc>
        <w:tc>
          <w:tcPr>
            <w:tcW w:type="dxa" w:w="1121"/>
            <w:tcMar>
              <w:top w:type="dxa" w:w="60"/>
              <w:left w:type="dxa" w:w="90"/>
              <w:bottom w:type="dxa" w:w="60"/>
              <w:right w:type="dxa" w:w="90"/>
            </w:tcMar>
          </w:tcPr>
          <w:p>
            <w:pPr>
              <w:spacing w:after="0"/>
              <w:jc w:val="right"/>
            </w:pPr>
            <w:r>
              <w:rPr>
                <w:b w:val="false"/>
                <w:bCs w:val="false"/>
                <w:sz w:val="18"/>
                <w:szCs w:val="18"/>
              </w:rPr>
              <w:t xml:space="preserve">+15%</w:t>
            </w:r>
          </w:p>
        </w:tc>
        <w:tc>
          <w:tcPr>
            <w:tcW w:type="dxa" w:w="1345"/>
            <w:tcMar>
              <w:top w:type="dxa" w:w="60"/>
              <w:left w:type="dxa" w:w="90"/>
              <w:bottom w:type="dxa" w:w="60"/>
              <w:right w:type="dxa" w:w="90"/>
            </w:tcMar>
          </w:tcPr>
          <w:p>
            <w:pPr>
              <w:spacing w:after="0"/>
              <w:jc w:val="right"/>
            </w:pPr>
            <w:r>
              <w:rPr>
                <w:b w:val="false"/>
                <w:bCs w:val="false"/>
                <w:sz w:val="18"/>
                <w:szCs w:val="18"/>
              </w:rPr>
              <w:t xml:space="preserve">25</w:t>
            </w:r>
          </w:p>
        </w:tc>
        <w:tc>
          <w:tcPr>
            <w:tcW w:type="dxa" w:w="897"/>
            <w:tcMar>
              <w:top w:type="dxa" w:w="60"/>
              <w:left w:type="dxa" w:w="90"/>
              <w:bottom w:type="dxa" w:w="60"/>
              <w:right w:type="dxa" w:w="90"/>
            </w:tcMar>
          </w:tcPr>
          <w:p>
            <w:pPr>
              <w:spacing w:after="0"/>
              <w:jc w:val="right"/>
            </w:pPr>
            <w:r>
              <w:rPr>
                <w:b w:val="false"/>
                <w:bCs w:val="false"/>
                <w:sz w:val="18"/>
                <w:szCs w:val="18"/>
              </w:rPr>
              <w:t xml:space="preserve">34</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VOLTAMP: Voltamp Transformers (rank 15)</w:t>
      </w:r>
    </w:p>
    <w:p>
      <w:pPr>
        <w:spacing w:after="120" w:line="276"/>
      </w:pPr>
      <w:r>
        <w:rPr>
          <w:b/>
          <w:bCs/>
        </w:rPr>
        <w:t xml:space="preserve">Business.</w:t>
      </w:r>
      <w:r>
        <w:t xml:space="preserve"> Oil-filled power and distribution transformers (~96% products); power T&amp;D equipment.</w:t>
      </w:r>
    </w:p>
    <w:p>
      <w:pPr>
        <w:spacing w:after="120" w:line="276"/>
      </w:pPr>
      <w:r>
        <w:rPr>
          <w:b/>
          <w:bCs/>
        </w:rPr>
        <w:t xml:space="preserve">Case.</w:t>
      </w:r>
      <w:r>
        <w:t xml:space="preserve"> Oil-filled power and distribution transformers (~96% products): core T&amp;D equipment. 6-month RS +18%, profit +15%.  </w:t>
      </w:r>
      <w:r>
        <w:rPr>
          <w:b/>
          <w:bCs/>
        </w:rPr>
        <w:t xml:space="preserve">Risk.</w:t>
      </w:r>
      <w:r>
        <w:t xml:space="preserve"> Momentum faded in both RRG views (Low conviction); it was excluded while the conviction filter existed.  </w:t>
      </w:r>
      <w:r>
        <w:rPr>
          <w:b/>
          <w:bCs/>
        </w:rPr>
        <w:t xml:space="preserve">Answer.</w:t>
      </w:r>
      <w:r>
        <w:t xml:space="preserve"> Reserve #7. Its return after the filter was dropped is a direct consequence of the backtest, not a judgement call.</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32 of 32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Screener classifies it as Construction, outside our three exports. Tested separately: bearish trend (DI gap −3.8), lagging the Nifty 500,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Now IN the list (reserve #7). It was excluded only while the conviction filter existed.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23,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22,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the RRG is context, not a rule.</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we show the RRG as context only.</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32. L&amp;T: not in the capital goods universe (Construction), and its trend is bearish anyway.</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Why 3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daily range; 3 ATR puts today's stops 13-17% below price. The multiple is a judgement (wide enough to survive ordinary weeks, tight enough to cap a loss at roughly a month of volatility), not an optimised number; we did not backtest alternatives.</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32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+15.2%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+67%</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17.8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2026-09-27T15:14:12.932Z</dcterms:created>
  <dcterms:modified xsi:type="dcterms:W3CDTF">2026-09-27T15:14:12.932Z</dcterms:modified>
</cp:coreProperties>
</file>

<file path=docProps/custom.xml><?xml version="1.0" encoding="utf-8"?>
<Properties xmlns="http://schemas.openxmlformats.org/officeDocument/2006/custom-properties" xmlns:vt="http://schemas.openxmlformats.org/officeDocument/2006/docPropsVTypes"/>
</file>