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PhD in Computer Science · Reliable RLVR, Foundation Model Reasoning &amp; Distributed Consensus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Pre-Doctoral Researcher, Independent Research Systems Research (Mentored by , Distinguished Engineer) · APCOER Pune (SPPU)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INTERESTS</w:t>
      </w:r>
    </w:p>
    <w:p>
      <w:pPr>
        <w:spacing w:after="80"/>
      </w:pPr>
      <w:r>
        <w:rPr>
          <w:rFonts w:ascii="Calibri" w:hAnsi="Calibri"/>
          <w:sz w:val="19"/>
        </w:rPr>
        <w:t>Reliable Reinforcement Learning (RLVR): Policy optimization (GRPO/PPO), verifiable reward credit assignment, uncertainty calibration, length confounding, and reasoning trajectory geometry.</w:t>
        <w:br/>
        <w:t>Fault-Tolerant Distributed Systems: State-machine replication (Raft, Paxos), dynamic quorum adaptation under network partitioning, linearizability verification, and tail latency elimination in modern C++20.</w:t>
        <w:br/>
        <w:t>Counterfactual Evaluation: Difference-in-differences state continuation protocols isolating nominal self-correction from unconditional generative capacity.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HONORS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Honors &amp; Awards: Gold Medal in Mathematics (2024); Department Rank 1; First Class with Distinction (170/170 credits, Seat No: B191102032, PRN: 72159719L, 125th Convocation).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Grade O (Outstanding 10/10) Coursework: Quantum AI (Course 417523A, 10/10), Distributed Computing (Course 417531, 10/10), Artificial Neural Networks (Course 317531, 10/10), Operating Systems (Course 217521, 10/10), Cyber Security (Course 317530, 10/10), Senior Capstone Project (10/10).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Medium of Instruction: Verified on official university transcripts as ENGLISH (Ref: EXAM./TRANS./BEN241203044).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Pre-University: Class XII HSC (71.23%, Seat: V001345) • Class X SSC (85.20% Distinction, Mathematics: 95/100, Seat: H006786).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&amp; PRE-DOCTORAL EXPERIENCE</w:t>
      </w:r>
    </w:p>
    <w:p>
      <w:pPr>
        <w:spacing w:after="20"/>
      </w:pPr>
      <w:r>
        <w:rPr>
          <w:rFonts w:ascii="Calibri" w:hAnsi="Calibri"/>
          <w:b/>
          <w:sz w:val="20"/>
        </w:rPr>
        <w:t>Independent Research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implemented &lt;code&gt;quorumshift&lt;/code&gt; in modern C++20: dynamic quorum re-weighting with Delta-bounded clock drift, eliminating p99 tail latency spikes during asymmetric cloud network partitions.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5-way matched ablation studies on GSM8K/MATH demonstrating that token predictive entropy acts as an unintended length penalty in GRPO (r = +0.486, p &lt; 10^-6).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asynchronous, lock-free C++20 distributed benchmarking harness testing consensus throughput under chaotic network fault injections.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Undergraduate Researcher &amp; Peer Academic Mentor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&lt;code&gt;recovery_eval&lt;/code&gt; and &lt;code&gt;stateshift&lt;/code&gt; to measure state-contrast continuation in LLM reasoning rollouts.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Conducted recitations and lab tutorials in Data Structures, Algorithms, and Discrete Mathematics for 120+ engineering undergraduates.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PUBLICATIONS &amp; MANUSCRIPTS UNDER REVIEW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When Confidence Proxies Confound Reasoning Complexity: Pitfalls of Uncertainty-Weighted Credit Assignment in Language Model RL</w:t>
        <w:br/>
      </w:r>
      <w:r>
        <w:rPr>
          <w:rFonts w:ascii="Calibri" w:hAnsi="Calibri"/>
          <w:sz w:val="19"/>
        </w:rPr>
        <w:t>Sham Satish Thakare. Under Review at IEEE Transactions on Artificial Intelligence (IEEE TAI), 2024. [Code: github.com/shamddd/ear_grpo_reasoning]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AdaptiveReplica: Dynamic Quorum Adaptation and Failure-Aware Replica Selection in Distributed Consensus</w:t>
        <w:br/>
      </w:r>
      <w:r>
        <w:rPr>
          <w:rFonts w:ascii="Calibri" w:hAnsi="Calibri"/>
          <w:sz w:val="19"/>
        </w:rPr>
        <w:t>Sham Satish Thakare,  (Distinguished Engineer, Independent Research). Under Review at IEEE TAI, 2024. [Code (C++20): github.com/shamddd/quorumshift]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recovery_eval: State-Matched and Provenance-Aware Evaluation of Recovery Behavior in Language-Model Reasoning</w:t>
        <w:br/>
      </w:r>
      <w:r>
        <w:rPr>
          <w:rFonts w:ascii="Calibri" w:hAnsi="Calibri"/>
          <w:sz w:val="19"/>
        </w:rPr>
        <w:t>Sham Satish Thakare. Under Review at IEEE BigData, 2024. [Paper: shamddd.github.io/shamthakare.github.io/pdfs/recovery-eval.pdf]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MediRush-SafeAgent: Layered Runtime Enforcement for Healthcare-Commerce LLM Tool Execution</w:t>
        <w:br/>
      </w:r>
      <w:r>
        <w:rPr>
          <w:rFonts w:ascii="Calibri" w:hAnsi="Calibri"/>
          <w:sz w:val="19"/>
        </w:rPr>
        <w:t>Sham Satish Thakare. In Peer Review at Intelligence-Based Medicine (Elsevier) &amp; SSRN Preprint (ID: 7446543), 2024. [SSRN: ssrn.com/abstract=7446543]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SEAS CS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Sham Kakade (Kempner Institute / SEAS): Statistical foundations of reasoning, reinforcement learning policy optimization, and verifiable reward alignment.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Boaz Barak (SEAS): Theoretical limits and capabilities of deep learning, multi-step reasoning models, and computational complexity.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Minlan Yu (SEAS): Scalable networked systems, high-speed telemetry, and cloud infrastructure.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James Mickens (SEAS): Fault-tolerant distributed consensus, state machine replication, and resilient systems.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