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A4C2" w14:textId="77777777" w:rsidR="0043079B" w:rsidRPr="0043079B" w:rsidRDefault="0043079B" w:rsidP="0043079B">
      <w:pPr>
        <w:spacing w:after="0" w:line="315" w:lineRule="atLeast"/>
        <w:rPr>
          <w:rFonts w:ascii="Segoe UI" w:eastAsia="Times New Roman" w:hAnsi="Segoe UI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Segoe UI" w:eastAsia="Times New Roman" w:hAnsi="Segoe UI" w:cs="Segoe UI"/>
          <w:kern w:val="0"/>
          <w:sz w:val="23"/>
          <w:szCs w:val="23"/>
          <w:lang w:eastAsia="en-MY"/>
          <w14:ligatures w14:val="none"/>
        </w:rPr>
        <w:t>Outlining the service architecture and key design decisions</w:t>
      </w:r>
    </w:p>
    <w:p w14:paraId="295FB3E7" w14:textId="1A16C4C1" w:rsidR="0043079B" w:rsidRDefault="0043079B" w:rsidP="0043079B">
      <w:pPr>
        <w:spacing w:after="0" w:line="240" w:lineRule="auto"/>
        <w:jc w:val="center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  <w:r w:rsidRPr="0043079B"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  <w:drawing>
          <wp:inline distT="0" distB="0" distL="0" distR="0" wp14:anchorId="7686E9EA" wp14:editId="4483B75B">
            <wp:extent cx="4838700" cy="6457220"/>
            <wp:effectExtent l="0" t="0" r="0" b="1270"/>
            <wp:docPr id="4440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1419" name=""/>
                    <pic:cNvPicPr/>
                  </pic:nvPicPr>
                  <pic:blipFill rotWithShape="1">
                    <a:blip r:embed="rId4"/>
                    <a:srcRect t="5781" r="-1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146" cy="6468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FC738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751DD367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1489137A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0D7827BE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783CE9F8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23AD9C38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2B418CD8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7DEB606A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7FCCC9DC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4E0E1793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7D32E831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70AFD8E2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p w14:paraId="36D2B05B" w14:textId="77777777" w:rsidR="0043079B" w:rsidRDefault="0043079B" w:rsidP="0043079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MY"/>
          <w14:ligatures w14:val="none"/>
        </w:rPr>
      </w:pPr>
    </w:p>
    <w:tbl>
      <w:tblPr>
        <w:tblpPr w:leftFromText="180" w:rightFromText="180" w:vertAnchor="text" w:horzAnchor="margin" w:tblpY="557"/>
        <w:tblW w:w="873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970"/>
        <w:gridCol w:w="4140"/>
      </w:tblGrid>
      <w:tr w:rsidR="0043079B" w:rsidRPr="0043079B" w14:paraId="6498653B" w14:textId="77777777" w:rsidTr="0043079B">
        <w:trPr>
          <w:tblHeader/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555891" w14:textId="77777777" w:rsidR="0043079B" w:rsidRPr="0043079B" w:rsidRDefault="0043079B" w:rsidP="0043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Y"/>
                <w14:ligatures w14:val="none"/>
              </w:rPr>
              <w:t>Layer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339429" w14:textId="77777777" w:rsidR="0043079B" w:rsidRPr="0043079B" w:rsidRDefault="0043079B" w:rsidP="0043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Y"/>
                <w14:ligatures w14:val="none"/>
              </w:rPr>
              <w:t>Choice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C7A881" w14:textId="77777777" w:rsidR="0043079B" w:rsidRPr="0043079B" w:rsidRDefault="0043079B" w:rsidP="004307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Y"/>
                <w14:ligatures w14:val="none"/>
              </w:rPr>
              <w:t>Why</w:t>
            </w:r>
          </w:p>
        </w:tc>
      </w:tr>
      <w:tr w:rsidR="0043079B" w:rsidRPr="0043079B" w14:paraId="2345D3CD" w14:textId="77777777" w:rsidTr="0043079B">
        <w:trPr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7078C0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Web and mobile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D5424F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React or Next.js as a PWA, Bahasa </w:t>
            </w:r>
            <w:proofErr w:type="spellStart"/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Melayu</w:t>
            </w:r>
            <w:proofErr w:type="spellEnd"/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 first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5D7B09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One codebase for volunteers’ phones and desktops, works on weak connections</w:t>
            </w:r>
          </w:p>
        </w:tc>
      </w:tr>
      <w:tr w:rsidR="0043079B" w:rsidRPr="0043079B" w14:paraId="09DA7C15" w14:textId="77777777" w:rsidTr="0043079B">
        <w:trPr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DB168B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Backend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FCBFBF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Node.js (</w:t>
            </w:r>
            <w:proofErr w:type="spellStart"/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NestJS</w:t>
            </w:r>
            <w:proofErr w:type="spellEnd"/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) or Java (Spring Boot) modular monolith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54AF6B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Common skills in Malaysia, easy to split into services later</w:t>
            </w:r>
          </w:p>
        </w:tc>
      </w:tr>
      <w:tr w:rsidR="0043079B" w:rsidRPr="0043079B" w14:paraId="663224A5" w14:textId="77777777" w:rsidTr="0043079B">
        <w:trPr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D6EDCC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Database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6D7F7A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PostgreSQL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C05964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Matches the schema already delivered; strong transaction integrity for finance</w:t>
            </w:r>
          </w:p>
        </w:tc>
      </w:tr>
      <w:tr w:rsidR="0043079B" w:rsidRPr="0043079B" w14:paraId="00DEA8B4" w14:textId="77777777" w:rsidTr="0043079B">
        <w:trPr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B4CD8C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Cache and jobs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3E3426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Redis with a job queue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6369CE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Receipts, reminders and monthly scoring runs</w:t>
            </w:r>
          </w:p>
        </w:tc>
      </w:tr>
      <w:tr w:rsidR="0043079B" w:rsidRPr="0043079B" w14:paraId="19461F1C" w14:textId="77777777" w:rsidTr="0043079B">
        <w:trPr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FAC2F4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Hosting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15F061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Government-approved cloud region in Malaysia, containers, infrastructure as code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B3A177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Data residency and repeatable deployments</w:t>
            </w:r>
          </w:p>
        </w:tc>
      </w:tr>
      <w:tr w:rsidR="0043079B" w:rsidRPr="0043079B" w14:paraId="3EE7FC8F" w14:textId="77777777" w:rsidTr="0043079B">
        <w:trPr>
          <w:tblCellSpacing w:w="15" w:type="dxa"/>
        </w:trPr>
        <w:tc>
          <w:tcPr>
            <w:tcW w:w="157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243696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Payments</w:t>
            </w:r>
          </w:p>
        </w:tc>
        <w:tc>
          <w:tcPr>
            <w:tcW w:w="2940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4EE1EC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Licensed gateway with split settlement</w:t>
            </w:r>
          </w:p>
        </w:tc>
        <w:tc>
          <w:tcPr>
            <w:tcW w:w="4095" w:type="dxa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3DF4E0" w14:textId="77777777" w:rsidR="0043079B" w:rsidRPr="0043079B" w:rsidRDefault="0043079B" w:rsidP="004307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 w:rsidRPr="0043079B"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Funds go to the mosque or tutor directly and the platform commission is deducted at source, so PIJ Holdings or the SPV never holds donor money</w:t>
            </w:r>
          </w:p>
        </w:tc>
      </w:tr>
    </w:tbl>
    <w:p w14:paraId="6DED7833" w14:textId="77777777" w:rsidR="0043079B" w:rsidRP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b/>
          <w:bCs/>
          <w:kern w:val="0"/>
          <w:sz w:val="23"/>
          <w:szCs w:val="23"/>
          <w:lang w:eastAsia="en-MY"/>
          <w14:ligatures w14:val="none"/>
        </w:rPr>
        <w:t>Suggested technology stack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(all replaceable, none is a requirement):</w:t>
      </w:r>
    </w:p>
    <w:p w14:paraId="12FAF4BD" w14:textId="77777777" w:rsid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b/>
          <w:bCs/>
          <w:kern w:val="0"/>
          <w:sz w:val="23"/>
          <w:szCs w:val="23"/>
          <w:lang w:eastAsia="en-MY"/>
          <w14:ligatures w14:val="none"/>
        </w:rPr>
        <w:t>Quran booking specifics.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The booking module needs a slot engine that locks a time slot while a parent pays, so two families can’t book the same hour. Pricing is hourly rate multiplied by hours, with a tier by number of students. Tutor onboarding checks </w:t>
      </w:r>
      <w:proofErr w:type="spellStart"/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>tauliah</w:t>
      </w:r>
      <w:proofErr w:type="spellEnd"/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or equivalent credentials first, and bookings with minors need a guardian consent step.</w:t>
      </w:r>
    </w:p>
    <w:p w14:paraId="762913CD" w14:textId="77777777" w:rsidR="0043079B" w:rsidRP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</w:p>
    <w:p w14:paraId="408BAD0F" w14:textId="77777777" w:rsidR="0043079B" w:rsidRP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b/>
          <w:bCs/>
          <w:kern w:val="0"/>
          <w:sz w:val="23"/>
          <w:szCs w:val="23"/>
          <w:lang w:eastAsia="en-MY"/>
          <w14:ligatures w14:val="none"/>
        </w:rPr>
        <w:t>Peak load.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Traffic spikes on Fridays, in Ramadan and before </w:t>
      </w:r>
      <w:proofErr w:type="spellStart"/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>qurban</w:t>
      </w:r>
      <w:proofErr w:type="spellEnd"/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cutoffs. The design handles this with autoscaling, a change freeze before those periods, load tests in Phase 1, and the 99.5% availability target from the business plan.</w:t>
      </w:r>
    </w:p>
    <w:p w14:paraId="39DC8CD8" w14:textId="77777777" w:rsidR="0043079B" w:rsidRDefault="0043079B" w:rsidP="0043079B">
      <w:pPr>
        <w:spacing w:after="0" w:line="315" w:lineRule="atLeast"/>
        <w:rPr>
          <w:rFonts w:ascii="Georgia" w:eastAsia="Times New Roman" w:hAnsi="Georgia" w:cs="Segoe UI"/>
          <w:b/>
          <w:bCs/>
          <w:kern w:val="0"/>
          <w:sz w:val="23"/>
          <w:szCs w:val="23"/>
          <w:lang w:eastAsia="en-MY"/>
          <w14:ligatures w14:val="none"/>
        </w:rPr>
      </w:pPr>
    </w:p>
    <w:p w14:paraId="66368E0D" w14:textId="77777777" w:rsid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b/>
          <w:bCs/>
          <w:kern w:val="0"/>
          <w:sz w:val="23"/>
          <w:szCs w:val="23"/>
          <w:lang w:eastAsia="en-MY"/>
          <w14:ligatures w14:val="none"/>
        </w:rPr>
        <w:t>Phasing.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</w:t>
      </w:r>
    </w:p>
    <w:p w14:paraId="1DAC4682" w14:textId="77777777" w:rsid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</w:p>
    <w:p w14:paraId="775D605B" w14:textId="77777777" w:rsid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Phase 1 delivers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Registry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,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Finance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,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Maintenance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and </w:t>
      </w:r>
      <w:proofErr w:type="spellStart"/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Kuliah</w:t>
      </w:r>
      <w:proofErr w:type="spellEnd"/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plus the gateway, identity and core data stores.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Donations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,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Qurban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and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Quran booking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follow in </w:t>
      </w:r>
    </w:p>
    <w:p w14:paraId="2D9150D5" w14:textId="77777777" w:rsid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Phase 2, and the </w:t>
      </w:r>
      <w:r w:rsidRPr="0043079B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Scoring engine</w:t>
      </w: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 xml:space="preserve"> and analytics store in </w:t>
      </w:r>
    </w:p>
    <w:p w14:paraId="497AED58" w14:textId="54467207" w:rsidR="0043079B" w:rsidRPr="0043079B" w:rsidRDefault="0043079B" w:rsidP="0043079B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</w:pPr>
      <w:r w:rsidRPr="0043079B">
        <w:rPr>
          <w:rFonts w:ascii="Georgia" w:eastAsia="Times New Roman" w:hAnsi="Georgia" w:cs="Segoe UI"/>
          <w:kern w:val="0"/>
          <w:sz w:val="23"/>
          <w:szCs w:val="23"/>
          <w:lang w:eastAsia="en-MY"/>
          <w14:ligatures w14:val="none"/>
        </w:rPr>
        <w:t>Phase 3, matching the funding gates.</w:t>
      </w:r>
    </w:p>
    <w:p w14:paraId="06471140" w14:textId="77777777" w:rsidR="00311D86" w:rsidRDefault="00311D86"/>
    <w:sectPr w:rsidR="00311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9B"/>
    <w:rsid w:val="001442DA"/>
    <w:rsid w:val="00311D86"/>
    <w:rsid w:val="0043079B"/>
    <w:rsid w:val="009D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AF30"/>
  <w15:chartTrackingRefBased/>
  <w15:docId w15:val="{8EEE4BAA-F024-4725-A80A-711A5794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PIJ Holdings Sdn Bhd</dc:creator>
  <cp:keywords/>
  <dc:description/>
  <cp:lastModifiedBy>PIJ Holdings Sdn Bhd</cp:lastModifiedBy>
  <cp:revision>1</cp:revision>
  <dcterms:created xsi:type="dcterms:W3CDTF">2026-10-25T13:34:00Z</dcterms:created>
  <dcterms:modified xsi:type="dcterms:W3CDTF">2026-10-25T13:40:00Z</dcterms:modified>
</cp:coreProperties>
</file>