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Rajdhani" w:cs="Rajdhani" w:eastAsia="Rajdhani" w:hAnsi="Rajdhani"/>
          <w:b/>
          <w:bCs/>
          <w:color w:val="1E2D3D"/>
          <w:sz w:val="40"/>
          <w:szCs w:val="40"/>
        </w:rPr>
        <w:t xml:space="preserve">DUTA INTEGRA SOLUTIONS</w:t>
      </w:r>
    </w:p>
    <w:p>
      <w:pPr>
        <w:spacing w:after="60"/>
      </w:pPr>
      <w:r>
        <w:rPr>
          <w:rFonts w:ascii="Rajdhani" w:cs="Rajdhani" w:eastAsia="Rajdhani" w:hAnsi="Rajdhani"/>
          <w:b/>
          <w:bCs/>
          <w:color w:val="C9A227"/>
          <w:sz w:val="26"/>
          <w:szCs w:val="26"/>
        </w:rPr>
        <w:t xml:space="preserve">Startup Checklist — Status Update</w:t>
      </w:r>
    </w:p>
    <w:p>
      <w:pPr>
        <w:spacing w:after="30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Original checklist: March 2026  |  Status reviewed: 24 August 2026</w:t>
      </w:r>
    </w:p>
    <w:p>
      <w:pPr>
        <w:spacing w:after="150" w:before="400"/>
      </w:pPr>
      <w:r>
        <w:rPr>
          <w:rFonts w:ascii="Rajdhani" w:cs="Rajdhani" w:eastAsia="Rajdhani" w:hAnsi="Rajdhani"/>
          <w:b/>
          <w:bCs/>
          <w:color w:val="1E2D3D"/>
          <w:sz w:val="26"/>
          <w:szCs w:val="26"/>
        </w:rPr>
        <w:t xml:space="preserve">Where things actually stand</w:t>
      </w:r>
    </w:p>
    <w:p>
      <w:pPr>
        <w:spacing w:after="100"/>
      </w:pPr>
      <w:r>
        <w:rPr>
          <w:rFonts w:ascii="Inter" w:cs="Inter" w:eastAsia="Inter" w:hAnsi="Inter"/>
          <w:i w:val="false"/>
          <w:iCs w:val="false"/>
          <w:color w:val="1A1A1A"/>
          <w:sz w:val="20"/>
          <w:szCs w:val="20"/>
        </w:rPr>
        <w:t xml:space="preserve">This checklist was written as a generic first-90-days template. Five months in, Duta Integra is well past most of Phase 1–3: SSM and the bank account are done, three active client relationships exist (Lapango, Eastelpro, AGMX), and the current priority isn't finding first clients — it's converting the existing ones into retainers. The table below re-marks every original item against where things stand now, so this can serve as a living tracker instead of a stale document.</w:t>
      </w:r>
    </w:p>
    <w:p>
      <w:pPr>
        <w:spacing w:after="0"/>
      </w:pPr>
      <w:r>
        <w:rPr>
          <w:rFonts w:ascii="Inter" w:cs="Inter" w:eastAsia="Inter" w:hAnsi="Inter"/>
          <w:i w:val="false"/>
          <w:iCs w:val="false"/>
          <w:color w:val="6B7280"/>
          <w:sz w:val="16"/>
          <w:szCs w:val="16"/>
        </w:rPr>
        <w:t xml:space="preserve">Legend:  ✅ Done   🔄 In Progress   ⏳ Pending   ❓ Confirm (status not in our records — check with you)   ◻ Not Started   ⏭ Deferred (not yet applicable)</w:t>
      </w:r>
    </w:p>
    <w:p>
      <w:pPr>
        <w:spacing w:after="150" w:before="400"/>
      </w:pPr>
      <w:r>
        <w:rPr>
          <w:rFonts w:ascii="Rajdhani" w:cs="Rajdhani" w:eastAsia="Rajdhani" w:hAnsi="Rajdhani"/>
          <w:b/>
          <w:bCs/>
          <w:color w:val="1E2D3D"/>
          <w:sz w:val="26"/>
          <w:szCs w:val="26"/>
        </w:rPr>
        <w:t xml:space="preserve">📋 PHASE 1 — Legal &amp; Compliance Setup</w:t>
      </w:r>
    </w:p>
    <w:tbl>
      <w:tblPr>
        <w:tblW w:type="dxa" w:w="14600"/>
        <w:tblBorders>
          <w:top w:val="single" w:color="B8BEC8" w:sz="2"/>
          <w:left w:val="single" w:color="B8BEC8" w:sz="2"/>
          <w:bottom w:val="single" w:color="B8BEC8" w:sz="2"/>
          <w:right w:val="single" w:color="B8BEC8" w:sz="2"/>
          <w:insideH w:val="single" w:color="B8BEC8" w:sz="2"/>
          <w:insideV w:val="single" w:color="B8BEC8" w:sz="2"/>
        </w:tblBorders>
      </w:tblPr>
      <w:tblGrid>
        <w:gridCol w:w="4600"/>
        <w:gridCol w:w="1400"/>
        <w:gridCol w:w="1700"/>
        <w:gridCol w:w="6900"/>
      </w:tblGrid>
      <w:tr>
        <w:trPr>
          <w:tblHeader/>
        </w:trPr>
        <w:tc>
          <w:tcPr>
            <w:tcW w:type="dxa" w:w="46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Confirm SSM registration is complete and certificate received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⚡ Urgent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Registered.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Open a dedicated business bank account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⚡ Urgent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Confirmed in place.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Register for tax number with LHDN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⚡ Urgent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7791F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Outstanding admin item — still open.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Assess SST registration requirement (revenue &gt; RM500k)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⏭ Deferred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Not yet applicable — revisit once MRR/revenue approaches threshold.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Draft standard service agreement and NDA templates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7791F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Combined Service Agreement + NDA template drafted; needs Malaysian legal review before first use.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Ensure PDPA compliance policy is in place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7791F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PDPA Compliance Policy drafted; needs legal review — credibility requirement before pitching PDPA services or grants.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Register on ePerolehan (MyProcurement) for gov contracts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◻ Not Started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Not started — low priority vs. current SME/retainer focus.</w:t>
            </w:r>
          </w:p>
        </w:tc>
      </w:tr>
    </w:tbl>
    <w:p>
      <w:pPr>
        <w:spacing w:after="150" w:before="400"/>
      </w:pPr>
      <w:r>
        <w:rPr>
          <w:rFonts w:ascii="Rajdhani" w:cs="Rajdhani" w:eastAsia="Rajdhani" w:hAnsi="Rajdhani"/>
          <w:b/>
          <w:bCs/>
          <w:color w:val="1E2D3D"/>
          <w:sz w:val="26"/>
          <w:szCs w:val="26"/>
        </w:rPr>
        <w:t xml:space="preserve">🎨 PHASE 2 — Branding &amp; Marketing</w:t>
      </w:r>
    </w:p>
    <w:tbl>
      <w:tblPr>
        <w:tblW w:type="dxa" w:w="14600"/>
        <w:tblBorders>
          <w:top w:val="single" w:color="B8BEC8" w:sz="2"/>
          <w:left w:val="single" w:color="B8BEC8" w:sz="2"/>
          <w:bottom w:val="single" w:color="B8BEC8" w:sz="2"/>
          <w:right w:val="single" w:color="B8BEC8" w:sz="2"/>
          <w:insideH w:val="single" w:color="B8BEC8" w:sz="2"/>
          <w:insideV w:val="single" w:color="B8BEC8" w:sz="2"/>
        </w:tblBorders>
      </w:tblPr>
      <w:tblGrid>
        <w:gridCol w:w="4600"/>
        <w:gridCol w:w="1400"/>
        <w:gridCol w:w="1700"/>
        <w:gridCol w:w="6900"/>
      </w:tblGrid>
      <w:tr>
        <w:trPr>
          <w:tblHeader/>
        </w:trPr>
        <w:tc>
          <w:tcPr>
            <w:tcW w:type="dxa" w:w="46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Define your IT service niche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⚡ Urgent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Positioned as "Malaysia's AI-First IT Partner"; services consolidated into Foundation / Growth / AI Partner tiers.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Design company logo and select brand colours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Navy #1E2D3D, Gold #C9A227, Silver #B8BEC8, Off-white #F8F9FB; Rajdhani Bold / Inter Light.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Build a professional website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Live at dutaintegra.my — EN + Malay (ms/) versions maintained in sync.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Set up LinkedIn Company Page and optimize founder profile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❓ Confirm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Status not confirmed in our records — flag if this still needs doing.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Set up Google Business Profile for local visibility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❓ Confirm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Status not confirmed — worth doing for Cyberjaya-area SME discovery.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Create a company profile / pitch deck (PDF)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7791F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Not yet produced — will matter for MDAG grant application and investor outreach (Cradle, MDEC).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Set up professional email (e.g. name@dutaintegra.my)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7791F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Outstanding admin item — still open.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Register social media handles (LinkedIn, Facebook, Instagram)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❓ Confirm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Status not confirmed in our records.</w:t>
            </w:r>
          </w:p>
        </w:tc>
      </w:tr>
    </w:tbl>
    <w:p>
      <w:pPr>
        <w:spacing w:after="150" w:before="400"/>
      </w:pPr>
      <w:r>
        <w:rPr>
          <w:rFonts w:ascii="Rajdhani" w:cs="Rajdhani" w:eastAsia="Rajdhani" w:hAnsi="Rajdhani"/>
          <w:b/>
          <w:bCs/>
          <w:color w:val="1E2D3D"/>
          <w:sz w:val="26"/>
          <w:szCs w:val="26"/>
        </w:rPr>
        <w:t xml:space="preserve">🤝 PHASE 3 — Finding First Clients</w:t>
      </w:r>
    </w:p>
    <w:tbl>
      <w:tblPr>
        <w:tblW w:type="dxa" w:w="14600"/>
        <w:tblBorders>
          <w:top w:val="single" w:color="B8BEC8" w:sz="2"/>
          <w:left w:val="single" w:color="B8BEC8" w:sz="2"/>
          <w:bottom w:val="single" w:color="B8BEC8" w:sz="2"/>
          <w:right w:val="single" w:color="B8BEC8" w:sz="2"/>
          <w:insideH w:val="single" w:color="B8BEC8" w:sz="2"/>
          <w:insideV w:val="single" w:color="B8BEC8" w:sz="2"/>
        </w:tblBorders>
      </w:tblPr>
      <w:tblGrid>
        <w:gridCol w:w="4600"/>
        <w:gridCol w:w="1400"/>
        <w:gridCol w:w="1700"/>
        <w:gridCol w:w="6900"/>
      </w:tblGrid>
      <w:tr>
        <w:trPr>
          <w:tblHeader/>
        </w:trPr>
        <w:tc>
          <w:tcPr>
            <w:tcW w:type="dxa" w:w="46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List 20 warm contacts to reach out to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⚡ Urgent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Effectively superseded — active client base already established.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Send personalized messages announcing the company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⚡ Urgent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Superseded by current focus: 3 personalised retainer-conversion emails drafted for Lapango, Eastelpro, AGMX.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Identify 10 target SME companies that may need IT services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7791F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Ongoing as part of pipeline-building beyond the current 3 clients.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Offer a free IT audit or discounted pilot to first 2–3 clients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Lapango and Eastelpro on Foundation tier, AGMX on Growth (tentative) — original pilot cohort essentially in place.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Join PIKOM, MDEC, or local tech industry associations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❓ Confirm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Status not confirmed — MDEC relevant for MDAG grant path too.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Attend at least 1 local tech/business networking event per month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❓ Confirm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Status not confirmed.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Collect testimonials and case studies from first clients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7791F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Not yet started — becomes important once retainers are signed, for grant/investor credibility.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List services on B2B platforms / directories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❓ Confirm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Status not confirmed.</w:t>
            </w:r>
          </w:p>
        </w:tc>
      </w:tr>
    </w:tbl>
    <w:p>
      <w:pPr>
        <w:spacing w:after="150" w:before="400"/>
      </w:pPr>
      <w:r>
        <w:rPr>
          <w:rFonts w:ascii="Rajdhani" w:cs="Rajdhani" w:eastAsia="Rajdhani" w:hAnsi="Rajdhani"/>
          <w:b/>
          <w:bCs/>
          <w:color w:val="1E2D3D"/>
          <w:sz w:val="26"/>
          <w:szCs w:val="26"/>
        </w:rPr>
        <w:t xml:space="preserve">👥 PHASE 4 — Building a Team</w:t>
      </w:r>
    </w:p>
    <w:tbl>
      <w:tblPr>
        <w:tblW w:type="dxa" w:w="14600"/>
        <w:tblBorders>
          <w:top w:val="single" w:color="B8BEC8" w:sz="2"/>
          <w:left w:val="single" w:color="B8BEC8" w:sz="2"/>
          <w:bottom w:val="single" w:color="B8BEC8" w:sz="2"/>
          <w:right w:val="single" w:color="B8BEC8" w:sz="2"/>
          <w:insideH w:val="single" w:color="B8BEC8" w:sz="2"/>
          <w:insideV w:val="single" w:color="B8BEC8" w:sz="2"/>
        </w:tblBorders>
      </w:tblPr>
      <w:tblGrid>
        <w:gridCol w:w="4600"/>
        <w:gridCol w:w="1400"/>
        <w:gridCol w:w="1700"/>
        <w:gridCol w:w="6900"/>
      </w:tblGrid>
      <w:tr>
        <w:trPr>
          <w:tblHeader/>
        </w:trPr>
        <w:tc>
          <w:tcPr>
            <w:tcW w:type="dxa" w:w="46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00"/>
            <w:shd w:fill="1E2D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Rajdhani" w:cs="Rajdhani" w:eastAsia="Rajdhani" w:hAnsi="Rajdhan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Identify the 1–2 key roles needed most urgently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7791F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First tech hire planned around Month 6 of forecast horizon (base case).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Decide: hire full-time vs. freelancers/contractors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7791F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Decision not yet finalised — tie to retainer MRR milestones.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Draft simple employment/freelance agreement template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◻ Not Started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Not started — needed before first hire.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Post job openings (JobStreet, LinkedIn Jobs, referrals)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◻ Not Started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Not yet — premature until hire timing/role is locked.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Set up basic HR policies (leave, conduct, hours)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◻ Not Started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Not started.</w:t>
            </w:r>
          </w:p>
        </w:tc>
      </w:tr>
      <w:tr>
        <w:tc>
          <w:tcPr>
            <w:tcW w:type="dxa" w:w="46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Use a project management tool for team coordination</w:t>
            </w:r>
          </w:p>
        </w:tc>
        <w:tc>
          <w:tcPr>
            <w:tcW w:type="dxa" w:w="14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❓ Confirm</w:t>
            </w:r>
          </w:p>
        </w:tc>
        <w:tc>
          <w:tcPr>
            <w:tcW w:type="dxa" w:w="6900"/>
            <w:shd w:fill="F8F9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6"/>
                <w:szCs w:val="16"/>
              </w:rPr>
              <w:t xml:space="preserve">Status not confirmed — worth locking in before first hire onboards.</w:t>
            </w:r>
          </w:p>
        </w:tc>
      </w:tr>
    </w:tbl>
    <w:p>
      <w:pPr>
        <w:spacing w:after="150" w:before="400"/>
      </w:pPr>
      <w:r>
        <w:rPr>
          <w:rFonts w:ascii="Rajdhani" w:cs="Rajdhani" w:eastAsia="Rajdhani" w:hAnsi="Rajdhani"/>
          <w:b/>
          <w:bCs/>
          <w:color w:val="1E2D3D"/>
          <w:sz w:val="26"/>
          <w:szCs w:val="26"/>
        </w:rPr>
        <w:t xml:space="preserve">⚡ Real Next Actions (replaces "Month 1 Quick Wins")</w:t>
      </w:r>
    </w:p>
    <w:p>
      <w:pPr>
        <w:spacing w:after="60"/>
      </w:pPr>
      <w:r>
        <w:rPr>
          <w:rFonts w:ascii="Inter" w:cs="Inter" w:eastAsia="Inter" w:hAnsi="Inter"/>
          <w:i w:val="false"/>
          <w:iCs w:val="false"/>
          <w:color w:val="1A1A1A"/>
          <w:sz w:val="20"/>
          <w:szCs w:val="20"/>
        </w:rPr>
        <w:t xml:space="preserve">1.  Get the PDPA Policy and Service Agreement + NDA through Malaysian legal review — this unblocks sending the 3 retainer proposals.</w:t>
      </w:r>
    </w:p>
    <w:p>
      <w:pPr>
        <w:spacing w:after="60"/>
      </w:pPr>
      <w:r>
        <w:rPr>
          <w:rFonts w:ascii="Inter" w:cs="Inter" w:eastAsia="Inter" w:hAnsi="Inter"/>
          <w:i w:val="false"/>
          <w:iCs w:val="false"/>
          <w:color w:val="1A1A1A"/>
          <w:sz w:val="20"/>
          <w:szCs w:val="20"/>
        </w:rPr>
        <w:t xml:space="preserve">2.  Register LHDN tax number and set up professional email — both outstanding admin items with no dependency blocking them.</w:t>
      </w:r>
    </w:p>
    <w:p>
      <w:pPr>
        <w:spacing w:after="60"/>
      </w:pPr>
      <w:r>
        <w:rPr>
          <w:rFonts w:ascii="Inter" w:cs="Inter" w:eastAsia="Inter" w:hAnsi="Inter"/>
          <w:i w:val="false"/>
          <w:iCs w:val="false"/>
          <w:color w:val="1A1A1A"/>
          <w:sz w:val="20"/>
          <w:szCs w:val="20"/>
        </w:rPr>
        <w:t xml:space="preserve">3.  Fill in per-client scope bullets and confirm Foundation/Growth monthly fees, then send the Lapango, Eastelpro, and AGMX outreach emails.</w:t>
      </w:r>
    </w:p>
    <w:p>
      <w:pPr>
        <w:spacing w:after="60"/>
      </w:pPr>
      <w:r>
        <w:rPr>
          <w:rFonts w:ascii="Inter" w:cs="Inter" w:eastAsia="Inter" w:hAnsi="Inter"/>
          <w:i w:val="false"/>
          <w:iCs w:val="false"/>
          <w:color w:val="1A1A1A"/>
          <w:sz w:val="20"/>
          <w:szCs w:val="20"/>
        </w:rPr>
        <w:t xml:space="preserve">4.  Delete the duplicate Vercel project (shamelali-dutaintegraweb-main) to stop wasting build minutes.</w:t>
      </w:r>
    </w:p>
    <w:p>
      <w:pPr>
        <w:spacing w:after="60"/>
      </w:pPr>
      <w:r>
        <w:rPr>
          <w:rFonts w:ascii="Inter" w:cs="Inter" w:eastAsia="Inter" w:hAnsi="Inter"/>
          <w:i w:val="false"/>
          <w:iCs w:val="false"/>
          <w:color w:val="1A1A1A"/>
          <w:sz w:val="20"/>
          <w:szCs w:val="20"/>
        </w:rPr>
        <w:t xml:space="preserve">5.  Once a retainer or two is signed, start collecting testimonials — needed for both the MDAG grant application and eventual investor conversations.</w:t>
      </w:r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2026-08-24T06:13:00.622Z</dcterms:created>
  <dcterms:modified xsi:type="dcterms:W3CDTF">2026-08-24T06:13:00.622Z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