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Rajdhani" w:cs="Rajdhani" w:eastAsia="Rajdhani" w:hAnsi="Rajdhani"/>
          <w:b/>
          <w:bCs/>
          <w:color w:val="1E2D3D"/>
          <w:sz w:val="22"/>
          <w:szCs w:val="22"/>
        </w:rPr>
        <w:t xml:space="preserve">DUTA INTEGRA SOLUTIONS</w:t>
      </w:r>
    </w:p>
    <w:p>
      <w:pPr>
        <w:pBdr>
          <w:bottom w:val="single" w:color="C9A227" w:sz="12" w:space="6"/>
        </w:pBdr>
        <w:spacing w:after="300"/>
      </w:pPr>
      <w:r>
        <w:rPr>
          <w:rFonts w:ascii="Rajdhani" w:cs="Rajdhani" w:eastAsia="Rajdhani" w:hAnsi="Rajdhani"/>
          <w:b/>
          <w:bCs/>
          <w:color w:val="1E2D3D"/>
          <w:sz w:val="40"/>
          <w:szCs w:val="40"/>
        </w:rPr>
        <w:t xml:space="preserve">Growth Roadmap — Becoming the Household IT Partner for Malaysian SMEs</w:t>
      </w:r>
    </w:p>
    <w:p>
      <w:pPr>
        <w:spacing w:after="160"/>
      </w:pPr>
      <w:r>
        <w:rPr>
          <w:rFonts w:ascii="Inter" w:cs="Inter" w:eastAsia="Inter" w:hAnsi="Inter"/>
          <w:i/>
          <w:iCs/>
          <w:color w:val="222222"/>
          <w:sz w:val="21"/>
          <w:szCs w:val="21"/>
        </w:rPr>
        <w:t xml:space="preserve">Prepared: 13 September 2026  |  Internal strategy document — not for client distribution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Rajdhani" w:cs="Rajdhani" w:eastAsia="Rajdhani" w:hAnsi="Rajdhani"/>
          <w:b/>
          <w:bCs/>
          <w:color w:val="1E2D3D"/>
          <w:sz w:val="32"/>
          <w:szCs w:val="32"/>
        </w:rPr>
        <w:t xml:space="preserve">Why this roadmap</w:t>
      </w:r>
    </w:p>
    <w:p>
      <w:pPr>
        <w:spacing w:after="160"/>
      </w:pPr>
      <w:r>
        <w:rPr>
          <w:rFonts w:ascii="Inter" w:cs="Inter" w:eastAsia="Inter" w:hAnsi="Inter"/>
          <w:i w:val="false"/>
          <w:iCs w:val="false"/>
          <w:color w:val="222222"/>
          <w:sz w:val="21"/>
          <w:szCs w:val="21"/>
        </w:rPr>
        <w:t xml:space="preserve">Duta Integra sells human-led retainers, not a self-serve outreach bot — so this isn't about copying Explee's funnel. It's about borrowing the two things Explee gets structurally right: a tight, repeatable outreach sequence, and a homepage built entirely from visible proof rather than claims. Everything below is scoped for a services business with three live client relationships (Lapango, Eastelpro, AGMX) and a small team, not a VC-funded SaaS.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Rajdhani" w:cs="Rajdhani" w:eastAsia="Rajdhani" w:hAnsi="Rajdhani"/>
          <w:b/>
          <w:bCs/>
          <w:color w:val="1E2D3D"/>
          <w:sz w:val="32"/>
          <w:szCs w:val="32"/>
        </w:rPr>
        <w:t xml:space="preserve">1. Lead-generation playbook (adapted from Explee's 7-step flow)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1"/>
        <w:gridCol w:w="2967"/>
        <w:gridCol w:w="2967"/>
        <w:gridCol w:w="3165"/>
      </w:tblGrid>
      <w:tr>
        <w:trPr>
          <w:tblHeader/>
        </w:trPr>
        <w:tc>
          <w:tcPr>
            <w:tcW w:type="dxa" w:w="791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67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Explee step</w:t>
            </w:r>
          </w:p>
        </w:tc>
        <w:tc>
          <w:tcPr>
            <w:tcW w:type="dxa" w:w="2967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DI equivalent</w:t>
            </w:r>
          </w:p>
        </w:tc>
        <w:tc>
          <w:tcPr>
            <w:tcW w:type="dxa" w:w="3165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9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1</w:t>
            </w:r>
          </w:p>
        </w:tc>
        <w:tc>
          <w:tcPr>
            <w:tcW w:type="dxa" w:w="296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Learns what you sell</w:t>
            </w:r>
          </w:p>
        </w:tc>
        <w:tc>
          <w:tcPr>
            <w:tcW w:type="dxa" w:w="296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Learn the prospect's stack</w:t>
            </w:r>
          </w:p>
        </w:tc>
        <w:tc>
          <w:tcPr>
            <w:tcW w:type="dxa" w:w="316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Pull a quick tech/ops snapshot of the target SME (site, socials, hiring posts, visible tools) before first contact.</w:t>
            </w:r>
          </w:p>
        </w:tc>
      </w:tr>
      <w:tr>
        <w:tc>
          <w:tcPr>
            <w:tcW w:type="dxa" w:w="791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2</w:t>
            </w:r>
          </w:p>
        </w:tc>
        <w:tc>
          <w:tcPr>
            <w:tcW w:type="dxa" w:w="2967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Figures out who buys it</w:t>
            </w:r>
          </w:p>
        </w:tc>
        <w:tc>
          <w:tcPr>
            <w:tcW w:type="dxa" w:w="2967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Score fit against the ICP</w:t>
            </w:r>
          </w:p>
        </w:tc>
        <w:tc>
          <w:tcPr>
            <w:tcW w:type="dxa" w:w="3165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Build a rubric (revenue band, headcount, IT spend, PDPA exposure) to route prospects to the right tier.</w:t>
            </w:r>
          </w:p>
        </w:tc>
      </w:tr>
      <w:tr>
        <w:tc>
          <w:tcPr>
            <w:tcW w:type="dxa" w:w="79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3</w:t>
            </w:r>
          </w:p>
        </w:tc>
        <w:tc>
          <w:tcPr>
            <w:tcW w:type="dxa" w:w="296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Finds those exact people</w:t>
            </w:r>
          </w:p>
        </w:tc>
        <w:tc>
          <w:tcPr>
            <w:tcW w:type="dxa" w:w="296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Identify the real decision-maker</w:t>
            </w:r>
          </w:p>
        </w:tc>
        <w:tc>
          <w:tcPr>
            <w:tcW w:type="dxa" w:w="316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For Malaysian SMEs this is almost always the owner/MD directly — confirm before sending.</w:t>
            </w:r>
          </w:p>
        </w:tc>
      </w:tr>
      <w:tr>
        <w:tc>
          <w:tcPr>
            <w:tcW w:type="dxa" w:w="791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4</w:t>
            </w:r>
          </w:p>
        </w:tc>
        <w:tc>
          <w:tcPr>
            <w:tcW w:type="dxa" w:w="2967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Writes each a personal email</w:t>
            </w:r>
          </w:p>
        </w:tc>
        <w:tc>
          <w:tcPr>
            <w:tcW w:type="dxa" w:w="2967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Personalize every conversion email</w:t>
            </w:r>
          </w:p>
        </w:tc>
        <w:tc>
          <w:tcPr>
            <w:tcW w:type="dxa" w:w="3165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Standing step for every new prospect, not a one-off — already proven with Lapango/Eastelpro/AGMX.</w:t>
            </w:r>
          </w:p>
        </w:tc>
      </w:tr>
      <w:tr>
        <w:tc>
          <w:tcPr>
            <w:tcW w:type="dxa" w:w="79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5</w:t>
            </w:r>
          </w:p>
        </w:tc>
        <w:tc>
          <w:tcPr>
            <w:tcW w:type="dxa" w:w="296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Handles replies, books meetings</w:t>
            </w:r>
          </w:p>
        </w:tc>
        <w:tc>
          <w:tcPr>
            <w:tcW w:type="dxa" w:w="296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Make the next step frictionless</w:t>
            </w:r>
          </w:p>
        </w:tc>
        <w:tc>
          <w:tcPr>
            <w:tcW w:type="dxa" w:w="316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Pre-built booking link + one-page “what to expect on the call” so replies convert same-day.</w:t>
            </w:r>
          </w:p>
        </w:tc>
      </w:tr>
      <w:tr>
        <w:tc>
          <w:tcPr>
            <w:tcW w:type="dxa" w:w="791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6</w:t>
            </w:r>
          </w:p>
        </w:tc>
        <w:tc>
          <w:tcPr>
            <w:tcW w:type="dxa" w:w="2967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Learns what works, doubles down</w:t>
            </w:r>
          </w:p>
        </w:tc>
        <w:tc>
          <w:tcPr>
            <w:tcW w:type="dxa" w:w="2967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Track what converts by client type</w:t>
            </w:r>
          </w:p>
        </w:tc>
        <w:tc>
          <w:tcPr>
            <w:tcW w:type="dxa" w:w="3165"/>
            <w:shd w:fill="F8F9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Tag which pain point / tier / channel worked so the next 10 targets get the highest-converting pitch.</w:t>
            </w:r>
          </w:p>
        </w:tc>
      </w:tr>
      <w:tr>
        <w:tc>
          <w:tcPr>
            <w:tcW w:type="dxa" w:w="79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7</w:t>
            </w:r>
          </w:p>
        </w:tc>
        <w:tc>
          <w:tcPr>
            <w:tcW w:type="dxa" w:w="296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Compounds via proof</w:t>
            </w:r>
          </w:p>
        </w:tc>
        <w:tc>
          <w:tcPr>
            <w:tcW w:type="dxa" w:w="296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Feed wins back into the site</w:t>
            </w:r>
          </w:p>
        </w:tc>
        <w:tc>
          <w:tcPr>
            <w:tcW w:type="dxa" w:w="316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Every signed retainer becomes a testimonial/case-study input — closes the loop into the site itself.</w:t>
            </w:r>
          </w:p>
        </w:tc>
      </w:tr>
    </w:tbl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Rajdhani" w:cs="Rajdhani" w:eastAsia="Rajdhani" w:hAnsi="Rajdhani"/>
          <w:b/>
          <w:bCs/>
          <w:color w:val="1E2D3D"/>
          <w:sz w:val="32"/>
          <w:szCs w:val="32"/>
        </w:rPr>
        <w:t xml:space="preserve">2. Functionality roadmap</w:t>
      </w:r>
    </w:p>
    <w:p>
      <w:pPr>
        <w:spacing w:after="160"/>
      </w:pPr>
      <w:r>
        <w:rPr>
          <w:rFonts w:ascii="Inter" w:cs="Inter" w:eastAsia="Inter" w:hAnsi="Inter"/>
          <w:i w:val="false"/>
          <w:iCs w:val="false"/>
          <w:color w:val="222222"/>
          <w:sz w:val="21"/>
          <w:szCs w:val="21"/>
        </w:rPr>
        <w:t xml:space="preserve">Phased by effort and dependency, not strict calendar time — move faster where capacity allows.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2967"/>
        <w:gridCol w:w="1582"/>
        <w:gridCol w:w="1582"/>
        <w:gridCol w:w="1582"/>
      </w:tblGrid>
      <w:tr>
        <w:trPr>
          <w:tblHeader/>
        </w:trPr>
        <w:tc>
          <w:tcPr>
            <w:tcW w:type="dxa" w:w="2176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2967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582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82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82"/>
            <w:shd w:fill="1E2D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9890"/>
            <w:gridSpan w:val="5"/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ajdhani" w:cs="Rajdhani" w:eastAsia="Rajdhani" w:hAnsi="Rajdhani"/>
                <w:b/>
                <w:bCs/>
                <w:color w:val="1E2D3D"/>
                <w:sz w:val="22"/>
                <w:szCs w:val="22"/>
              </w:rPr>
              <w:t xml:space="preserve">PHASE A — 0-30 days: Trust foundation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Tier-recommendation quiz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2-min self-assessment on site; recommends Foundation/Growth/AI Partner based on team size, IT spend, pain points.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Low (1-2 days, on Vercel)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 + Claude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Matches the “we'll recommend the right tier, no pressure” promise already in the site copy; lowers friction before the proposal ask.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Case study template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One-page structured template (problem → what DI did → measurable result) applied to each signed retainer.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Low (template + 1 case study)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Single highest-leverage credibility asset for Malaysian B2B buyers — direct input to grant/investor materials too.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Testimonial capture step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Standing ask built into the offboarding/monthly-review process for every client.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Low (process only)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Currently zero client proof on the site; this is the pipeline that fixes it going forward.</w:t>
            </w:r>
          </w:p>
        </w:tc>
      </w:tr>
      <w:tr>
        <w:tc>
          <w:tcPr>
            <w:tcW w:type="dxa" w:w="9890"/>
            <w:gridSpan w:val="5"/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ajdhani" w:cs="Rajdhani" w:eastAsia="Rajdhani" w:hAnsi="Rajdhani"/>
                <w:b/>
                <w:bCs/>
                <w:color w:val="1E2D3D"/>
                <w:sz w:val="22"/>
                <w:szCs w:val="22"/>
              </w:rPr>
              <w:t xml:space="preserve">PHASE B — 30-60 days: Proof &amp; retention infrastructure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PDPA readiness tool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Free interactive checklist/scorecard (SSM, PDPA, MyInvois-readiness) as a lead magnet on the site.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Medium (1-2 weeks)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 + dev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Turns DI's own compliance credibility into a funnel; matches the PDPA-policy work already in progress.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Client portal MVP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DutaConnect-powered dashboard: ticket status, SLA response times, monthly automated health report.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Medium-High (3-4 weeks)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 + dev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Most Malaysian IT vendors don't offer this — cheap differentiator, increases retainer stickiness, justifies AI Partner pricing.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Monthly “what we did for you” digest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Automated email summarizing work completed for each retainer client that month.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Low-Medium (automation build)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 + dev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Keeps DI visible between tickets; natural upsell moment into the next tier.</w:t>
            </w:r>
          </w:p>
        </w:tc>
      </w:tr>
      <w:tr>
        <w:tc>
          <w:tcPr>
            <w:tcW w:type="dxa" w:w="9890"/>
            <w:gridSpan w:val="5"/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ajdhani" w:cs="Rajdhani" w:eastAsia="Rajdhani" w:hAnsi="Rajdhani"/>
                <w:b/>
                <w:bCs/>
                <w:color w:val="1E2D3D"/>
                <w:sz w:val="22"/>
                <w:szCs w:val="22"/>
              </w:rPr>
              <w:t xml:space="preserve">PHASE C — 60-90 days: Authority &amp; visible proof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“Built by DI” live stats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Modest, honest live counters for DutaConnect/AGMX (automations run, uptime, compliance items handled).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Medium (needs product telemetry)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 + dev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Same instinct as Explee's live counters, scaled honestly — makes the “AI-first” claim concrete.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MDEC / PIKOM membership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Formal association membership + badge on site and pitch materials.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Low (admin + fee)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Enterprise buyers in Malaysia check for this before signing; also relevant to the MDAG grant path.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Recurring content series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Short LinkedIn/site posts built from real AGMX/DutaConnect learnings (“what we learned automating AGM compliance for an SME”).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Low, ongoing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Builds household-name recognition in a B2B market this size through visible expertise, not ad spend.</w:t>
            </w:r>
          </w:p>
        </w:tc>
      </w:tr>
      <w:tr>
        <w:tc>
          <w:tcPr>
            <w:tcW w:type="dxa" w:w="9890"/>
            <w:gridSpan w:val="5"/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ajdhani" w:cs="Rajdhani" w:eastAsia="Rajdhani" w:hAnsi="Rajdhani"/>
                <w:b/>
                <w:bCs/>
                <w:color w:val="1E2D3D"/>
                <w:sz w:val="22"/>
                <w:szCs w:val="22"/>
              </w:rPr>
              <w:t xml:space="preserve">PHASE D — 90+ days: Full self-serve funnel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Automation savings calculator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SME owner inputs team size/manual tasks → estimated hours/cost saved by tier.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Medium (2 weeks)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 + dev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Turns an abstract AI pitch into a concrete number the owner can act on immediately.</w:t>
            </w:r>
          </w:p>
        </w:tc>
      </w:tr>
      <w:tr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E2D3D"/>
                <w:sz w:val="18"/>
                <w:szCs w:val="18"/>
              </w:rPr>
              <w:t xml:space="preserve">Objection-handling FAQ</w:t>
            </w:r>
          </w:p>
        </w:tc>
        <w:tc>
          <w:tcPr>
            <w:tcW w:type="dxa" w:w="29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Site FAQ addressing data ownership, contract flexibility, AI reliability — the Malaysian SME version of Explee's compliance FAQ.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Low (copywriting)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Shamel</w:t>
            </w:r>
          </w:p>
        </w:tc>
        <w:tc>
          <w:tcPr>
            <w:tcW w:type="dxa" w:w="15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Removes friction before “Get a proposal” without needing a sales call to answer it.</w:t>
            </w:r>
          </w:p>
        </w:tc>
      </w:tr>
    </w:tbl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Rajdhani" w:cs="Rajdhani" w:eastAsia="Rajdhani" w:hAnsi="Rajdhani"/>
          <w:b/>
          <w:bCs/>
          <w:color w:val="1E2D3D"/>
          <w:sz w:val="32"/>
          <w:szCs w:val="32"/>
        </w:rPr>
        <w:t xml:space="preserve">3. Immediate next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22222"/>
          <w:sz w:val="21"/>
          <w:szCs w:val="21"/>
        </w:rPr>
        <w:t xml:space="preserve">Fix the footer phone number on both index.html and ms/index.html to +60 11-5403 4051, redeploy, purge Cloudflare 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22222"/>
          <w:sz w:val="21"/>
          <w:szCs w:val="21"/>
        </w:rPr>
        <w:t xml:space="preserve">Draft the tier-recommendation quiz logic and 3-5 branching questions (Phase A, quick win).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22222"/>
          <w:sz w:val="21"/>
          <w:szCs w:val="21"/>
        </w:rPr>
        <w:t xml:space="preserve">Apply the case study template to the first client that signs a retainer.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22222"/>
          <w:sz w:val="21"/>
          <w:szCs w:val="21"/>
        </w:rPr>
        <w:t xml:space="preserve">Scope the PDPA readiness tool as a lead magnet alongside the in-progress PDPA Compliance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22222"/>
          <w:sz w:val="21"/>
          <w:szCs w:val="21"/>
        </w:rPr>
        <w:t xml:space="preserve">Decide whether the client portal MVP rides on DutaConnect or is a standalone build — affects Phase B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22222"/>
          <w:sz w:val="21"/>
          <w:szCs w:val="21"/>
        </w:rPr>
        <w:t xml:space="preserve">Confirm MDEC/PIKOM membership status and apply if not already a member.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2026-09-13T05:37:20.362Z</dcterms:created>
  <dcterms:modified xsi:type="dcterms:W3CDTF">2026-09-13T05:37:20.372Z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