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Company Resolution</w:t>
      </w:r>
    </w:p>
    <w:p>
      <w:pPr>
        <w:spacing w:after="200" w:line="269" w:lineRule="auto"/>
      </w:pPr>
      <w:r>
        <w:rPr>
          <w:rFonts w:ascii="Arial" w:cs="Arial" w:eastAsia="Arial" w:hAnsi="Arial"/>
          <w:color w:val="5B6560"/>
          <w:sz w:val="20"/>
          <w:szCs w:val="20"/>
        </w:rPr>
        <w:t xml:space="preserve">Record of a decision taken by the owners or management. Review wording with your legal adviser; the company’s memorandum of association may require specific formalities.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Resolution no.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[ELV-RES-YYYY-NNN]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Company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Elvora Shipping LLC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Trade licence no.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[Trade licence number]</w:t>
            </w: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Background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[State why the decision is needed, e.g. opening a bank account, appointing a signatory, entering a lease or contract.]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Resolved that</w:t>
      </w:r>
    </w:p>
    <w:p>
      <w:pPr>
        <w:pStyle w:val="ListParagraph"/>
        <w:numPr>
          <w:ilvl w:val="0"/>
          <w:numId w:val="2"/>
        </w:numPr>
        <w:spacing w:after="50" w:line="269" w:lineRule="auto"/>
      </w:pPr>
      <w:r>
        <w:rPr>
          <w:rFonts w:ascii="Arial" w:cs="Arial" w:eastAsia="Arial" w:hAnsi="Arial"/>
          <w:sz w:val="21"/>
          <w:szCs w:val="21"/>
        </w:rPr>
        <w:t xml:space="preserve">[First decision, stated precisely.]</w:t>
      </w:r>
    </w:p>
    <w:p>
      <w:pPr>
        <w:pStyle w:val="ListParagraph"/>
        <w:numPr>
          <w:ilvl w:val="0"/>
          <w:numId w:val="2"/>
        </w:numPr>
        <w:spacing w:after="50" w:line="269" w:lineRule="auto"/>
      </w:pPr>
      <w:r>
        <w:rPr>
          <w:rFonts w:ascii="Arial" w:cs="Arial" w:eastAsia="Arial" w:hAnsi="Arial"/>
          <w:sz w:val="21"/>
          <w:szCs w:val="21"/>
        </w:rPr>
        <w:t xml:space="preserve">[Second decision, including any limits on amount or duration.]</w:t>
      </w:r>
    </w:p>
    <w:p>
      <w:pPr>
        <w:pStyle w:val="ListParagraph"/>
        <w:numPr>
          <w:ilvl w:val="0"/>
          <w:numId w:val="2"/>
        </w:numPr>
        <w:spacing w:after="50" w:line="269" w:lineRule="auto"/>
      </w:pPr>
      <w:r>
        <w:rPr>
          <w:rFonts w:ascii="Arial" w:cs="Arial" w:eastAsia="Arial" w:hAnsi="Arial"/>
          <w:sz w:val="21"/>
          <w:szCs w:val="21"/>
        </w:rPr>
        <w:t xml:space="preserve">[Authorisation of named person(s) to sign and act, and the scope of that authority.]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Effective date and duration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This resolution takes effect on [DD MMM YYYY] and remains in force until [date / until revoked in writing].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/ Manager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/ Manager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ELV-006  ·  Company Resolution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6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ELV-006 Company Resolution</dc:title>
  <dc:subject>01 Corporate</dc:subject>
  <dc:creator>Elvora Shipping LLC</dc:creator>
  <dc:description>Elvora Shipping LLC corporate template</dc:description>
  <cp:lastModifiedBy>Un-named</cp:lastModifiedBy>
  <cp:revision>1</cp:revision>
  <dcterms:created xsi:type="dcterms:W3CDTF">2026-10-07T11:30:03.591Z</dcterms:created>
  <dcterms:modified xsi:type="dcterms:W3CDTF">2026-10-07T11:30:03.591Z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