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Standard Operating Procedure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SOP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[ELV-SOP-NNN]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[Procedure 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[1.0]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[Role]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review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Purpose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[Why this procedure exists and the risk it controls.]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Scope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[Who it applies to and which shipments, customers or departments.]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Responsibilities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6653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65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Procedure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8"/>
        <w:gridCol w:w="4739"/>
        <w:gridCol w:w="1711"/>
        <w:gridCol w:w="2376"/>
      </w:tblGrid>
      <w:tr>
        <w:trPr>
          <w:cantSplit/>
          <w:tblHeader/>
          <w:trHeight w:val="360" w:hRule="atLeast"/>
        </w:trPr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73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/ evidence</w:t>
            </w:r>
          </w:p>
        </w:tc>
      </w:tr>
      <w:tr>
        <w:trPr>
          <w:cantSplit/>
          <w:trHeight w:val="340" w:hRule="atLeast"/>
        </w:trPr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3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3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3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3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3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3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Exceptions and escalation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[What to do when the procedure cannot be followed and who decides.]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Related documents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[Document no. and title]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Revision history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0"/>
        <w:gridCol w:w="1521"/>
        <w:gridCol w:w="4752"/>
        <w:gridCol w:w="2091"/>
      </w:tblGrid>
      <w:tr>
        <w:trPr>
          <w:cantSplit/>
          <w:tblHeader/>
          <w:trHeight w:val="36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ELV-010  ·  Standard Operating Procedure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ELV-010 Standard Operating Procedure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2026-10-07T11:30:03.855Z</dcterms:created>
  <dcterms:modified xsi:type="dcterms:W3CDTF">2026-10-07T11:30:03.855Z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