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Freight Service Agreement</w:t>
      </w:r>
    </w:p>
    <w:p>
      <w:pPr>
        <w:spacing w:after="200" w:line="269" w:lineRule="auto"/>
      </w:pPr>
      <w:r>
        <w:rPr>
          <w:rFonts w:ascii="Arial" w:cs="Arial" w:eastAsia="Arial" w:hAnsi="Arial"/>
          <w:color w:val="5B6560"/>
          <w:sz w:val="20"/>
          <w:szCs w:val="20"/>
        </w:rPr>
        <w:t xml:space="preserve">Editable starting template with the essential terms and schedules. Complete, approve and have it reviewed by your legal adviser before signature.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Agreement no.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[ELV-FSA-YYYY-NNN]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Forwarder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Elvora Shipping LLC, Trade Licence No. [number], Bur Dubai, Dubai, United Arab Emirates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[Legal name, licence no., address]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[12 months, renewing unless terminated]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Services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The Forwarder will arrange the transport, customs clearance, handling and related services described in Schedule 1 for the Customer’s cargo, on the Customer’s instructions.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Customer responsibilities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Give accurate, complete and timely instructions and documents, including the correct description, weight, dimensions, HS code and dangerous-goods information.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Ensure cargo is lawfully exportable or importable and properly packed and marked.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Pay all charges, duties and taxes due on the cargo.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Forwarder responsibilities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Perform services with reasonable skill and care.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Keep the Customer informed of milestones and material delays.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Act as agent in arranging third-party carriage unless a service is expressly agreed to be performed as principal.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Rates and payment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Rates are in Schedule 2. Invoices are payable within [30] days of the invoice date in the invoice currency. Disputed items must be notified in writing within [7] days; undisputed items remain payable. Late payment may suspend credit and release of cargo or documents. Charges exclude VAT and duties unless stated; VAT is applied according to the UAE VAT legislation as determined by the Forwarder’s finance team.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Liability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The Forwarder’s liability for loss of or damage to cargo, delay or other loss is limited as set out in Schedule 3 and in the applicable carrier’s terms and international conventions. [Insert agreed limit and insurance provisions.] Neither party is liable for indirect or consequential loss, to the extent the law permits.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Lien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The Forwarder may hold cargo and documents as security for unpaid charges to the extent the law permits.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Confidentiality and data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Each party will keep the other’s commercial information confidential and use personal data only for performing this agreement.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Term and termination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Either party may terminate on [30] days’ written notice, or immediately for material breach not remedied within [14] days of notice. Shipments in progress are completed on these terms.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Law and disputes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[Governing law, forum or arbitration clause – to be confirmed by legal adviser.]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Schedule 1 – Services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51"/>
        <w:gridCol w:w="2851"/>
        <w:gridCol w:w="3802"/>
      </w:tblGrid>
      <w:tr>
        <w:trPr>
          <w:cantSplit/>
          <w:tblHeader/>
          <w:trHeight w:val="36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Trade lane / location</w:t>
            </w: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Schedule 2 – Rates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2"/>
        <w:gridCol w:w="2376"/>
        <w:gridCol w:w="1901"/>
        <w:gridCol w:w="1425"/>
      </w:tblGrid>
      <w:tr>
        <w:trPr>
          <w:cantSplit/>
          <w:tblHeader/>
          <w:trHeight w:val="36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Charge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 to</w:t>
            </w: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Schedule 3 – Liability and insurance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[Agreed liability limits, insurance arrangements, claim notification periods.]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Elvora Shipping LLC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ELV-022  ·  Freight Service Agreement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22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ELV-022 Freight Service Agreement</dc:title>
  <dc:subject>02 Sales and Customers</dc:subject>
  <dc:creator>Elvora Shipping LLC</dc:creator>
  <dc:description>Elvora Shipping LLC corporate template</dc:description>
  <cp:lastModifiedBy>Un-named</cp:lastModifiedBy>
  <cp:revision>1</cp:revision>
  <dcterms:created xsi:type="dcterms:W3CDTF">2026-10-07T11:30:04.668Z</dcterms:created>
  <dcterms:modified xsi:type="dcterms:W3CDTF">2026-10-07T11:30:04.668Z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