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Freight Service Agreement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Editable starting template with the essential terms and schedules. Complete, approve and have it reviewed by your legal adviser before signature.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Agreement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[ELV-FSA-YYYY-NNN]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 date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Forwarder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LLC, Trade Licence No. [number], Bur Dubai, Dubai, United Arab Emirates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name, licence no., 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Term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[12 months, renewing unless terminated]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1. Services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Forwarder will arrange the transport, customs clearance, handling and related services described in Schedule 1 for the Customer’s cargo, on the Customer’s instructions.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2. Customer responsibilities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Give accurate, complete and timely instructions and documents, including the correct description, weight, dimensions, HS code and dangerous-goods information.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Ensure cargo is lawfully exportable or importable and properly packed and marked.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Pay all charges, duties and taxes due on the cargo.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3. Forwarder responsibilities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Perform services with reasonable skill and care.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Keep the Customer informed of milestones and material delays.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Act as agent in arranging third-party carriage unless a service is expressly agreed to be performed as principal.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4. Rates and payment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Rates are in Schedule 2. Invoices are payable within [30] days of the invoice date in the invoice currency. Disputed items must be notified in writing within [7] days; undisputed items remain payable. Late payment may suspend credit and release of cargo or documents. Charges exclude VAT and duties unless stated; VAT is applied according to the UAE VAT legislation as determined by the Forwarder’s finance team.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5. Liability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Forwarder’s liability for loss of or damage to cargo, delay or other loss is limited as set out in Schedule 3 and in the applicable carrier’s terms and international conventions. [Insert agreed limit and insurance provisions.] Neither party is liable for indirect or consequential loss, to the extent the law permits.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6. Lien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Forwarder may hold cargo and documents as security for unpaid charges to the extent the law permits.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7. Confidentiality and data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Each party will keep the other’s commercial information confidential and use personal data only for performing this agreement.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8. Term and termination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Either party may terminate on [30] days’ written notice, or immediately for material breach not remedied within [14] days of notice. Shipments in progress are completed on these terms.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9. Law and disputes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[Governing law, forum or arbitration clause – to be confirmed by legal adviser.]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Schedule 1 – Services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851"/>
        <w:gridCol w:w="2851"/>
        <w:gridCol w:w="3802"/>
      </w:tblGrid>
      <w:tr>
        <w:trPr>
          <w:cantSplit/>
          <w:tblHeader/>
          <w:trHeight w:val="36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Service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Trade lane / location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Details</w:t>
            </w: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Schedule 2 – Rates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2376"/>
        <w:gridCol w:w="1901"/>
        <w:gridCol w:w="1425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Charge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Rate</w:t>
            </w: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Valid to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Schedule 3 – Liability and insurance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[Agreed liability limits, insurance arrangements, claim notification periods.]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ELV-022  ·  Freight Service Agreement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ELV-022 Freight Service Agreement</dc:title>
  <dc:subject>02 Sales and Customers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2026-10-07T11:30:04.668Z</dcterms:created>
  <dcterms:modified xsi:type="dcterms:W3CDTF">2026-10-07T11:30:04.668Z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