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4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Dangerous Goods Intake Worksheet</w:t>
      </w:r>
    </w:p>
    <w:p>
      <w:pPr>
        <w:spacing w:after="200" w:line="269" w:lineRule="auto"/>
      </w:pPr>
      <w:r>
        <w:rPr>
          <w:rFonts w:ascii="Arial" w:cs="Arial" w:eastAsia="Arial" w:hAnsi="Arial"/>
          <w:color w:val="5B6560"/>
          <w:sz w:val="20"/>
          <w:szCs w:val="20"/>
        </w:rPr>
        <w:t xml:space="preserve">Internal preparation worksheet only. It does not replace the shipper’s official dangerous goods declaration for the mode (IATA form for air, IMDG-compliant declaration for sea) or carrier approval. Use the current IATA and IMDG regulations.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Our ref. / job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[ELV-JOB-…]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 ref. / PO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Mode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[Air / sea / road]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Carrier acceptance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[Obtained / pending – reference]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Shipper’s declaration received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[Yes / No – date]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Emergency contact (24 h)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[Name, phone]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855"/>
        <w:gridCol w:w="1770"/>
        <w:gridCol w:w="1126"/>
        <w:gridCol w:w="1014"/>
        <w:gridCol w:w="1711"/>
        <w:gridCol w:w="950"/>
        <w:gridCol w:w="1126"/>
        <w:gridCol w:w="952"/>
      </w:tblGrid>
      <w:tr>
        <w:trPr>
          <w:cantSplit/>
          <w:tblHeader/>
          <w:trHeight w:val="360" w:hRule="atLeast"/>
        </w:trPr>
        <w:tc>
          <w:tcPr>
            <w:tcW w:type="dxa" w:w="85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UN no.</w:t>
            </w:r>
          </w:p>
        </w:tc>
        <w:tc>
          <w:tcPr>
            <w:tcW w:type="dxa" w:w="177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Proper shipping name</w:t>
            </w: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Class / division</w:t>
            </w: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Packing group</w:t>
            </w: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Qty and packing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Net qty</w:t>
            </w: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Limited / excepted qty?</w:t>
            </w:r>
          </w:p>
        </w:tc>
        <w:tc>
          <w:tcPr>
            <w:tcW w:type="dxa" w:w="9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Marks / labels</w:t>
            </w:r>
          </w:p>
        </w:tc>
      </w:tr>
      <w:tr>
        <w:trPr>
          <w:cantSplit/>
          <w:trHeight w:val="340" w:hRule="atLeast"/>
        </w:trPr>
        <w:tc>
          <w:tcPr>
            <w:tcW w:type="dxa" w:w="85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7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85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7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85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7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85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7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Checks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5227"/>
        <w:gridCol w:w="1426"/>
        <w:gridCol w:w="2851"/>
      </w:tblGrid>
      <w:tr>
        <w:trPr>
          <w:cantSplit/>
          <w:tblHeader/>
          <w:trHeight w:val="360" w:hRule="atLeast"/>
        </w:trPr>
        <w:tc>
          <w:tcPr>
            <w:tcW w:type="dxa" w:w="522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Check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Yes / No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By</w:t>
            </w:r>
          </w:p>
        </w:tc>
      </w:tr>
      <w:tr>
        <w:trPr>
          <w:cantSplit/>
          <w:trHeight w:val="340" w:hRule="atLeast"/>
        </w:trPr>
        <w:tc>
          <w:tcPr>
            <w:tcW w:type="dxa" w:w="522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Safety data sheet received and matches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522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Packaging UN-certified and marked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522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Segregation / compatibility checked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522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Carrier and airport / port accept the class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522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Staff handling are trained and certified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Prepared by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Dangerous goods adviser / approver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ELV-055  ·  Dangerous Goods Intake Worksheet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55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ELV-055 Dangerous Goods Intake Worksheet</dc:title>
  <dc:subject>04 Shipping and Warehouse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2026-10-07T11:30:06.875Z</dcterms:created>
  <dcterms:modified xsi:type="dcterms:W3CDTF">2026-10-07T11:30:06.875Z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