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3A69" w14:textId="77777777" w:rsidR="009B5D27" w:rsidRDefault="00000000">
      <w:pPr>
        <w:spacing w:before="2200"/>
        <w:jc w:val="center"/>
      </w:pPr>
      <w:r>
        <w:rPr>
          <w:b/>
          <w:bCs/>
          <w:color w:val="1F3864"/>
          <w:sz w:val="52"/>
          <w:szCs w:val="52"/>
        </w:rPr>
        <w:t>LOAN DEFAULT RISK</w:t>
      </w:r>
    </w:p>
    <w:p w14:paraId="1E60951B" w14:textId="77777777" w:rsidR="009B5D27" w:rsidRDefault="00000000">
      <w:pPr>
        <w:jc w:val="center"/>
      </w:pPr>
      <w:r>
        <w:rPr>
          <w:b/>
          <w:bCs/>
          <w:color w:val="1F3864"/>
          <w:sz w:val="52"/>
          <w:szCs w:val="52"/>
        </w:rPr>
        <w:t>ANALYSIS</w:t>
      </w:r>
    </w:p>
    <w:p w14:paraId="7A44E0CE" w14:textId="77777777" w:rsidR="009B5D27" w:rsidRDefault="00000000">
      <w:pPr>
        <w:pBdr>
          <w:bottom w:val="single" w:sz="12" w:space="8" w:color="C0177C"/>
        </w:pBdr>
        <w:spacing w:before="300" w:after="300"/>
        <w:jc w:val="center"/>
      </w:pPr>
      <w:r>
        <w:rPr>
          <w:b/>
          <w:bCs/>
          <w:color w:val="C0177C"/>
          <w:sz w:val="28"/>
          <w:szCs w:val="28"/>
        </w:rPr>
        <w:t>SQL &amp; Power BI Dashboard Project Report</w:t>
      </w:r>
    </w:p>
    <w:p w14:paraId="3F714149" w14:textId="77777777" w:rsidR="009B5D27" w:rsidRDefault="00000000">
      <w:pPr>
        <w:spacing w:before="800"/>
        <w:jc w:val="center"/>
      </w:pPr>
      <w:r>
        <w:rPr>
          <w:color w:val="404040"/>
          <w:sz w:val="24"/>
          <w:szCs w:val="24"/>
        </w:rPr>
        <w:t>Prepared by: Shami</w:t>
      </w:r>
    </w:p>
    <w:p w14:paraId="76E2707F" w14:textId="77777777" w:rsidR="009B5D27" w:rsidRDefault="00000000">
      <w:pPr>
        <w:jc w:val="center"/>
      </w:pPr>
      <w:r>
        <w:rPr>
          <w:color w:val="404040"/>
          <w:sz w:val="22"/>
          <w:szCs w:val="22"/>
        </w:rPr>
        <w:t>GitHub: github.com/</w:t>
      </w:r>
      <w:proofErr w:type="spellStart"/>
      <w:r>
        <w:rPr>
          <w:color w:val="404040"/>
          <w:sz w:val="22"/>
          <w:szCs w:val="22"/>
        </w:rPr>
        <w:t>shamicse</w:t>
      </w:r>
      <w:proofErr w:type="spellEnd"/>
      <w:r>
        <w:rPr>
          <w:color w:val="404040"/>
          <w:sz w:val="22"/>
          <w:szCs w:val="22"/>
        </w:rPr>
        <w:t>/Loan-Default-Risk-Analysis-dashboard</w:t>
      </w:r>
    </w:p>
    <w:p w14:paraId="6802B650" w14:textId="77777777" w:rsidR="009B5D27" w:rsidRDefault="00000000">
      <w:pPr>
        <w:spacing w:before="200"/>
        <w:jc w:val="center"/>
      </w:pPr>
      <w:r>
        <w:rPr>
          <w:color w:val="404040"/>
          <w:sz w:val="22"/>
          <w:szCs w:val="22"/>
        </w:rPr>
        <w:t>July 2026</w:t>
      </w:r>
    </w:p>
    <w:p w14:paraId="4B1916C5" w14:textId="77777777" w:rsidR="009B5D27" w:rsidRDefault="00000000">
      <w:pPr>
        <w:spacing w:before="1800"/>
        <w:jc w:val="center"/>
      </w:pPr>
      <w:r>
        <w:rPr>
          <w:i/>
          <w:iCs/>
          <w:color w:val="808080"/>
        </w:rPr>
        <w:t xml:space="preserve">Tools: </w:t>
      </w:r>
      <w:proofErr w:type="gramStart"/>
      <w:r>
        <w:rPr>
          <w:i/>
          <w:iCs/>
          <w:color w:val="808080"/>
        </w:rPr>
        <w:t>SQL  |</w:t>
      </w:r>
      <w:proofErr w:type="gramEnd"/>
      <w:r>
        <w:rPr>
          <w:i/>
          <w:iCs/>
          <w:color w:val="808080"/>
        </w:rPr>
        <w:t xml:space="preserve">  Power BI </w:t>
      </w:r>
      <w:proofErr w:type="gramStart"/>
      <w:r>
        <w:rPr>
          <w:i/>
          <w:iCs/>
          <w:color w:val="808080"/>
        </w:rPr>
        <w:t>Desktop  |</w:t>
      </w:r>
      <w:proofErr w:type="gramEnd"/>
      <w:r>
        <w:rPr>
          <w:i/>
          <w:iCs/>
          <w:color w:val="808080"/>
        </w:rPr>
        <w:t xml:space="preserve">  Power </w:t>
      </w:r>
      <w:proofErr w:type="gramStart"/>
      <w:r>
        <w:rPr>
          <w:i/>
          <w:iCs/>
          <w:color w:val="808080"/>
        </w:rPr>
        <w:t>Query  |</w:t>
      </w:r>
      <w:proofErr w:type="gramEnd"/>
      <w:r>
        <w:rPr>
          <w:i/>
          <w:iCs/>
          <w:color w:val="808080"/>
        </w:rPr>
        <w:t xml:space="preserve">  DAX</w:t>
      </w:r>
    </w:p>
    <w:p w14:paraId="1C8B5923" w14:textId="77777777" w:rsidR="009B5D27" w:rsidRDefault="00000000">
      <w:r>
        <w:br w:type="page"/>
      </w:r>
    </w:p>
    <w:p w14:paraId="28E757D4" w14:textId="77777777" w:rsidR="009B5D27" w:rsidRDefault="009B5D27">
      <w:pPr>
        <w:sectPr w:rsidR="009B5D27">
          <w:pgSz w:w="12240" w:h="15840"/>
          <w:pgMar w:top="1440" w:right="1440" w:bottom="1440" w:left="1440" w:header="708" w:footer="708" w:gutter="0"/>
          <w:cols w:space="720"/>
          <w:docGrid w:linePitch="360"/>
        </w:sectPr>
      </w:pPr>
    </w:p>
    <w:p w14:paraId="4E2117C3" w14:textId="77777777" w:rsidR="009B5D27" w:rsidRDefault="00000000">
      <w:pPr>
        <w:pStyle w:val="Heading1"/>
        <w:pBdr>
          <w:bottom w:val="single" w:sz="8" w:space="4" w:color="1F3864"/>
        </w:pBdr>
        <w:spacing w:before="400" w:after="200"/>
      </w:pPr>
      <w:r>
        <w:rPr>
          <w:b/>
          <w:bCs/>
          <w:color w:val="1F3864"/>
          <w:sz w:val="30"/>
          <w:szCs w:val="30"/>
        </w:rPr>
        <w:lastRenderedPageBreak/>
        <w:t>1. Executive Summary</w:t>
      </w:r>
    </w:p>
    <w:p w14:paraId="66997312" w14:textId="77777777" w:rsidR="009B5D27" w:rsidRDefault="00000000">
      <w:pPr>
        <w:spacing w:after="160" w:line="276" w:lineRule="auto"/>
      </w:pPr>
      <w:r>
        <w:rPr>
          <w:color w:val="404040"/>
          <w:sz w:val="22"/>
          <w:szCs w:val="22"/>
        </w:rPr>
        <w:t xml:space="preserve">Loan default is the single largest source of credit loss for any lender. This project </w:t>
      </w:r>
      <w:proofErr w:type="spellStart"/>
      <w:r>
        <w:rPr>
          <w:color w:val="404040"/>
          <w:sz w:val="22"/>
          <w:szCs w:val="22"/>
        </w:rPr>
        <w:t>analyzes</w:t>
      </w:r>
      <w:proofErr w:type="spellEnd"/>
      <w:r>
        <w:rPr>
          <w:color w:val="404040"/>
          <w:sz w:val="22"/>
          <w:szCs w:val="22"/>
        </w:rPr>
        <w:t xml:space="preserve"> 601 loan applications from 500 borrowers to identify which loan- and borrower-level attributes most strongly predict default, using SQL for segment-level analysis and Power BI for an interactive risk dashboard.</w:t>
      </w:r>
    </w:p>
    <w:p w14:paraId="27E07493" w14:textId="77777777" w:rsidR="009B5D27" w:rsidRDefault="00000000">
      <w:pPr>
        <w:spacing w:after="160" w:line="276" w:lineRule="auto"/>
      </w:pPr>
      <w:r>
        <w:rPr>
          <w:color w:val="404040"/>
          <w:sz w:val="22"/>
          <w:szCs w:val="22"/>
        </w:rPr>
        <w:t>The portfolio's overall default rate is 24.3% (146 of 601 loans). The analysis finds that credit score and debt-to-income (DTI) ratio are by far the strongest predictors of default, employment tenure under 2 years is a meaningful secondary signal, and loan purpose has a moderate effect — while loan amount and employment status show comparatively weak predictive power.</w:t>
      </w:r>
    </w:p>
    <w:p w14:paraId="68E4E89E" w14:textId="77777777" w:rsidR="009B5D27" w:rsidRDefault="00000000">
      <w:pPr>
        <w:pStyle w:val="Heading1"/>
        <w:pBdr>
          <w:bottom w:val="single" w:sz="8" w:space="4" w:color="1F3864"/>
        </w:pBdr>
        <w:spacing w:before="400" w:after="200"/>
      </w:pPr>
      <w:r>
        <w:rPr>
          <w:b/>
          <w:bCs/>
          <w:color w:val="1F3864"/>
          <w:sz w:val="30"/>
          <w:szCs w:val="30"/>
        </w:rPr>
        <w:t>2. Project Objective</w:t>
      </w:r>
    </w:p>
    <w:p w14:paraId="30BCDE99" w14:textId="77777777" w:rsidR="009B5D27" w:rsidRDefault="00000000">
      <w:pPr>
        <w:spacing w:after="160" w:line="276" w:lineRule="auto"/>
      </w:pPr>
      <w:r>
        <w:rPr>
          <w:color w:val="404040"/>
          <w:sz w:val="22"/>
          <w:szCs w:val="22"/>
        </w:rPr>
        <w:t>The objective of this project is to:</w:t>
      </w:r>
    </w:p>
    <w:p w14:paraId="58B46E52" w14:textId="77777777" w:rsidR="009B5D27" w:rsidRDefault="00000000">
      <w:pPr>
        <w:pStyle w:val="ListParagraph"/>
        <w:numPr>
          <w:ilvl w:val="0"/>
          <w:numId w:val="2"/>
        </w:numPr>
        <w:spacing w:after="100"/>
      </w:pPr>
      <w:r>
        <w:rPr>
          <w:color w:val="404040"/>
          <w:sz w:val="22"/>
          <w:szCs w:val="22"/>
        </w:rPr>
        <w:t>Identify which loan and borrower attributes most strongly predict default.</w:t>
      </w:r>
    </w:p>
    <w:p w14:paraId="1CF9185B" w14:textId="77777777" w:rsidR="009B5D27" w:rsidRDefault="00000000">
      <w:pPr>
        <w:pStyle w:val="ListParagraph"/>
        <w:numPr>
          <w:ilvl w:val="0"/>
          <w:numId w:val="2"/>
        </w:numPr>
        <w:spacing w:after="100"/>
      </w:pPr>
      <w:r>
        <w:rPr>
          <w:color w:val="404040"/>
          <w:sz w:val="22"/>
          <w:szCs w:val="22"/>
        </w:rPr>
        <w:t>Quantify default rates across credit score bands, DTI ratio bands, loan purposes, and employment segments.</w:t>
      </w:r>
    </w:p>
    <w:p w14:paraId="1B28295C" w14:textId="77777777" w:rsidR="009B5D27" w:rsidRDefault="00000000">
      <w:pPr>
        <w:pStyle w:val="ListParagraph"/>
        <w:numPr>
          <w:ilvl w:val="0"/>
          <w:numId w:val="2"/>
        </w:numPr>
        <w:spacing w:after="100"/>
      </w:pPr>
      <w:r>
        <w:rPr>
          <w:color w:val="404040"/>
          <w:sz w:val="22"/>
          <w:szCs w:val="22"/>
        </w:rPr>
        <w:t>Deliver an interactive Power BI dashboard for risk and underwriting teams to explore these drivers.</w:t>
      </w:r>
    </w:p>
    <w:p w14:paraId="6EC78124" w14:textId="77777777" w:rsidR="009B5D27" w:rsidRDefault="00000000">
      <w:pPr>
        <w:pStyle w:val="ListParagraph"/>
        <w:numPr>
          <w:ilvl w:val="0"/>
          <w:numId w:val="2"/>
        </w:numPr>
        <w:spacing w:after="100"/>
      </w:pPr>
      <w:r>
        <w:rPr>
          <w:color w:val="404040"/>
          <w:sz w:val="22"/>
          <w:szCs w:val="22"/>
        </w:rPr>
        <w:t>Translate the findings into concrete underwriting recommendations.</w:t>
      </w:r>
    </w:p>
    <w:p w14:paraId="76B2304B" w14:textId="77777777" w:rsidR="009B5D27" w:rsidRDefault="00000000">
      <w:pPr>
        <w:pStyle w:val="Heading1"/>
        <w:pBdr>
          <w:bottom w:val="single" w:sz="8" w:space="4" w:color="1F3864"/>
        </w:pBdr>
        <w:spacing w:before="400" w:after="200"/>
      </w:pPr>
      <w:r>
        <w:rPr>
          <w:b/>
          <w:bCs/>
          <w:color w:val="1F3864"/>
          <w:sz w:val="30"/>
          <w:szCs w:val="30"/>
        </w:rPr>
        <w:t>3. Dataset Overview</w:t>
      </w:r>
    </w:p>
    <w:p w14:paraId="2CF3B4F1" w14:textId="77777777" w:rsidR="009B5D27" w:rsidRDefault="00000000">
      <w:pPr>
        <w:spacing w:after="160" w:line="276" w:lineRule="auto"/>
      </w:pPr>
      <w:r>
        <w:rPr>
          <w:color w:val="404040"/>
          <w:sz w:val="22"/>
          <w:szCs w:val="22"/>
        </w:rPr>
        <w:t xml:space="preserve">The analysis combines two datasets: loan_applications.csv (loan-level records) and borrower_profiles.csv (borrower-level attributes), joined on </w:t>
      </w:r>
      <w:proofErr w:type="spellStart"/>
      <w:r>
        <w:rPr>
          <w:color w:val="404040"/>
          <w:sz w:val="22"/>
          <w:szCs w:val="22"/>
        </w:rPr>
        <w:t>borrower_id</w:t>
      </w:r>
      <w:proofErr w:type="spellEnd"/>
      <w:r>
        <w:rPr>
          <w:color w:val="404040"/>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9B5D27" w14:paraId="28503504" w14:textId="77777777">
        <w:tblPrEx>
          <w:tblCellMar>
            <w:top w:w="0" w:type="dxa"/>
            <w:bottom w:w="0" w:type="dxa"/>
          </w:tblCellMar>
        </w:tblPrEx>
        <w:trPr>
          <w:tblHeader/>
        </w:trPr>
        <w:tc>
          <w:tcPr>
            <w:tcW w:w="5500" w:type="dxa"/>
            <w:shd w:val="clear" w:color="auto" w:fill="1F3864"/>
            <w:tcMar>
              <w:top w:w="100" w:type="dxa"/>
              <w:left w:w="120" w:type="dxa"/>
              <w:bottom w:w="100" w:type="dxa"/>
              <w:right w:w="120" w:type="dxa"/>
            </w:tcMar>
            <w:vAlign w:val="center"/>
          </w:tcPr>
          <w:p w14:paraId="1C715998" w14:textId="77777777" w:rsidR="009B5D27" w:rsidRDefault="00000000">
            <w:pPr>
              <w:jc w:val="center"/>
            </w:pPr>
            <w:r>
              <w:rPr>
                <w:b/>
                <w:bCs/>
                <w:color w:val="FFFFFF"/>
              </w:rPr>
              <w:t>Metric</w:t>
            </w:r>
          </w:p>
        </w:tc>
        <w:tc>
          <w:tcPr>
            <w:tcW w:w="3500" w:type="dxa"/>
            <w:shd w:val="clear" w:color="auto" w:fill="1F3864"/>
            <w:tcMar>
              <w:top w:w="100" w:type="dxa"/>
              <w:left w:w="120" w:type="dxa"/>
              <w:bottom w:w="100" w:type="dxa"/>
              <w:right w:w="120" w:type="dxa"/>
            </w:tcMar>
            <w:vAlign w:val="center"/>
          </w:tcPr>
          <w:p w14:paraId="4386E01B" w14:textId="77777777" w:rsidR="009B5D27" w:rsidRDefault="00000000">
            <w:pPr>
              <w:jc w:val="center"/>
            </w:pPr>
            <w:r>
              <w:rPr>
                <w:b/>
                <w:bCs/>
                <w:color w:val="FFFFFF"/>
              </w:rPr>
              <w:t>Value</w:t>
            </w:r>
          </w:p>
        </w:tc>
      </w:tr>
      <w:tr w:rsidR="009B5D27" w14:paraId="29CCBAD4"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280E9FB0" w14:textId="77777777" w:rsidR="009B5D27" w:rsidRDefault="00000000">
            <w:r>
              <w:rPr>
                <w:color w:val="404040"/>
              </w:rPr>
              <w:t>Total Loan Applications</w:t>
            </w:r>
          </w:p>
        </w:tc>
        <w:tc>
          <w:tcPr>
            <w:tcW w:w="3500" w:type="dxa"/>
            <w:shd w:val="clear" w:color="auto" w:fill="FFFFFF"/>
            <w:tcMar>
              <w:top w:w="100" w:type="dxa"/>
              <w:left w:w="120" w:type="dxa"/>
              <w:bottom w:w="100" w:type="dxa"/>
              <w:right w:w="120" w:type="dxa"/>
            </w:tcMar>
            <w:vAlign w:val="center"/>
          </w:tcPr>
          <w:p w14:paraId="5410F67B" w14:textId="77777777" w:rsidR="009B5D27" w:rsidRDefault="00000000">
            <w:pPr>
              <w:jc w:val="center"/>
            </w:pPr>
            <w:r>
              <w:rPr>
                <w:color w:val="404040"/>
              </w:rPr>
              <w:t>601</w:t>
            </w:r>
          </w:p>
        </w:tc>
      </w:tr>
      <w:tr w:rsidR="009B5D27" w14:paraId="0F80132C"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2E28314E" w14:textId="77777777" w:rsidR="009B5D27" w:rsidRDefault="00000000">
            <w:r>
              <w:rPr>
                <w:color w:val="404040"/>
              </w:rPr>
              <w:t>Unique Borrowers</w:t>
            </w:r>
          </w:p>
        </w:tc>
        <w:tc>
          <w:tcPr>
            <w:tcW w:w="3500" w:type="dxa"/>
            <w:shd w:val="clear" w:color="auto" w:fill="F2F2F2"/>
            <w:tcMar>
              <w:top w:w="100" w:type="dxa"/>
              <w:left w:w="120" w:type="dxa"/>
              <w:bottom w:w="100" w:type="dxa"/>
              <w:right w:w="120" w:type="dxa"/>
            </w:tcMar>
            <w:vAlign w:val="center"/>
          </w:tcPr>
          <w:p w14:paraId="56F85274" w14:textId="77777777" w:rsidR="009B5D27" w:rsidRDefault="00000000">
            <w:pPr>
              <w:jc w:val="center"/>
            </w:pPr>
            <w:r>
              <w:rPr>
                <w:color w:val="404040"/>
              </w:rPr>
              <w:t>500</w:t>
            </w:r>
          </w:p>
        </w:tc>
      </w:tr>
      <w:tr w:rsidR="009B5D27" w14:paraId="1EB19531"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3F6C2918" w14:textId="77777777" w:rsidR="009B5D27" w:rsidRDefault="00000000">
            <w:r>
              <w:rPr>
                <w:color w:val="404040"/>
              </w:rPr>
              <w:t>Total Defaults</w:t>
            </w:r>
          </w:p>
        </w:tc>
        <w:tc>
          <w:tcPr>
            <w:tcW w:w="3500" w:type="dxa"/>
            <w:shd w:val="clear" w:color="auto" w:fill="FFFFFF"/>
            <w:tcMar>
              <w:top w:w="100" w:type="dxa"/>
              <w:left w:w="120" w:type="dxa"/>
              <w:bottom w:w="100" w:type="dxa"/>
              <w:right w:w="120" w:type="dxa"/>
            </w:tcMar>
            <w:vAlign w:val="center"/>
          </w:tcPr>
          <w:p w14:paraId="33715AB5" w14:textId="77777777" w:rsidR="009B5D27" w:rsidRDefault="00000000">
            <w:pPr>
              <w:jc w:val="center"/>
            </w:pPr>
            <w:r>
              <w:rPr>
                <w:color w:val="404040"/>
              </w:rPr>
              <w:t>146 (24.3%)</w:t>
            </w:r>
          </w:p>
        </w:tc>
      </w:tr>
      <w:tr w:rsidR="009B5D27" w14:paraId="71DAA8F0"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1DB53E90" w14:textId="77777777" w:rsidR="009B5D27" w:rsidRDefault="00000000">
            <w:r>
              <w:rPr>
                <w:color w:val="404040"/>
              </w:rPr>
              <w:t>Average Credit Score</w:t>
            </w:r>
          </w:p>
        </w:tc>
        <w:tc>
          <w:tcPr>
            <w:tcW w:w="3500" w:type="dxa"/>
            <w:shd w:val="clear" w:color="auto" w:fill="F2F2F2"/>
            <w:tcMar>
              <w:top w:w="100" w:type="dxa"/>
              <w:left w:w="120" w:type="dxa"/>
              <w:bottom w:w="100" w:type="dxa"/>
              <w:right w:w="120" w:type="dxa"/>
            </w:tcMar>
            <w:vAlign w:val="center"/>
          </w:tcPr>
          <w:p w14:paraId="4D2DD1E9" w14:textId="77777777" w:rsidR="009B5D27" w:rsidRDefault="00000000">
            <w:pPr>
              <w:jc w:val="center"/>
            </w:pPr>
            <w:r>
              <w:rPr>
                <w:color w:val="404040"/>
              </w:rPr>
              <w:t>704.95</w:t>
            </w:r>
          </w:p>
        </w:tc>
      </w:tr>
      <w:tr w:rsidR="009B5D27" w14:paraId="0B53DBFC"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6C900276" w14:textId="77777777" w:rsidR="009B5D27" w:rsidRDefault="00000000">
            <w:r>
              <w:rPr>
                <w:color w:val="404040"/>
              </w:rPr>
              <w:t>Average Loan Amount</w:t>
            </w:r>
          </w:p>
        </w:tc>
        <w:tc>
          <w:tcPr>
            <w:tcW w:w="3500" w:type="dxa"/>
            <w:shd w:val="clear" w:color="auto" w:fill="FFFFFF"/>
            <w:tcMar>
              <w:top w:w="100" w:type="dxa"/>
              <w:left w:w="120" w:type="dxa"/>
              <w:bottom w:w="100" w:type="dxa"/>
              <w:right w:w="120" w:type="dxa"/>
            </w:tcMar>
            <w:vAlign w:val="center"/>
          </w:tcPr>
          <w:p w14:paraId="6BBB4BB2" w14:textId="77777777" w:rsidR="009B5D27" w:rsidRDefault="00000000">
            <w:pPr>
              <w:jc w:val="center"/>
            </w:pPr>
            <w:r>
              <w:rPr>
                <w:color w:val="404040"/>
              </w:rPr>
              <w:t>$22,148</w:t>
            </w:r>
          </w:p>
        </w:tc>
      </w:tr>
      <w:tr w:rsidR="009B5D27" w14:paraId="222445D8"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2B2B10D0" w14:textId="77777777" w:rsidR="009B5D27" w:rsidRDefault="00000000">
            <w:r>
              <w:rPr>
                <w:color w:val="404040"/>
              </w:rPr>
              <w:t>Average Annual Income</w:t>
            </w:r>
          </w:p>
        </w:tc>
        <w:tc>
          <w:tcPr>
            <w:tcW w:w="3500" w:type="dxa"/>
            <w:shd w:val="clear" w:color="auto" w:fill="F2F2F2"/>
            <w:tcMar>
              <w:top w:w="100" w:type="dxa"/>
              <w:left w:w="120" w:type="dxa"/>
              <w:bottom w:w="100" w:type="dxa"/>
              <w:right w:w="120" w:type="dxa"/>
            </w:tcMar>
            <w:vAlign w:val="center"/>
          </w:tcPr>
          <w:p w14:paraId="2E30D33B" w14:textId="77777777" w:rsidR="009B5D27" w:rsidRDefault="00000000">
            <w:pPr>
              <w:jc w:val="center"/>
            </w:pPr>
            <w:r>
              <w:rPr>
                <w:color w:val="404040"/>
              </w:rPr>
              <w:t>$64,471</w:t>
            </w:r>
          </w:p>
        </w:tc>
      </w:tr>
    </w:tbl>
    <w:p w14:paraId="649826EA" w14:textId="77777777" w:rsidR="009B5D27" w:rsidRDefault="009B5D27">
      <w:pPr>
        <w:spacing w:before="200"/>
      </w:pPr>
    </w:p>
    <w:p w14:paraId="3C19C8BB" w14:textId="77777777" w:rsidR="009B5D27" w:rsidRDefault="00000000">
      <w:pPr>
        <w:pStyle w:val="Heading1"/>
        <w:pBdr>
          <w:bottom w:val="single" w:sz="8" w:space="4" w:color="1F3864"/>
        </w:pBdr>
        <w:spacing w:before="400" w:after="200"/>
      </w:pPr>
      <w:r>
        <w:rPr>
          <w:b/>
          <w:bCs/>
          <w:color w:val="1F3864"/>
          <w:sz w:val="30"/>
          <w:szCs w:val="30"/>
        </w:rPr>
        <w:t>4. Methodology</w:t>
      </w:r>
    </w:p>
    <w:p w14:paraId="44369316" w14:textId="77777777" w:rsidR="009B5D27" w:rsidRDefault="00000000">
      <w:pPr>
        <w:spacing w:after="160" w:line="276" w:lineRule="auto"/>
      </w:pPr>
      <w:r>
        <w:rPr>
          <w:color w:val="404040"/>
          <w:sz w:val="22"/>
          <w:szCs w:val="22"/>
        </w:rPr>
        <w:t>The analysis followed a standard credit risk analytics workflow:</w:t>
      </w:r>
    </w:p>
    <w:p w14:paraId="7CB59512" w14:textId="77777777" w:rsidR="009B5D27" w:rsidRDefault="00000000">
      <w:pPr>
        <w:pStyle w:val="ListParagraph"/>
        <w:numPr>
          <w:ilvl w:val="0"/>
          <w:numId w:val="2"/>
        </w:numPr>
        <w:spacing w:after="100"/>
      </w:pPr>
      <w:r>
        <w:rPr>
          <w:color w:val="404040"/>
          <w:sz w:val="22"/>
          <w:szCs w:val="22"/>
        </w:rPr>
        <w:t xml:space="preserve">Data </w:t>
      </w:r>
      <w:proofErr w:type="spellStart"/>
      <w:r>
        <w:rPr>
          <w:color w:val="404040"/>
          <w:sz w:val="22"/>
          <w:szCs w:val="22"/>
        </w:rPr>
        <w:t>Modeling</w:t>
      </w:r>
      <w:proofErr w:type="spellEnd"/>
      <w:r>
        <w:rPr>
          <w:color w:val="404040"/>
          <w:sz w:val="22"/>
          <w:szCs w:val="22"/>
        </w:rPr>
        <w:t xml:space="preserve">: Loaded </w:t>
      </w:r>
      <w:proofErr w:type="spellStart"/>
      <w:r>
        <w:rPr>
          <w:color w:val="404040"/>
          <w:sz w:val="22"/>
          <w:szCs w:val="22"/>
        </w:rPr>
        <w:t>loan_applications</w:t>
      </w:r>
      <w:proofErr w:type="spellEnd"/>
      <w:r>
        <w:rPr>
          <w:color w:val="404040"/>
          <w:sz w:val="22"/>
          <w:szCs w:val="22"/>
        </w:rPr>
        <w:t xml:space="preserve"> and </w:t>
      </w:r>
      <w:proofErr w:type="spellStart"/>
      <w:r>
        <w:rPr>
          <w:color w:val="404040"/>
          <w:sz w:val="22"/>
          <w:szCs w:val="22"/>
        </w:rPr>
        <w:t>borrower_profiles</w:t>
      </w:r>
      <w:proofErr w:type="spellEnd"/>
      <w:r>
        <w:rPr>
          <w:color w:val="404040"/>
          <w:sz w:val="22"/>
          <w:szCs w:val="22"/>
        </w:rPr>
        <w:t xml:space="preserve"> into a </w:t>
      </w:r>
      <w:proofErr w:type="spellStart"/>
      <w:r>
        <w:rPr>
          <w:color w:val="404040"/>
          <w:sz w:val="22"/>
          <w:szCs w:val="22"/>
        </w:rPr>
        <w:t>riskmanagement</w:t>
      </w:r>
      <w:proofErr w:type="spellEnd"/>
      <w:r>
        <w:rPr>
          <w:color w:val="404040"/>
          <w:sz w:val="22"/>
          <w:szCs w:val="22"/>
        </w:rPr>
        <w:t xml:space="preserve"> database and joined them on </w:t>
      </w:r>
      <w:proofErr w:type="spellStart"/>
      <w:r>
        <w:rPr>
          <w:color w:val="404040"/>
          <w:sz w:val="22"/>
          <w:szCs w:val="22"/>
        </w:rPr>
        <w:t>borrower_id</w:t>
      </w:r>
      <w:proofErr w:type="spellEnd"/>
      <w:r>
        <w:rPr>
          <w:color w:val="404040"/>
          <w:sz w:val="22"/>
          <w:szCs w:val="22"/>
        </w:rPr>
        <w:t>.</w:t>
      </w:r>
    </w:p>
    <w:p w14:paraId="5D24CAD3" w14:textId="77777777" w:rsidR="009B5D27" w:rsidRDefault="00000000">
      <w:pPr>
        <w:pStyle w:val="ListParagraph"/>
        <w:numPr>
          <w:ilvl w:val="0"/>
          <w:numId w:val="2"/>
        </w:numPr>
        <w:spacing w:after="100"/>
      </w:pPr>
      <w:r>
        <w:rPr>
          <w:color w:val="404040"/>
          <w:sz w:val="22"/>
          <w:szCs w:val="22"/>
        </w:rPr>
        <w:lastRenderedPageBreak/>
        <w:t>SQL Analysis: Wrote a series of segment-level queries to compute default rate by credit score band, DTI ratio band, loan purpose, loan amount, employment status, and employment tenure.</w:t>
      </w:r>
    </w:p>
    <w:p w14:paraId="6785E115" w14:textId="77777777" w:rsidR="009B5D27" w:rsidRDefault="00000000">
      <w:pPr>
        <w:pStyle w:val="ListParagraph"/>
        <w:numPr>
          <w:ilvl w:val="0"/>
          <w:numId w:val="2"/>
        </w:numPr>
        <w:spacing w:after="100"/>
      </w:pPr>
      <w:r>
        <w:rPr>
          <w:color w:val="404040"/>
          <w:sz w:val="22"/>
          <w:szCs w:val="22"/>
        </w:rPr>
        <w:t>Dashboard Design: Built a single-page Power BI dashboard with KPI cards, bar charts, donut charts, and a pie chart, alongside a written business-insights panel.</w:t>
      </w:r>
    </w:p>
    <w:p w14:paraId="1618DA11" w14:textId="77777777" w:rsidR="009B5D27" w:rsidRDefault="00000000">
      <w:pPr>
        <w:spacing w:after="160" w:line="276" w:lineRule="auto"/>
      </w:pPr>
      <w:r>
        <w:rPr>
          <w:color w:val="404040"/>
          <w:sz w:val="22"/>
          <w:szCs w:val="22"/>
        </w:rPr>
        <w:t>Note: one bucket-comparison bug in the original DTI SQL query (a chained comparison that doesn't evaluate as intended in SQL) was identified and corrected during analysis so the DTI bands reflect accurate ranges.</w:t>
      </w:r>
    </w:p>
    <w:p w14:paraId="5272862E" w14:textId="77777777" w:rsidR="009B5D27" w:rsidRDefault="00000000">
      <w:pPr>
        <w:pStyle w:val="Heading1"/>
        <w:pBdr>
          <w:bottom w:val="single" w:sz="8" w:space="4" w:color="1F3864"/>
        </w:pBdr>
        <w:spacing w:before="400" w:after="200"/>
      </w:pPr>
      <w:r>
        <w:rPr>
          <w:b/>
          <w:bCs/>
          <w:color w:val="1F3864"/>
          <w:sz w:val="30"/>
          <w:szCs w:val="30"/>
        </w:rPr>
        <w:t>5. Key Findings</w:t>
      </w:r>
    </w:p>
    <w:p w14:paraId="0E9281E8" w14:textId="77777777" w:rsidR="009B5D27" w:rsidRDefault="00000000">
      <w:pPr>
        <w:pStyle w:val="Heading2"/>
        <w:spacing w:before="300" w:after="150"/>
      </w:pPr>
      <w:r>
        <w:rPr>
          <w:b/>
          <w:bCs/>
          <w:color w:val="C0177C"/>
          <w:sz w:val="24"/>
          <w:szCs w:val="24"/>
        </w:rPr>
        <w:t>5.1 Credit Score is the Strongest Predictor</w:t>
      </w:r>
    </w:p>
    <w:p w14:paraId="258E6A0A" w14:textId="77777777" w:rsidR="009B5D27" w:rsidRDefault="00000000">
      <w:pPr>
        <w:spacing w:after="160" w:line="276" w:lineRule="auto"/>
      </w:pPr>
      <w:r>
        <w:rPr>
          <w:color w:val="404040"/>
          <w:sz w:val="22"/>
          <w:szCs w:val="22"/>
        </w:rPr>
        <w:t>Default risk falls sharply and consistently as credit score rises — from 49.1% in the 520–599 band down to 6.8% in the 750–799 band, a nearly 7x difference in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00"/>
      </w:tblGrid>
      <w:tr w:rsidR="009B5D27" w14:paraId="57AD1E09"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6386C36B" w14:textId="77777777" w:rsidR="009B5D27" w:rsidRDefault="00000000">
            <w:pPr>
              <w:jc w:val="center"/>
            </w:pPr>
            <w:r>
              <w:rPr>
                <w:b/>
                <w:bCs/>
                <w:color w:val="FFFFFF"/>
              </w:rPr>
              <w:t>Credit Score Band</w:t>
            </w:r>
          </w:p>
        </w:tc>
        <w:tc>
          <w:tcPr>
            <w:tcW w:w="2100" w:type="dxa"/>
            <w:shd w:val="clear" w:color="auto" w:fill="1F3864"/>
            <w:tcMar>
              <w:top w:w="100" w:type="dxa"/>
              <w:left w:w="120" w:type="dxa"/>
              <w:bottom w:w="100" w:type="dxa"/>
              <w:right w:w="120" w:type="dxa"/>
            </w:tcMar>
            <w:vAlign w:val="center"/>
          </w:tcPr>
          <w:p w14:paraId="4403CC24" w14:textId="77777777" w:rsidR="009B5D27" w:rsidRDefault="00000000">
            <w:pPr>
              <w:jc w:val="center"/>
            </w:pPr>
            <w:r>
              <w:rPr>
                <w:b/>
                <w:bCs/>
                <w:color w:val="FFFFFF"/>
              </w:rPr>
              <w:t>Total Loans</w:t>
            </w:r>
          </w:p>
        </w:tc>
        <w:tc>
          <w:tcPr>
            <w:tcW w:w="2100" w:type="dxa"/>
            <w:shd w:val="clear" w:color="auto" w:fill="1F3864"/>
            <w:tcMar>
              <w:top w:w="100" w:type="dxa"/>
              <w:left w:w="120" w:type="dxa"/>
              <w:bottom w:w="100" w:type="dxa"/>
              <w:right w:w="120" w:type="dxa"/>
            </w:tcMar>
            <w:vAlign w:val="center"/>
          </w:tcPr>
          <w:p w14:paraId="60BB6CF9" w14:textId="77777777" w:rsidR="009B5D27" w:rsidRDefault="00000000">
            <w:pPr>
              <w:jc w:val="center"/>
            </w:pPr>
            <w:r>
              <w:rPr>
                <w:b/>
                <w:bCs/>
                <w:color w:val="FFFFFF"/>
              </w:rPr>
              <w:t>Defaults</w:t>
            </w:r>
          </w:p>
        </w:tc>
        <w:tc>
          <w:tcPr>
            <w:tcW w:w="2000" w:type="dxa"/>
            <w:shd w:val="clear" w:color="auto" w:fill="1F3864"/>
            <w:tcMar>
              <w:top w:w="100" w:type="dxa"/>
              <w:left w:w="120" w:type="dxa"/>
              <w:bottom w:w="100" w:type="dxa"/>
              <w:right w:w="120" w:type="dxa"/>
            </w:tcMar>
            <w:vAlign w:val="center"/>
          </w:tcPr>
          <w:p w14:paraId="11507BE1" w14:textId="77777777" w:rsidR="009B5D27" w:rsidRDefault="00000000">
            <w:pPr>
              <w:jc w:val="center"/>
            </w:pPr>
            <w:r>
              <w:rPr>
                <w:b/>
                <w:bCs/>
                <w:color w:val="FFFFFF"/>
              </w:rPr>
              <w:t>Default Rate</w:t>
            </w:r>
          </w:p>
        </w:tc>
      </w:tr>
      <w:tr w:rsidR="009B5D27" w14:paraId="5C9EF226"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27661B0F" w14:textId="77777777" w:rsidR="009B5D27" w:rsidRDefault="00000000">
            <w:r>
              <w:rPr>
                <w:color w:val="404040"/>
              </w:rPr>
              <w:t>520–599</w:t>
            </w:r>
          </w:p>
        </w:tc>
        <w:tc>
          <w:tcPr>
            <w:tcW w:w="2100" w:type="dxa"/>
            <w:shd w:val="clear" w:color="auto" w:fill="FFFFFF"/>
            <w:tcMar>
              <w:top w:w="100" w:type="dxa"/>
              <w:left w:w="120" w:type="dxa"/>
              <w:bottom w:w="100" w:type="dxa"/>
              <w:right w:w="120" w:type="dxa"/>
            </w:tcMar>
            <w:vAlign w:val="center"/>
          </w:tcPr>
          <w:p w14:paraId="1328D57C" w14:textId="77777777" w:rsidR="009B5D27" w:rsidRDefault="00000000">
            <w:pPr>
              <w:jc w:val="center"/>
            </w:pPr>
            <w:r>
              <w:rPr>
                <w:color w:val="404040"/>
              </w:rPr>
              <w:t>116</w:t>
            </w:r>
          </w:p>
        </w:tc>
        <w:tc>
          <w:tcPr>
            <w:tcW w:w="2100" w:type="dxa"/>
            <w:shd w:val="clear" w:color="auto" w:fill="FFFFFF"/>
            <w:tcMar>
              <w:top w:w="100" w:type="dxa"/>
              <w:left w:w="120" w:type="dxa"/>
              <w:bottom w:w="100" w:type="dxa"/>
              <w:right w:w="120" w:type="dxa"/>
            </w:tcMar>
            <w:vAlign w:val="center"/>
          </w:tcPr>
          <w:p w14:paraId="2092B105" w14:textId="77777777" w:rsidR="009B5D27" w:rsidRDefault="00000000">
            <w:pPr>
              <w:jc w:val="center"/>
            </w:pPr>
            <w:r>
              <w:rPr>
                <w:color w:val="404040"/>
              </w:rPr>
              <w:t>57</w:t>
            </w:r>
          </w:p>
        </w:tc>
        <w:tc>
          <w:tcPr>
            <w:tcW w:w="2000" w:type="dxa"/>
            <w:shd w:val="clear" w:color="auto" w:fill="FFFFFF"/>
            <w:tcMar>
              <w:top w:w="100" w:type="dxa"/>
              <w:left w:w="120" w:type="dxa"/>
              <w:bottom w:w="100" w:type="dxa"/>
              <w:right w:w="120" w:type="dxa"/>
            </w:tcMar>
            <w:vAlign w:val="center"/>
          </w:tcPr>
          <w:p w14:paraId="369DBE6B" w14:textId="77777777" w:rsidR="009B5D27" w:rsidRDefault="00000000">
            <w:pPr>
              <w:jc w:val="center"/>
            </w:pPr>
            <w:r>
              <w:rPr>
                <w:color w:val="404040"/>
              </w:rPr>
              <w:t>49.14%</w:t>
            </w:r>
          </w:p>
        </w:tc>
      </w:tr>
      <w:tr w:rsidR="009B5D27" w14:paraId="5367FBB5"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58BC8F7E" w14:textId="77777777" w:rsidR="009B5D27" w:rsidRDefault="00000000">
            <w:r>
              <w:rPr>
                <w:color w:val="404040"/>
              </w:rPr>
              <w:t>600–649</w:t>
            </w:r>
          </w:p>
        </w:tc>
        <w:tc>
          <w:tcPr>
            <w:tcW w:w="2100" w:type="dxa"/>
            <w:shd w:val="clear" w:color="auto" w:fill="F2F2F2"/>
            <w:tcMar>
              <w:top w:w="100" w:type="dxa"/>
              <w:left w:w="120" w:type="dxa"/>
              <w:bottom w:w="100" w:type="dxa"/>
              <w:right w:w="120" w:type="dxa"/>
            </w:tcMar>
            <w:vAlign w:val="center"/>
          </w:tcPr>
          <w:p w14:paraId="54D9BFFF" w14:textId="77777777" w:rsidR="009B5D27" w:rsidRDefault="00000000">
            <w:pPr>
              <w:jc w:val="center"/>
            </w:pPr>
            <w:r>
              <w:rPr>
                <w:color w:val="404040"/>
              </w:rPr>
              <w:t>93</w:t>
            </w:r>
          </w:p>
        </w:tc>
        <w:tc>
          <w:tcPr>
            <w:tcW w:w="2100" w:type="dxa"/>
            <w:shd w:val="clear" w:color="auto" w:fill="F2F2F2"/>
            <w:tcMar>
              <w:top w:w="100" w:type="dxa"/>
              <w:left w:w="120" w:type="dxa"/>
              <w:bottom w:w="100" w:type="dxa"/>
              <w:right w:w="120" w:type="dxa"/>
            </w:tcMar>
            <w:vAlign w:val="center"/>
          </w:tcPr>
          <w:p w14:paraId="40A770B4" w14:textId="77777777" w:rsidR="009B5D27" w:rsidRDefault="00000000">
            <w:pPr>
              <w:jc w:val="center"/>
            </w:pPr>
            <w:r>
              <w:rPr>
                <w:color w:val="404040"/>
              </w:rPr>
              <w:t>27</w:t>
            </w:r>
          </w:p>
        </w:tc>
        <w:tc>
          <w:tcPr>
            <w:tcW w:w="2000" w:type="dxa"/>
            <w:shd w:val="clear" w:color="auto" w:fill="F2F2F2"/>
            <w:tcMar>
              <w:top w:w="100" w:type="dxa"/>
              <w:left w:w="120" w:type="dxa"/>
              <w:bottom w:w="100" w:type="dxa"/>
              <w:right w:w="120" w:type="dxa"/>
            </w:tcMar>
            <w:vAlign w:val="center"/>
          </w:tcPr>
          <w:p w14:paraId="729B85C6" w14:textId="77777777" w:rsidR="009B5D27" w:rsidRDefault="00000000">
            <w:pPr>
              <w:jc w:val="center"/>
            </w:pPr>
            <w:r>
              <w:rPr>
                <w:color w:val="404040"/>
              </w:rPr>
              <w:t>29.03%</w:t>
            </w:r>
          </w:p>
        </w:tc>
      </w:tr>
      <w:tr w:rsidR="009B5D27" w14:paraId="420E2E21"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730357B" w14:textId="77777777" w:rsidR="009B5D27" w:rsidRDefault="00000000">
            <w:r>
              <w:rPr>
                <w:color w:val="404040"/>
              </w:rPr>
              <w:t>650–699</w:t>
            </w:r>
          </w:p>
        </w:tc>
        <w:tc>
          <w:tcPr>
            <w:tcW w:w="2100" w:type="dxa"/>
            <w:shd w:val="clear" w:color="auto" w:fill="FFFFFF"/>
            <w:tcMar>
              <w:top w:w="100" w:type="dxa"/>
              <w:left w:w="120" w:type="dxa"/>
              <w:bottom w:w="100" w:type="dxa"/>
              <w:right w:w="120" w:type="dxa"/>
            </w:tcMar>
            <w:vAlign w:val="center"/>
          </w:tcPr>
          <w:p w14:paraId="6F808AA5" w14:textId="77777777" w:rsidR="009B5D27" w:rsidRDefault="00000000">
            <w:pPr>
              <w:jc w:val="center"/>
            </w:pPr>
            <w:r>
              <w:rPr>
                <w:color w:val="404040"/>
              </w:rPr>
              <w:t>75</w:t>
            </w:r>
          </w:p>
        </w:tc>
        <w:tc>
          <w:tcPr>
            <w:tcW w:w="2100" w:type="dxa"/>
            <w:shd w:val="clear" w:color="auto" w:fill="FFFFFF"/>
            <w:tcMar>
              <w:top w:w="100" w:type="dxa"/>
              <w:left w:w="120" w:type="dxa"/>
              <w:bottom w:w="100" w:type="dxa"/>
              <w:right w:w="120" w:type="dxa"/>
            </w:tcMar>
            <w:vAlign w:val="center"/>
          </w:tcPr>
          <w:p w14:paraId="3153C96A" w14:textId="77777777" w:rsidR="009B5D27" w:rsidRDefault="00000000">
            <w:pPr>
              <w:jc w:val="center"/>
            </w:pPr>
            <w:r>
              <w:rPr>
                <w:color w:val="404040"/>
              </w:rPr>
              <w:t>21</w:t>
            </w:r>
          </w:p>
        </w:tc>
        <w:tc>
          <w:tcPr>
            <w:tcW w:w="2000" w:type="dxa"/>
            <w:shd w:val="clear" w:color="auto" w:fill="FFFFFF"/>
            <w:tcMar>
              <w:top w:w="100" w:type="dxa"/>
              <w:left w:w="120" w:type="dxa"/>
              <w:bottom w:w="100" w:type="dxa"/>
              <w:right w:w="120" w:type="dxa"/>
            </w:tcMar>
            <w:vAlign w:val="center"/>
          </w:tcPr>
          <w:p w14:paraId="7662A984" w14:textId="77777777" w:rsidR="009B5D27" w:rsidRDefault="00000000">
            <w:pPr>
              <w:jc w:val="center"/>
            </w:pPr>
            <w:r>
              <w:rPr>
                <w:color w:val="404040"/>
              </w:rPr>
              <w:t>28.00%</w:t>
            </w:r>
          </w:p>
        </w:tc>
      </w:tr>
      <w:tr w:rsidR="009B5D27" w14:paraId="740688D1"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350C8786" w14:textId="77777777" w:rsidR="009B5D27" w:rsidRDefault="00000000">
            <w:r>
              <w:rPr>
                <w:color w:val="404040"/>
              </w:rPr>
              <w:t>700–749</w:t>
            </w:r>
          </w:p>
        </w:tc>
        <w:tc>
          <w:tcPr>
            <w:tcW w:w="2100" w:type="dxa"/>
            <w:shd w:val="clear" w:color="auto" w:fill="F2F2F2"/>
            <w:tcMar>
              <w:top w:w="100" w:type="dxa"/>
              <w:left w:w="120" w:type="dxa"/>
              <w:bottom w:w="100" w:type="dxa"/>
              <w:right w:w="120" w:type="dxa"/>
            </w:tcMar>
            <w:vAlign w:val="center"/>
          </w:tcPr>
          <w:p w14:paraId="3CB7E9DC" w14:textId="77777777" w:rsidR="009B5D27" w:rsidRDefault="00000000">
            <w:pPr>
              <w:jc w:val="center"/>
            </w:pPr>
            <w:r>
              <w:rPr>
                <w:color w:val="404040"/>
              </w:rPr>
              <w:t>86</w:t>
            </w:r>
          </w:p>
        </w:tc>
        <w:tc>
          <w:tcPr>
            <w:tcW w:w="2100" w:type="dxa"/>
            <w:shd w:val="clear" w:color="auto" w:fill="F2F2F2"/>
            <w:tcMar>
              <w:top w:w="100" w:type="dxa"/>
              <w:left w:w="120" w:type="dxa"/>
              <w:bottom w:w="100" w:type="dxa"/>
              <w:right w:w="120" w:type="dxa"/>
            </w:tcMar>
            <w:vAlign w:val="center"/>
          </w:tcPr>
          <w:p w14:paraId="76937004" w14:textId="77777777" w:rsidR="009B5D27" w:rsidRDefault="00000000">
            <w:pPr>
              <w:jc w:val="center"/>
            </w:pPr>
            <w:r>
              <w:rPr>
                <w:color w:val="404040"/>
              </w:rPr>
              <w:t>14</w:t>
            </w:r>
          </w:p>
        </w:tc>
        <w:tc>
          <w:tcPr>
            <w:tcW w:w="2000" w:type="dxa"/>
            <w:shd w:val="clear" w:color="auto" w:fill="F2F2F2"/>
            <w:tcMar>
              <w:top w:w="100" w:type="dxa"/>
              <w:left w:w="120" w:type="dxa"/>
              <w:bottom w:w="100" w:type="dxa"/>
              <w:right w:w="120" w:type="dxa"/>
            </w:tcMar>
            <w:vAlign w:val="center"/>
          </w:tcPr>
          <w:p w14:paraId="113D3427" w14:textId="77777777" w:rsidR="009B5D27" w:rsidRDefault="00000000">
            <w:pPr>
              <w:jc w:val="center"/>
            </w:pPr>
            <w:r>
              <w:rPr>
                <w:color w:val="404040"/>
              </w:rPr>
              <w:t>16.28%</w:t>
            </w:r>
          </w:p>
        </w:tc>
      </w:tr>
      <w:tr w:rsidR="009B5D27" w14:paraId="554AAD78"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9BBB329" w14:textId="77777777" w:rsidR="009B5D27" w:rsidRDefault="00000000">
            <w:r>
              <w:rPr>
                <w:color w:val="404040"/>
              </w:rPr>
              <w:t>750–799</w:t>
            </w:r>
          </w:p>
        </w:tc>
        <w:tc>
          <w:tcPr>
            <w:tcW w:w="2100" w:type="dxa"/>
            <w:shd w:val="clear" w:color="auto" w:fill="FFFFFF"/>
            <w:tcMar>
              <w:top w:w="100" w:type="dxa"/>
              <w:left w:w="120" w:type="dxa"/>
              <w:bottom w:w="100" w:type="dxa"/>
              <w:right w:w="120" w:type="dxa"/>
            </w:tcMar>
            <w:vAlign w:val="center"/>
          </w:tcPr>
          <w:p w14:paraId="70D501D6" w14:textId="77777777" w:rsidR="009B5D27" w:rsidRDefault="00000000">
            <w:pPr>
              <w:jc w:val="center"/>
            </w:pPr>
            <w:r>
              <w:rPr>
                <w:color w:val="404040"/>
              </w:rPr>
              <w:t>88</w:t>
            </w:r>
          </w:p>
        </w:tc>
        <w:tc>
          <w:tcPr>
            <w:tcW w:w="2100" w:type="dxa"/>
            <w:shd w:val="clear" w:color="auto" w:fill="FFFFFF"/>
            <w:tcMar>
              <w:top w:w="100" w:type="dxa"/>
              <w:left w:w="120" w:type="dxa"/>
              <w:bottom w:w="100" w:type="dxa"/>
              <w:right w:w="120" w:type="dxa"/>
            </w:tcMar>
            <w:vAlign w:val="center"/>
          </w:tcPr>
          <w:p w14:paraId="36B455B2" w14:textId="77777777" w:rsidR="009B5D27" w:rsidRDefault="00000000">
            <w:pPr>
              <w:jc w:val="center"/>
            </w:pPr>
            <w:r>
              <w:rPr>
                <w:color w:val="404040"/>
              </w:rPr>
              <w:t>6</w:t>
            </w:r>
          </w:p>
        </w:tc>
        <w:tc>
          <w:tcPr>
            <w:tcW w:w="2000" w:type="dxa"/>
            <w:shd w:val="clear" w:color="auto" w:fill="FFFFFF"/>
            <w:tcMar>
              <w:top w:w="100" w:type="dxa"/>
              <w:left w:w="120" w:type="dxa"/>
              <w:bottom w:w="100" w:type="dxa"/>
              <w:right w:w="120" w:type="dxa"/>
            </w:tcMar>
            <w:vAlign w:val="center"/>
          </w:tcPr>
          <w:p w14:paraId="3F485752" w14:textId="77777777" w:rsidR="009B5D27" w:rsidRDefault="00000000">
            <w:pPr>
              <w:jc w:val="center"/>
            </w:pPr>
            <w:r>
              <w:rPr>
                <w:color w:val="404040"/>
              </w:rPr>
              <w:t>6.82%</w:t>
            </w:r>
          </w:p>
        </w:tc>
      </w:tr>
      <w:tr w:rsidR="009B5D27" w14:paraId="6680D27A"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2CEDB5C7" w14:textId="77777777" w:rsidR="009B5D27" w:rsidRDefault="00000000">
            <w:r>
              <w:rPr>
                <w:color w:val="404040"/>
              </w:rPr>
              <w:t>800–849</w:t>
            </w:r>
          </w:p>
        </w:tc>
        <w:tc>
          <w:tcPr>
            <w:tcW w:w="2100" w:type="dxa"/>
            <w:shd w:val="clear" w:color="auto" w:fill="F2F2F2"/>
            <w:tcMar>
              <w:top w:w="100" w:type="dxa"/>
              <w:left w:w="120" w:type="dxa"/>
              <w:bottom w:w="100" w:type="dxa"/>
              <w:right w:w="120" w:type="dxa"/>
            </w:tcMar>
            <w:vAlign w:val="center"/>
          </w:tcPr>
          <w:p w14:paraId="36635D53" w14:textId="77777777" w:rsidR="009B5D27" w:rsidRDefault="00000000">
            <w:pPr>
              <w:jc w:val="center"/>
            </w:pPr>
            <w:r>
              <w:rPr>
                <w:color w:val="404040"/>
              </w:rPr>
              <w:t>104</w:t>
            </w:r>
          </w:p>
        </w:tc>
        <w:tc>
          <w:tcPr>
            <w:tcW w:w="2100" w:type="dxa"/>
            <w:shd w:val="clear" w:color="auto" w:fill="F2F2F2"/>
            <w:tcMar>
              <w:top w:w="100" w:type="dxa"/>
              <w:left w:w="120" w:type="dxa"/>
              <w:bottom w:w="100" w:type="dxa"/>
              <w:right w:w="120" w:type="dxa"/>
            </w:tcMar>
            <w:vAlign w:val="center"/>
          </w:tcPr>
          <w:p w14:paraId="1CFFFE50" w14:textId="77777777" w:rsidR="009B5D27" w:rsidRDefault="00000000">
            <w:pPr>
              <w:jc w:val="center"/>
            </w:pPr>
            <w:r>
              <w:rPr>
                <w:color w:val="404040"/>
              </w:rPr>
              <w:t>15</w:t>
            </w:r>
          </w:p>
        </w:tc>
        <w:tc>
          <w:tcPr>
            <w:tcW w:w="2000" w:type="dxa"/>
            <w:shd w:val="clear" w:color="auto" w:fill="F2F2F2"/>
            <w:tcMar>
              <w:top w:w="100" w:type="dxa"/>
              <w:left w:w="120" w:type="dxa"/>
              <w:bottom w:w="100" w:type="dxa"/>
              <w:right w:w="120" w:type="dxa"/>
            </w:tcMar>
            <w:vAlign w:val="center"/>
          </w:tcPr>
          <w:p w14:paraId="23CC0FA4" w14:textId="77777777" w:rsidR="009B5D27" w:rsidRDefault="00000000">
            <w:pPr>
              <w:jc w:val="center"/>
            </w:pPr>
            <w:r>
              <w:rPr>
                <w:color w:val="404040"/>
              </w:rPr>
              <w:t>14.42%</w:t>
            </w:r>
          </w:p>
        </w:tc>
      </w:tr>
      <w:tr w:rsidR="009B5D27" w14:paraId="6F2E195A"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7179298" w14:textId="77777777" w:rsidR="009B5D27" w:rsidRDefault="00000000">
            <w:r>
              <w:rPr>
                <w:color w:val="404040"/>
              </w:rPr>
              <w:t>850+</w:t>
            </w:r>
          </w:p>
        </w:tc>
        <w:tc>
          <w:tcPr>
            <w:tcW w:w="2100" w:type="dxa"/>
            <w:shd w:val="clear" w:color="auto" w:fill="FFFFFF"/>
            <w:tcMar>
              <w:top w:w="100" w:type="dxa"/>
              <w:left w:w="120" w:type="dxa"/>
              <w:bottom w:w="100" w:type="dxa"/>
              <w:right w:w="120" w:type="dxa"/>
            </w:tcMar>
            <w:vAlign w:val="center"/>
          </w:tcPr>
          <w:p w14:paraId="5E5FD038" w14:textId="77777777" w:rsidR="009B5D27" w:rsidRDefault="00000000">
            <w:pPr>
              <w:jc w:val="center"/>
            </w:pPr>
            <w:r>
              <w:rPr>
                <w:color w:val="404040"/>
              </w:rPr>
              <w:t>39</w:t>
            </w:r>
          </w:p>
        </w:tc>
        <w:tc>
          <w:tcPr>
            <w:tcW w:w="2100" w:type="dxa"/>
            <w:shd w:val="clear" w:color="auto" w:fill="FFFFFF"/>
            <w:tcMar>
              <w:top w:w="100" w:type="dxa"/>
              <w:left w:w="120" w:type="dxa"/>
              <w:bottom w:w="100" w:type="dxa"/>
              <w:right w:w="120" w:type="dxa"/>
            </w:tcMar>
            <w:vAlign w:val="center"/>
          </w:tcPr>
          <w:p w14:paraId="1CC3F00E" w14:textId="77777777" w:rsidR="009B5D27" w:rsidRDefault="00000000">
            <w:pPr>
              <w:jc w:val="center"/>
            </w:pPr>
            <w:r>
              <w:rPr>
                <w:color w:val="404040"/>
              </w:rPr>
              <w:t>6</w:t>
            </w:r>
          </w:p>
        </w:tc>
        <w:tc>
          <w:tcPr>
            <w:tcW w:w="2000" w:type="dxa"/>
            <w:shd w:val="clear" w:color="auto" w:fill="FFFFFF"/>
            <w:tcMar>
              <w:top w:w="100" w:type="dxa"/>
              <w:left w:w="120" w:type="dxa"/>
              <w:bottom w:w="100" w:type="dxa"/>
              <w:right w:w="120" w:type="dxa"/>
            </w:tcMar>
            <w:vAlign w:val="center"/>
          </w:tcPr>
          <w:p w14:paraId="23DCF84B" w14:textId="77777777" w:rsidR="009B5D27" w:rsidRDefault="00000000">
            <w:pPr>
              <w:jc w:val="center"/>
            </w:pPr>
            <w:r>
              <w:rPr>
                <w:color w:val="404040"/>
              </w:rPr>
              <w:t>15.38%</w:t>
            </w:r>
          </w:p>
        </w:tc>
      </w:tr>
    </w:tbl>
    <w:p w14:paraId="568F962B" w14:textId="77777777" w:rsidR="009B5D27" w:rsidRDefault="009B5D27">
      <w:pPr>
        <w:spacing w:before="200"/>
      </w:pPr>
    </w:p>
    <w:p w14:paraId="5D80CEDA" w14:textId="77777777" w:rsidR="009B5D27" w:rsidRDefault="00000000">
      <w:pPr>
        <w:pStyle w:val="Heading2"/>
        <w:spacing w:before="300" w:after="150"/>
      </w:pPr>
      <w:r>
        <w:rPr>
          <w:b/>
          <w:bCs/>
          <w:color w:val="C0177C"/>
          <w:sz w:val="24"/>
          <w:szCs w:val="24"/>
        </w:rPr>
        <w:t>5.2 DTI Ratio is the Second Strongest Signal</w:t>
      </w:r>
    </w:p>
    <w:p w14:paraId="318C7C3B" w14:textId="77777777" w:rsidR="009B5D27" w:rsidRDefault="00000000">
      <w:pPr>
        <w:spacing w:after="160" w:line="276" w:lineRule="auto"/>
      </w:pPr>
      <w:r>
        <w:rPr>
          <w:color w:val="404040"/>
          <w:sz w:val="22"/>
          <w:szCs w:val="22"/>
        </w:rPr>
        <w:t>Default risk stays relatively low and stable (11–17%) for DTI under 40%, then rises sharply and nearly triples once DTI crosses 50%. Over 45% of all loans in the portfolio fall into that highest-risk 50%+ band, making DTI concentration a material portfolio-level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00"/>
      </w:tblGrid>
      <w:tr w:rsidR="009B5D27" w14:paraId="413A9FE4"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7586A0A6" w14:textId="77777777" w:rsidR="009B5D27" w:rsidRDefault="00000000">
            <w:pPr>
              <w:jc w:val="center"/>
            </w:pPr>
            <w:r>
              <w:rPr>
                <w:b/>
                <w:bCs/>
                <w:color w:val="FFFFFF"/>
              </w:rPr>
              <w:t>DTI Ratio Band</w:t>
            </w:r>
          </w:p>
        </w:tc>
        <w:tc>
          <w:tcPr>
            <w:tcW w:w="2100" w:type="dxa"/>
            <w:shd w:val="clear" w:color="auto" w:fill="1F3864"/>
            <w:tcMar>
              <w:top w:w="100" w:type="dxa"/>
              <w:left w:w="120" w:type="dxa"/>
              <w:bottom w:w="100" w:type="dxa"/>
              <w:right w:w="120" w:type="dxa"/>
            </w:tcMar>
            <w:vAlign w:val="center"/>
          </w:tcPr>
          <w:p w14:paraId="48CDE981" w14:textId="77777777" w:rsidR="009B5D27" w:rsidRDefault="00000000">
            <w:pPr>
              <w:jc w:val="center"/>
            </w:pPr>
            <w:r>
              <w:rPr>
                <w:b/>
                <w:bCs/>
                <w:color w:val="FFFFFF"/>
              </w:rPr>
              <w:t>Total Loans</w:t>
            </w:r>
          </w:p>
        </w:tc>
        <w:tc>
          <w:tcPr>
            <w:tcW w:w="2100" w:type="dxa"/>
            <w:shd w:val="clear" w:color="auto" w:fill="1F3864"/>
            <w:tcMar>
              <w:top w:w="100" w:type="dxa"/>
              <w:left w:w="120" w:type="dxa"/>
              <w:bottom w:w="100" w:type="dxa"/>
              <w:right w:w="120" w:type="dxa"/>
            </w:tcMar>
            <w:vAlign w:val="center"/>
          </w:tcPr>
          <w:p w14:paraId="1E83D49B" w14:textId="77777777" w:rsidR="009B5D27" w:rsidRDefault="00000000">
            <w:pPr>
              <w:jc w:val="center"/>
            </w:pPr>
            <w:r>
              <w:rPr>
                <w:b/>
                <w:bCs/>
                <w:color w:val="FFFFFF"/>
              </w:rPr>
              <w:t>Defaults</w:t>
            </w:r>
          </w:p>
        </w:tc>
        <w:tc>
          <w:tcPr>
            <w:tcW w:w="2000" w:type="dxa"/>
            <w:shd w:val="clear" w:color="auto" w:fill="1F3864"/>
            <w:tcMar>
              <w:top w:w="100" w:type="dxa"/>
              <w:left w:w="120" w:type="dxa"/>
              <w:bottom w:w="100" w:type="dxa"/>
              <w:right w:w="120" w:type="dxa"/>
            </w:tcMar>
            <w:vAlign w:val="center"/>
          </w:tcPr>
          <w:p w14:paraId="427FF083" w14:textId="77777777" w:rsidR="009B5D27" w:rsidRDefault="00000000">
            <w:pPr>
              <w:jc w:val="center"/>
            </w:pPr>
            <w:r>
              <w:rPr>
                <w:b/>
                <w:bCs/>
                <w:color w:val="FFFFFF"/>
              </w:rPr>
              <w:t>Default Rate</w:t>
            </w:r>
          </w:p>
        </w:tc>
      </w:tr>
      <w:tr w:rsidR="009B5D27" w14:paraId="3D8A6E6F"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114C08E" w14:textId="77777777" w:rsidR="009B5D27" w:rsidRDefault="00000000">
            <w:r>
              <w:rPr>
                <w:color w:val="404040"/>
              </w:rPr>
              <w:t>0–19%</w:t>
            </w:r>
          </w:p>
        </w:tc>
        <w:tc>
          <w:tcPr>
            <w:tcW w:w="2100" w:type="dxa"/>
            <w:shd w:val="clear" w:color="auto" w:fill="FFFFFF"/>
            <w:tcMar>
              <w:top w:w="100" w:type="dxa"/>
              <w:left w:w="120" w:type="dxa"/>
              <w:bottom w:w="100" w:type="dxa"/>
              <w:right w:w="120" w:type="dxa"/>
            </w:tcMar>
            <w:vAlign w:val="center"/>
          </w:tcPr>
          <w:p w14:paraId="142BA915" w14:textId="77777777" w:rsidR="009B5D27" w:rsidRDefault="00000000">
            <w:pPr>
              <w:jc w:val="center"/>
            </w:pPr>
            <w:r>
              <w:rPr>
                <w:color w:val="404040"/>
              </w:rPr>
              <w:t>48</w:t>
            </w:r>
          </w:p>
        </w:tc>
        <w:tc>
          <w:tcPr>
            <w:tcW w:w="2100" w:type="dxa"/>
            <w:shd w:val="clear" w:color="auto" w:fill="FFFFFF"/>
            <w:tcMar>
              <w:top w:w="100" w:type="dxa"/>
              <w:left w:w="120" w:type="dxa"/>
              <w:bottom w:w="100" w:type="dxa"/>
              <w:right w:w="120" w:type="dxa"/>
            </w:tcMar>
            <w:vAlign w:val="center"/>
          </w:tcPr>
          <w:p w14:paraId="6A024585" w14:textId="77777777" w:rsidR="009B5D27" w:rsidRDefault="00000000">
            <w:pPr>
              <w:jc w:val="center"/>
            </w:pPr>
            <w:r>
              <w:rPr>
                <w:color w:val="404040"/>
              </w:rPr>
              <w:t>8</w:t>
            </w:r>
          </w:p>
        </w:tc>
        <w:tc>
          <w:tcPr>
            <w:tcW w:w="2000" w:type="dxa"/>
            <w:shd w:val="clear" w:color="auto" w:fill="FFFFFF"/>
            <w:tcMar>
              <w:top w:w="100" w:type="dxa"/>
              <w:left w:w="120" w:type="dxa"/>
              <w:bottom w:w="100" w:type="dxa"/>
              <w:right w:w="120" w:type="dxa"/>
            </w:tcMar>
            <w:vAlign w:val="center"/>
          </w:tcPr>
          <w:p w14:paraId="7432022D" w14:textId="77777777" w:rsidR="009B5D27" w:rsidRDefault="00000000">
            <w:pPr>
              <w:jc w:val="center"/>
            </w:pPr>
            <w:r>
              <w:rPr>
                <w:color w:val="404040"/>
              </w:rPr>
              <w:t>16.67%</w:t>
            </w:r>
          </w:p>
        </w:tc>
      </w:tr>
      <w:tr w:rsidR="009B5D27" w14:paraId="19704B8B"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2BB7C5C" w14:textId="77777777" w:rsidR="009B5D27" w:rsidRDefault="00000000">
            <w:r>
              <w:rPr>
                <w:color w:val="404040"/>
              </w:rPr>
              <w:t>20–29%</w:t>
            </w:r>
          </w:p>
        </w:tc>
        <w:tc>
          <w:tcPr>
            <w:tcW w:w="2100" w:type="dxa"/>
            <w:shd w:val="clear" w:color="auto" w:fill="F2F2F2"/>
            <w:tcMar>
              <w:top w:w="100" w:type="dxa"/>
              <w:left w:w="120" w:type="dxa"/>
              <w:bottom w:w="100" w:type="dxa"/>
              <w:right w:w="120" w:type="dxa"/>
            </w:tcMar>
            <w:vAlign w:val="center"/>
          </w:tcPr>
          <w:p w14:paraId="6D9E7557" w14:textId="77777777" w:rsidR="009B5D27" w:rsidRDefault="00000000">
            <w:pPr>
              <w:jc w:val="center"/>
            </w:pPr>
            <w:r>
              <w:rPr>
                <w:color w:val="404040"/>
              </w:rPr>
              <w:t>78</w:t>
            </w:r>
          </w:p>
        </w:tc>
        <w:tc>
          <w:tcPr>
            <w:tcW w:w="2100" w:type="dxa"/>
            <w:shd w:val="clear" w:color="auto" w:fill="F2F2F2"/>
            <w:tcMar>
              <w:top w:w="100" w:type="dxa"/>
              <w:left w:w="120" w:type="dxa"/>
              <w:bottom w:w="100" w:type="dxa"/>
              <w:right w:w="120" w:type="dxa"/>
            </w:tcMar>
            <w:vAlign w:val="center"/>
          </w:tcPr>
          <w:p w14:paraId="730872FB" w14:textId="77777777" w:rsidR="009B5D27" w:rsidRDefault="00000000">
            <w:pPr>
              <w:jc w:val="center"/>
            </w:pPr>
            <w:r>
              <w:rPr>
                <w:color w:val="404040"/>
              </w:rPr>
              <w:t>10</w:t>
            </w:r>
          </w:p>
        </w:tc>
        <w:tc>
          <w:tcPr>
            <w:tcW w:w="2000" w:type="dxa"/>
            <w:shd w:val="clear" w:color="auto" w:fill="F2F2F2"/>
            <w:tcMar>
              <w:top w:w="100" w:type="dxa"/>
              <w:left w:w="120" w:type="dxa"/>
              <w:bottom w:w="100" w:type="dxa"/>
              <w:right w:w="120" w:type="dxa"/>
            </w:tcMar>
            <w:vAlign w:val="center"/>
          </w:tcPr>
          <w:p w14:paraId="262FF900" w14:textId="77777777" w:rsidR="009B5D27" w:rsidRDefault="00000000">
            <w:pPr>
              <w:jc w:val="center"/>
            </w:pPr>
            <w:r>
              <w:rPr>
                <w:color w:val="404040"/>
              </w:rPr>
              <w:t>12.82%</w:t>
            </w:r>
          </w:p>
        </w:tc>
      </w:tr>
      <w:tr w:rsidR="009B5D27" w14:paraId="1FC9562B"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40EE579" w14:textId="77777777" w:rsidR="009B5D27" w:rsidRDefault="00000000">
            <w:r>
              <w:rPr>
                <w:color w:val="404040"/>
              </w:rPr>
              <w:t>30–39%</w:t>
            </w:r>
          </w:p>
        </w:tc>
        <w:tc>
          <w:tcPr>
            <w:tcW w:w="2100" w:type="dxa"/>
            <w:shd w:val="clear" w:color="auto" w:fill="FFFFFF"/>
            <w:tcMar>
              <w:top w:w="100" w:type="dxa"/>
              <w:left w:w="120" w:type="dxa"/>
              <w:bottom w:w="100" w:type="dxa"/>
              <w:right w:w="120" w:type="dxa"/>
            </w:tcMar>
            <w:vAlign w:val="center"/>
          </w:tcPr>
          <w:p w14:paraId="4A85FB7E" w14:textId="77777777" w:rsidR="009B5D27" w:rsidRDefault="00000000">
            <w:pPr>
              <w:jc w:val="center"/>
            </w:pPr>
            <w:r>
              <w:rPr>
                <w:color w:val="404040"/>
              </w:rPr>
              <w:t>107</w:t>
            </w:r>
          </w:p>
        </w:tc>
        <w:tc>
          <w:tcPr>
            <w:tcW w:w="2100" w:type="dxa"/>
            <w:shd w:val="clear" w:color="auto" w:fill="FFFFFF"/>
            <w:tcMar>
              <w:top w:w="100" w:type="dxa"/>
              <w:left w:w="120" w:type="dxa"/>
              <w:bottom w:w="100" w:type="dxa"/>
              <w:right w:w="120" w:type="dxa"/>
            </w:tcMar>
            <w:vAlign w:val="center"/>
          </w:tcPr>
          <w:p w14:paraId="110DF4E1" w14:textId="77777777" w:rsidR="009B5D27" w:rsidRDefault="00000000">
            <w:pPr>
              <w:jc w:val="center"/>
            </w:pPr>
            <w:r>
              <w:rPr>
                <w:color w:val="404040"/>
              </w:rPr>
              <w:t>12</w:t>
            </w:r>
          </w:p>
        </w:tc>
        <w:tc>
          <w:tcPr>
            <w:tcW w:w="2000" w:type="dxa"/>
            <w:shd w:val="clear" w:color="auto" w:fill="FFFFFF"/>
            <w:tcMar>
              <w:top w:w="100" w:type="dxa"/>
              <w:left w:w="120" w:type="dxa"/>
              <w:bottom w:w="100" w:type="dxa"/>
              <w:right w:w="120" w:type="dxa"/>
            </w:tcMar>
            <w:vAlign w:val="center"/>
          </w:tcPr>
          <w:p w14:paraId="5F7828FD" w14:textId="77777777" w:rsidR="009B5D27" w:rsidRDefault="00000000">
            <w:pPr>
              <w:jc w:val="center"/>
            </w:pPr>
            <w:r>
              <w:rPr>
                <w:color w:val="404040"/>
              </w:rPr>
              <w:t>11.21%</w:t>
            </w:r>
          </w:p>
        </w:tc>
      </w:tr>
      <w:tr w:rsidR="009B5D27" w14:paraId="2A5E69E7"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9FB6473" w14:textId="77777777" w:rsidR="009B5D27" w:rsidRDefault="00000000">
            <w:r>
              <w:rPr>
                <w:color w:val="404040"/>
              </w:rPr>
              <w:t>40–49%</w:t>
            </w:r>
          </w:p>
        </w:tc>
        <w:tc>
          <w:tcPr>
            <w:tcW w:w="2100" w:type="dxa"/>
            <w:shd w:val="clear" w:color="auto" w:fill="F2F2F2"/>
            <w:tcMar>
              <w:top w:w="100" w:type="dxa"/>
              <w:left w:w="120" w:type="dxa"/>
              <w:bottom w:w="100" w:type="dxa"/>
              <w:right w:w="120" w:type="dxa"/>
            </w:tcMar>
            <w:vAlign w:val="center"/>
          </w:tcPr>
          <w:p w14:paraId="0C49456E" w14:textId="77777777" w:rsidR="009B5D27" w:rsidRDefault="00000000">
            <w:pPr>
              <w:jc w:val="center"/>
            </w:pPr>
            <w:r>
              <w:rPr>
                <w:color w:val="404040"/>
              </w:rPr>
              <w:t>97</w:t>
            </w:r>
          </w:p>
        </w:tc>
        <w:tc>
          <w:tcPr>
            <w:tcW w:w="2100" w:type="dxa"/>
            <w:shd w:val="clear" w:color="auto" w:fill="F2F2F2"/>
            <w:tcMar>
              <w:top w:w="100" w:type="dxa"/>
              <w:left w:w="120" w:type="dxa"/>
              <w:bottom w:w="100" w:type="dxa"/>
              <w:right w:w="120" w:type="dxa"/>
            </w:tcMar>
            <w:vAlign w:val="center"/>
          </w:tcPr>
          <w:p w14:paraId="71F94288" w14:textId="77777777" w:rsidR="009B5D27" w:rsidRDefault="00000000">
            <w:pPr>
              <w:jc w:val="center"/>
            </w:pPr>
            <w:r>
              <w:rPr>
                <w:color w:val="404040"/>
              </w:rPr>
              <w:t>23</w:t>
            </w:r>
          </w:p>
        </w:tc>
        <w:tc>
          <w:tcPr>
            <w:tcW w:w="2000" w:type="dxa"/>
            <w:shd w:val="clear" w:color="auto" w:fill="F2F2F2"/>
            <w:tcMar>
              <w:top w:w="100" w:type="dxa"/>
              <w:left w:w="120" w:type="dxa"/>
              <w:bottom w:w="100" w:type="dxa"/>
              <w:right w:w="120" w:type="dxa"/>
            </w:tcMar>
            <w:vAlign w:val="center"/>
          </w:tcPr>
          <w:p w14:paraId="027A56BE" w14:textId="77777777" w:rsidR="009B5D27" w:rsidRDefault="00000000">
            <w:pPr>
              <w:jc w:val="center"/>
            </w:pPr>
            <w:r>
              <w:rPr>
                <w:color w:val="404040"/>
              </w:rPr>
              <w:t>23.71%</w:t>
            </w:r>
          </w:p>
        </w:tc>
      </w:tr>
      <w:tr w:rsidR="009B5D27" w14:paraId="04BF1CCE"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3118336" w14:textId="77777777" w:rsidR="009B5D27" w:rsidRDefault="00000000">
            <w:r>
              <w:rPr>
                <w:color w:val="404040"/>
              </w:rPr>
              <w:t>50%+</w:t>
            </w:r>
          </w:p>
        </w:tc>
        <w:tc>
          <w:tcPr>
            <w:tcW w:w="2100" w:type="dxa"/>
            <w:shd w:val="clear" w:color="auto" w:fill="FFFFFF"/>
            <w:tcMar>
              <w:top w:w="100" w:type="dxa"/>
              <w:left w:w="120" w:type="dxa"/>
              <w:bottom w:w="100" w:type="dxa"/>
              <w:right w:w="120" w:type="dxa"/>
            </w:tcMar>
            <w:vAlign w:val="center"/>
          </w:tcPr>
          <w:p w14:paraId="51E37340" w14:textId="77777777" w:rsidR="009B5D27" w:rsidRDefault="00000000">
            <w:pPr>
              <w:jc w:val="center"/>
            </w:pPr>
            <w:r>
              <w:rPr>
                <w:color w:val="404040"/>
              </w:rPr>
              <w:t>271</w:t>
            </w:r>
          </w:p>
        </w:tc>
        <w:tc>
          <w:tcPr>
            <w:tcW w:w="2100" w:type="dxa"/>
            <w:shd w:val="clear" w:color="auto" w:fill="FFFFFF"/>
            <w:tcMar>
              <w:top w:w="100" w:type="dxa"/>
              <w:left w:w="120" w:type="dxa"/>
              <w:bottom w:w="100" w:type="dxa"/>
              <w:right w:w="120" w:type="dxa"/>
            </w:tcMar>
            <w:vAlign w:val="center"/>
          </w:tcPr>
          <w:p w14:paraId="1DC946C8" w14:textId="77777777" w:rsidR="009B5D27" w:rsidRDefault="00000000">
            <w:pPr>
              <w:jc w:val="center"/>
            </w:pPr>
            <w:r>
              <w:rPr>
                <w:color w:val="404040"/>
              </w:rPr>
              <w:t>93</w:t>
            </w:r>
          </w:p>
        </w:tc>
        <w:tc>
          <w:tcPr>
            <w:tcW w:w="2000" w:type="dxa"/>
            <w:shd w:val="clear" w:color="auto" w:fill="FFFFFF"/>
            <w:tcMar>
              <w:top w:w="100" w:type="dxa"/>
              <w:left w:w="120" w:type="dxa"/>
              <w:bottom w:w="100" w:type="dxa"/>
              <w:right w:w="120" w:type="dxa"/>
            </w:tcMar>
            <w:vAlign w:val="center"/>
          </w:tcPr>
          <w:p w14:paraId="4DAD19AF" w14:textId="77777777" w:rsidR="009B5D27" w:rsidRDefault="00000000">
            <w:pPr>
              <w:jc w:val="center"/>
            </w:pPr>
            <w:r>
              <w:rPr>
                <w:color w:val="404040"/>
              </w:rPr>
              <w:t>34.32%</w:t>
            </w:r>
          </w:p>
        </w:tc>
      </w:tr>
    </w:tbl>
    <w:p w14:paraId="32C0B03A" w14:textId="77777777" w:rsidR="009B5D27" w:rsidRDefault="009B5D27">
      <w:pPr>
        <w:spacing w:before="200"/>
      </w:pPr>
    </w:p>
    <w:p w14:paraId="25356D0D" w14:textId="77777777" w:rsidR="009B5D27" w:rsidRDefault="00000000">
      <w:pPr>
        <w:pStyle w:val="Heading2"/>
        <w:spacing w:before="300" w:after="150"/>
      </w:pPr>
      <w:r>
        <w:rPr>
          <w:b/>
          <w:bCs/>
          <w:color w:val="C0177C"/>
          <w:sz w:val="24"/>
          <w:szCs w:val="24"/>
        </w:rPr>
        <w:t>5.3 Loan Purpose — Moderate Effect</w:t>
      </w:r>
    </w:p>
    <w:p w14:paraId="0DA5463F" w14:textId="77777777" w:rsidR="009B5D27" w:rsidRDefault="00000000">
      <w:pPr>
        <w:spacing w:after="160" w:line="276" w:lineRule="auto"/>
      </w:pPr>
      <w:r>
        <w:rPr>
          <w:color w:val="404040"/>
          <w:sz w:val="22"/>
          <w:szCs w:val="22"/>
        </w:rPr>
        <w:lastRenderedPageBreak/>
        <w:t>Discretionary purposes carry the highest default rates: Wedding (32.1%) and Home Improvement (28.6%) loans default well above the portfolio average, while Medical Expenses (20.6%) and Debt Consolidation (21.6%) default the least — likely reflecting more necessity-driven, cautious borrowing.</w:t>
      </w:r>
    </w:p>
    <w:p w14:paraId="18848D0C" w14:textId="77777777" w:rsidR="009B5D27" w:rsidRDefault="00000000">
      <w:pPr>
        <w:pStyle w:val="Heading2"/>
        <w:spacing w:before="300" w:after="150"/>
      </w:pPr>
      <w:r>
        <w:rPr>
          <w:b/>
          <w:bCs/>
          <w:color w:val="C0177C"/>
          <w:sz w:val="24"/>
          <w:szCs w:val="24"/>
        </w:rPr>
        <w:t>5.4 Loan Amount — Not Predictive</w:t>
      </w:r>
    </w:p>
    <w:p w14:paraId="3023B4A4" w14:textId="77777777" w:rsidR="009B5D27" w:rsidRDefault="00000000">
      <w:pPr>
        <w:spacing w:after="160" w:line="276" w:lineRule="auto"/>
      </w:pPr>
      <w:r>
        <w:rPr>
          <w:color w:val="404040"/>
          <w:sz w:val="22"/>
          <w:szCs w:val="22"/>
        </w:rPr>
        <w:t>Average loan amount is nearly identical between defaulted ($22,571) and non-defaulted ($22,013) loans, with similar min/max ranges in both groups. This confirms that default risk in this portfolio is driven by borrower characteristics, not loan size.</w:t>
      </w:r>
    </w:p>
    <w:p w14:paraId="64D5C2A8" w14:textId="77777777" w:rsidR="009B5D27" w:rsidRDefault="00000000">
      <w:pPr>
        <w:pStyle w:val="Heading2"/>
        <w:spacing w:before="300" w:after="150"/>
      </w:pPr>
      <w:r>
        <w:rPr>
          <w:b/>
          <w:bCs/>
          <w:color w:val="C0177C"/>
          <w:sz w:val="24"/>
          <w:szCs w:val="24"/>
        </w:rPr>
        <w:t>5.5 Employment Status — Weak Standalone Signal</w:t>
      </w:r>
    </w:p>
    <w:p w14:paraId="77998104" w14:textId="77777777" w:rsidR="009B5D27" w:rsidRDefault="00000000">
      <w:pPr>
        <w:spacing w:after="160" w:line="276" w:lineRule="auto"/>
      </w:pPr>
      <w:r>
        <w:rPr>
          <w:color w:val="404040"/>
          <w:sz w:val="22"/>
          <w:szCs w:val="22"/>
        </w:rPr>
        <w:t>Default rates range narrowly from 22.7% (Contract) to 27.7% (Part-Time) — a much smaller spread than credit score or DTI, meaning employment status alone should not drive underwriting decisions.</w:t>
      </w:r>
    </w:p>
    <w:p w14:paraId="56F77C6D" w14:textId="77777777" w:rsidR="009B5D27" w:rsidRDefault="00000000">
      <w:pPr>
        <w:pStyle w:val="Heading2"/>
        <w:spacing w:before="300" w:after="150"/>
      </w:pPr>
      <w:r>
        <w:rPr>
          <w:b/>
          <w:bCs/>
          <w:color w:val="C0177C"/>
          <w:sz w:val="24"/>
          <w:szCs w:val="24"/>
        </w:rPr>
        <w:t>5.6 Employment Tenure — Meaningful Secondary Signal</w:t>
      </w:r>
    </w:p>
    <w:p w14:paraId="6F6D32BE" w14:textId="77777777" w:rsidR="009B5D27" w:rsidRDefault="00000000">
      <w:pPr>
        <w:spacing w:after="160" w:line="276" w:lineRule="auto"/>
      </w:pPr>
      <w:r>
        <w:rPr>
          <w:color w:val="404040"/>
          <w:sz w:val="22"/>
          <w:szCs w:val="22"/>
        </w:rPr>
        <w:t>Borrowers with under 2 years of job tenure default at 34.5%, nearly 1.5x the rate of borrowers with 2+ years of tenure (22.6%). This is a strong, simple, and cheap-to-collect underwriting flag, especially when combined with low credit score or high DTI.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00"/>
      </w:tblGrid>
      <w:tr w:rsidR="009B5D27" w14:paraId="4B848AF3"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4B40985C" w14:textId="77777777" w:rsidR="009B5D27" w:rsidRDefault="00000000">
            <w:pPr>
              <w:jc w:val="center"/>
            </w:pPr>
            <w:r>
              <w:rPr>
                <w:b/>
                <w:bCs/>
                <w:color w:val="FFFFFF"/>
              </w:rPr>
              <w:t>Employment Group</w:t>
            </w:r>
          </w:p>
        </w:tc>
        <w:tc>
          <w:tcPr>
            <w:tcW w:w="2100" w:type="dxa"/>
            <w:shd w:val="clear" w:color="auto" w:fill="1F3864"/>
            <w:tcMar>
              <w:top w:w="100" w:type="dxa"/>
              <w:left w:w="120" w:type="dxa"/>
              <w:bottom w:w="100" w:type="dxa"/>
              <w:right w:w="120" w:type="dxa"/>
            </w:tcMar>
            <w:vAlign w:val="center"/>
          </w:tcPr>
          <w:p w14:paraId="0821ECA6" w14:textId="77777777" w:rsidR="009B5D27" w:rsidRDefault="00000000">
            <w:pPr>
              <w:jc w:val="center"/>
            </w:pPr>
            <w:r>
              <w:rPr>
                <w:b/>
                <w:bCs/>
                <w:color w:val="FFFFFF"/>
              </w:rPr>
              <w:t>Total Loans</w:t>
            </w:r>
          </w:p>
        </w:tc>
        <w:tc>
          <w:tcPr>
            <w:tcW w:w="2100" w:type="dxa"/>
            <w:shd w:val="clear" w:color="auto" w:fill="1F3864"/>
            <w:tcMar>
              <w:top w:w="100" w:type="dxa"/>
              <w:left w:w="120" w:type="dxa"/>
              <w:bottom w:w="100" w:type="dxa"/>
              <w:right w:w="120" w:type="dxa"/>
            </w:tcMar>
            <w:vAlign w:val="center"/>
          </w:tcPr>
          <w:p w14:paraId="18804D03" w14:textId="77777777" w:rsidR="009B5D27" w:rsidRDefault="00000000">
            <w:pPr>
              <w:jc w:val="center"/>
            </w:pPr>
            <w:r>
              <w:rPr>
                <w:b/>
                <w:bCs/>
                <w:color w:val="FFFFFF"/>
              </w:rPr>
              <w:t>Defaults</w:t>
            </w:r>
          </w:p>
        </w:tc>
        <w:tc>
          <w:tcPr>
            <w:tcW w:w="2000" w:type="dxa"/>
            <w:shd w:val="clear" w:color="auto" w:fill="1F3864"/>
            <w:tcMar>
              <w:top w:w="100" w:type="dxa"/>
              <w:left w:w="120" w:type="dxa"/>
              <w:bottom w:w="100" w:type="dxa"/>
              <w:right w:w="120" w:type="dxa"/>
            </w:tcMar>
            <w:vAlign w:val="center"/>
          </w:tcPr>
          <w:p w14:paraId="0D17221E" w14:textId="77777777" w:rsidR="009B5D27" w:rsidRDefault="00000000">
            <w:pPr>
              <w:jc w:val="center"/>
            </w:pPr>
            <w:r>
              <w:rPr>
                <w:b/>
                <w:bCs/>
                <w:color w:val="FFFFFF"/>
              </w:rPr>
              <w:t>Default Rate</w:t>
            </w:r>
          </w:p>
        </w:tc>
      </w:tr>
      <w:tr w:rsidR="009B5D27" w14:paraId="07D172A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6D37301" w14:textId="77777777" w:rsidR="009B5D27" w:rsidRDefault="00000000">
            <w:r>
              <w:rPr>
                <w:color w:val="404040"/>
              </w:rPr>
              <w:t>&lt;2 years</w:t>
            </w:r>
          </w:p>
        </w:tc>
        <w:tc>
          <w:tcPr>
            <w:tcW w:w="2100" w:type="dxa"/>
            <w:shd w:val="clear" w:color="auto" w:fill="FFFFFF"/>
            <w:tcMar>
              <w:top w:w="100" w:type="dxa"/>
              <w:left w:w="120" w:type="dxa"/>
              <w:bottom w:w="100" w:type="dxa"/>
              <w:right w:w="120" w:type="dxa"/>
            </w:tcMar>
            <w:vAlign w:val="center"/>
          </w:tcPr>
          <w:p w14:paraId="68EFC853" w14:textId="77777777" w:rsidR="009B5D27" w:rsidRDefault="00000000">
            <w:pPr>
              <w:jc w:val="center"/>
            </w:pPr>
            <w:r>
              <w:rPr>
                <w:color w:val="404040"/>
              </w:rPr>
              <w:t>84</w:t>
            </w:r>
          </w:p>
        </w:tc>
        <w:tc>
          <w:tcPr>
            <w:tcW w:w="2100" w:type="dxa"/>
            <w:shd w:val="clear" w:color="auto" w:fill="FFFFFF"/>
            <w:tcMar>
              <w:top w:w="100" w:type="dxa"/>
              <w:left w:w="120" w:type="dxa"/>
              <w:bottom w:w="100" w:type="dxa"/>
              <w:right w:w="120" w:type="dxa"/>
            </w:tcMar>
            <w:vAlign w:val="center"/>
          </w:tcPr>
          <w:p w14:paraId="51E5059F" w14:textId="77777777" w:rsidR="009B5D27" w:rsidRDefault="00000000">
            <w:pPr>
              <w:jc w:val="center"/>
            </w:pPr>
            <w:r>
              <w:rPr>
                <w:color w:val="404040"/>
              </w:rPr>
              <w:t>29</w:t>
            </w:r>
          </w:p>
        </w:tc>
        <w:tc>
          <w:tcPr>
            <w:tcW w:w="2000" w:type="dxa"/>
            <w:shd w:val="clear" w:color="auto" w:fill="FFFFFF"/>
            <w:tcMar>
              <w:top w:w="100" w:type="dxa"/>
              <w:left w:w="120" w:type="dxa"/>
              <w:bottom w:w="100" w:type="dxa"/>
              <w:right w:w="120" w:type="dxa"/>
            </w:tcMar>
            <w:vAlign w:val="center"/>
          </w:tcPr>
          <w:p w14:paraId="5A158D10" w14:textId="77777777" w:rsidR="009B5D27" w:rsidRDefault="00000000">
            <w:pPr>
              <w:jc w:val="center"/>
            </w:pPr>
            <w:r>
              <w:rPr>
                <w:color w:val="404040"/>
              </w:rPr>
              <w:t>34.52%</w:t>
            </w:r>
          </w:p>
        </w:tc>
      </w:tr>
      <w:tr w:rsidR="009B5D27" w14:paraId="37706318"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9287AB1" w14:textId="77777777" w:rsidR="009B5D27" w:rsidRDefault="00000000">
            <w:r>
              <w:rPr>
                <w:color w:val="404040"/>
              </w:rPr>
              <w:t>2+ years</w:t>
            </w:r>
          </w:p>
        </w:tc>
        <w:tc>
          <w:tcPr>
            <w:tcW w:w="2100" w:type="dxa"/>
            <w:shd w:val="clear" w:color="auto" w:fill="F2F2F2"/>
            <w:tcMar>
              <w:top w:w="100" w:type="dxa"/>
              <w:left w:w="120" w:type="dxa"/>
              <w:bottom w:w="100" w:type="dxa"/>
              <w:right w:w="120" w:type="dxa"/>
            </w:tcMar>
            <w:vAlign w:val="center"/>
          </w:tcPr>
          <w:p w14:paraId="70F77BBD" w14:textId="77777777" w:rsidR="009B5D27" w:rsidRDefault="00000000">
            <w:pPr>
              <w:jc w:val="center"/>
            </w:pPr>
            <w:r>
              <w:rPr>
                <w:color w:val="404040"/>
              </w:rPr>
              <w:t>517</w:t>
            </w:r>
          </w:p>
        </w:tc>
        <w:tc>
          <w:tcPr>
            <w:tcW w:w="2100" w:type="dxa"/>
            <w:shd w:val="clear" w:color="auto" w:fill="F2F2F2"/>
            <w:tcMar>
              <w:top w:w="100" w:type="dxa"/>
              <w:left w:w="120" w:type="dxa"/>
              <w:bottom w:w="100" w:type="dxa"/>
              <w:right w:w="120" w:type="dxa"/>
            </w:tcMar>
            <w:vAlign w:val="center"/>
          </w:tcPr>
          <w:p w14:paraId="6152FEA4" w14:textId="77777777" w:rsidR="009B5D27" w:rsidRDefault="00000000">
            <w:pPr>
              <w:jc w:val="center"/>
            </w:pPr>
            <w:r>
              <w:rPr>
                <w:color w:val="404040"/>
              </w:rPr>
              <w:t>117</w:t>
            </w:r>
          </w:p>
        </w:tc>
        <w:tc>
          <w:tcPr>
            <w:tcW w:w="2000" w:type="dxa"/>
            <w:shd w:val="clear" w:color="auto" w:fill="F2F2F2"/>
            <w:tcMar>
              <w:top w:w="100" w:type="dxa"/>
              <w:left w:w="120" w:type="dxa"/>
              <w:bottom w:w="100" w:type="dxa"/>
              <w:right w:w="120" w:type="dxa"/>
            </w:tcMar>
            <w:vAlign w:val="center"/>
          </w:tcPr>
          <w:p w14:paraId="47FFB285" w14:textId="77777777" w:rsidR="009B5D27" w:rsidRDefault="00000000">
            <w:pPr>
              <w:jc w:val="center"/>
            </w:pPr>
            <w:r>
              <w:rPr>
                <w:color w:val="404040"/>
              </w:rPr>
              <w:t>22.63%</w:t>
            </w:r>
          </w:p>
        </w:tc>
      </w:tr>
    </w:tbl>
    <w:p w14:paraId="6D967432" w14:textId="77777777" w:rsidR="009B5D27" w:rsidRDefault="009B5D27">
      <w:pPr>
        <w:spacing w:before="200"/>
      </w:pPr>
    </w:p>
    <w:p w14:paraId="3FF49242" w14:textId="77777777" w:rsidR="009B5D27" w:rsidRDefault="00000000">
      <w:pPr>
        <w:pStyle w:val="Heading1"/>
        <w:pBdr>
          <w:bottom w:val="single" w:sz="8" w:space="4" w:color="1F3864"/>
        </w:pBdr>
        <w:spacing w:before="400" w:after="200"/>
      </w:pPr>
      <w:r>
        <w:rPr>
          <w:b/>
          <w:bCs/>
          <w:color w:val="1F3864"/>
          <w:sz w:val="30"/>
          <w:szCs w:val="30"/>
        </w:rPr>
        <w:t>6. Dashboard Overview</w:t>
      </w:r>
    </w:p>
    <w:p w14:paraId="249BBDA1" w14:textId="77777777" w:rsidR="009B5D27" w:rsidRDefault="00000000">
      <w:pPr>
        <w:spacing w:after="160" w:line="276" w:lineRule="auto"/>
      </w:pPr>
      <w:proofErr w:type="spellStart"/>
      <w:r>
        <w:rPr>
          <w:color w:val="404040"/>
          <w:sz w:val="22"/>
          <w:szCs w:val="22"/>
        </w:rPr>
        <w:t>Loan_Default_Risk_Analysis_Dashboard.pbix</w:t>
      </w:r>
      <w:proofErr w:type="spellEnd"/>
      <w:r>
        <w:rPr>
          <w:color w:val="404040"/>
          <w:sz w:val="22"/>
          <w:szCs w:val="22"/>
        </w:rPr>
        <w:t xml:space="preserve"> is a single-page interactive Power BI report combining KPI cards (Total Loans, Total Default, Default Rate, </w:t>
      </w:r>
      <w:proofErr w:type="spellStart"/>
      <w:r>
        <w:rPr>
          <w:color w:val="404040"/>
          <w:sz w:val="22"/>
          <w:szCs w:val="22"/>
        </w:rPr>
        <w:t>Avg</w:t>
      </w:r>
      <w:proofErr w:type="spellEnd"/>
      <w:r>
        <w:rPr>
          <w:color w:val="404040"/>
          <w:sz w:val="22"/>
          <w:szCs w:val="22"/>
        </w:rPr>
        <w:t xml:space="preserve"> Credit Score, </w:t>
      </w:r>
      <w:proofErr w:type="spellStart"/>
      <w:r>
        <w:rPr>
          <w:color w:val="404040"/>
          <w:sz w:val="22"/>
          <w:szCs w:val="22"/>
        </w:rPr>
        <w:t>Avg</w:t>
      </w:r>
      <w:proofErr w:type="spellEnd"/>
      <w:r>
        <w:rPr>
          <w:color w:val="404040"/>
          <w:sz w:val="22"/>
          <w:szCs w:val="22"/>
        </w:rPr>
        <w:t xml:space="preserve"> Loan Amount, </w:t>
      </w:r>
      <w:proofErr w:type="spellStart"/>
      <w:r>
        <w:rPr>
          <w:color w:val="404040"/>
          <w:sz w:val="22"/>
          <w:szCs w:val="22"/>
        </w:rPr>
        <w:t>Avg</w:t>
      </w:r>
      <w:proofErr w:type="spellEnd"/>
      <w:r>
        <w:rPr>
          <w:color w:val="404040"/>
          <w:sz w:val="22"/>
          <w:szCs w:val="22"/>
        </w:rPr>
        <w:t xml:space="preserve"> Annual Income), bar charts for default rate by loan purpose, DTI ratio, and employment status, donut charts for default rate by credit score and loan amount, a pie chart for default rate by employment tenure, and a dedicated Business Insight panel summarizing the key takeaways for stakeholders.</w:t>
      </w:r>
    </w:p>
    <w:p w14:paraId="05C68031" w14:textId="77777777" w:rsidR="009B5D27" w:rsidRDefault="00000000">
      <w:pPr>
        <w:spacing w:before="200" w:after="200"/>
        <w:jc w:val="center"/>
      </w:pPr>
      <w:r>
        <w:rPr>
          <w:noProof/>
        </w:rPr>
        <w:lastRenderedPageBreak/>
        <w:drawing>
          <wp:inline distT="0" distB="0" distL="0" distR="0" wp14:anchorId="5C8AC12E" wp14:editId="5221FBD8">
            <wp:extent cx="5524500"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09925"/>
                    </a:xfrm>
                    <a:prstGeom prst="rect">
                      <a:avLst/>
                    </a:prstGeom>
                  </pic:spPr>
                </pic:pic>
              </a:graphicData>
            </a:graphic>
          </wp:inline>
        </w:drawing>
      </w:r>
    </w:p>
    <w:p w14:paraId="2B307BD8" w14:textId="77777777" w:rsidR="009B5D27" w:rsidRDefault="00000000">
      <w:pPr>
        <w:spacing w:after="200"/>
        <w:jc w:val="center"/>
      </w:pPr>
      <w:r>
        <w:rPr>
          <w:i/>
          <w:iCs/>
          <w:color w:val="808080"/>
          <w:sz w:val="18"/>
          <w:szCs w:val="18"/>
        </w:rPr>
        <w:t>Figure 1: Loan Default Risk Analysis Dashboard (Power BI)</w:t>
      </w:r>
    </w:p>
    <w:p w14:paraId="7E0BCF1A" w14:textId="77777777" w:rsidR="009B5D27" w:rsidRDefault="00000000">
      <w:pPr>
        <w:pStyle w:val="Heading1"/>
        <w:pBdr>
          <w:bottom w:val="single" w:sz="8" w:space="4" w:color="1F3864"/>
        </w:pBdr>
        <w:spacing w:before="400" w:after="200"/>
      </w:pPr>
      <w:r>
        <w:rPr>
          <w:b/>
          <w:bCs/>
          <w:color w:val="1F3864"/>
          <w:sz w:val="30"/>
          <w:szCs w:val="30"/>
        </w:rPr>
        <w:t>7. Recommendations</w:t>
      </w:r>
    </w:p>
    <w:p w14:paraId="26151D25" w14:textId="77777777" w:rsidR="009B5D27" w:rsidRDefault="00000000">
      <w:pPr>
        <w:pStyle w:val="ListParagraph"/>
        <w:numPr>
          <w:ilvl w:val="0"/>
          <w:numId w:val="2"/>
        </w:numPr>
        <w:spacing w:after="100"/>
      </w:pPr>
      <w:r>
        <w:rPr>
          <w:color w:val="404040"/>
          <w:sz w:val="22"/>
          <w:szCs w:val="22"/>
        </w:rPr>
        <w:t>Anchor underwriting decisions on credit score and DTI ratio — they carry by far the most predictive power in this dataset.</w:t>
      </w:r>
    </w:p>
    <w:p w14:paraId="130BE24C" w14:textId="77777777" w:rsidR="009B5D27" w:rsidRDefault="00000000">
      <w:pPr>
        <w:pStyle w:val="ListParagraph"/>
        <w:numPr>
          <w:ilvl w:val="0"/>
          <w:numId w:val="2"/>
        </w:numPr>
        <w:spacing w:after="100"/>
      </w:pPr>
      <w:r>
        <w:rPr>
          <w:color w:val="404040"/>
          <w:sz w:val="22"/>
          <w:szCs w:val="22"/>
        </w:rPr>
        <w:t>Apply a DTI cap (e.g., decline or require compensating factors above 40–45%) to materially reduce the portfolio's overall default rate.</w:t>
      </w:r>
    </w:p>
    <w:p w14:paraId="49F52685" w14:textId="77777777" w:rsidR="009B5D27" w:rsidRDefault="00000000">
      <w:pPr>
        <w:pStyle w:val="ListParagraph"/>
        <w:numPr>
          <w:ilvl w:val="0"/>
          <w:numId w:val="2"/>
        </w:numPr>
        <w:spacing w:after="100"/>
      </w:pPr>
      <w:r>
        <w:rPr>
          <w:color w:val="404040"/>
          <w:sz w:val="22"/>
          <w:szCs w:val="22"/>
        </w:rPr>
        <w:t>Flag borrowers with under 2 years of employment tenure for additional review, especially when paired with low credit score or high DTI.</w:t>
      </w:r>
    </w:p>
    <w:p w14:paraId="5CD39CE6" w14:textId="77777777" w:rsidR="009B5D27" w:rsidRDefault="00000000">
      <w:pPr>
        <w:pStyle w:val="ListParagraph"/>
        <w:numPr>
          <w:ilvl w:val="0"/>
          <w:numId w:val="2"/>
        </w:numPr>
        <w:spacing w:after="100"/>
      </w:pPr>
      <w:r>
        <w:rPr>
          <w:color w:val="404040"/>
          <w:sz w:val="22"/>
          <w:szCs w:val="22"/>
        </w:rPr>
        <w:t>Apply moderate additional scrutiny to wedding and home-improvement loan purposes, which default above the portfolio average.</w:t>
      </w:r>
    </w:p>
    <w:p w14:paraId="3D370290" w14:textId="77777777" w:rsidR="009B5D27" w:rsidRDefault="00000000">
      <w:pPr>
        <w:pStyle w:val="ListParagraph"/>
        <w:numPr>
          <w:ilvl w:val="0"/>
          <w:numId w:val="2"/>
        </w:numPr>
        <w:spacing w:after="100"/>
      </w:pPr>
      <w:r>
        <w:rPr>
          <w:color w:val="404040"/>
          <w:sz w:val="22"/>
          <w:szCs w:val="22"/>
        </w:rPr>
        <w:t>Avoid relying on loan amount or employment status alone as risk-screening variables — treat them as secondary, supporting factors only.</w:t>
      </w:r>
    </w:p>
    <w:p w14:paraId="026A3472" w14:textId="77777777" w:rsidR="009B5D27" w:rsidRDefault="00000000">
      <w:pPr>
        <w:pStyle w:val="ListParagraph"/>
        <w:numPr>
          <w:ilvl w:val="0"/>
          <w:numId w:val="2"/>
        </w:numPr>
        <w:spacing w:after="100"/>
      </w:pPr>
      <w:r>
        <w:rPr>
          <w:color w:val="404040"/>
          <w:sz w:val="22"/>
          <w:szCs w:val="22"/>
        </w:rPr>
        <w:t>Consider a compounding-risk scorecard that combines credit score, DTI, and employment tenure into a single weighted risk tier for faster underwriting decisions.</w:t>
      </w:r>
    </w:p>
    <w:p w14:paraId="3F6A9CA1" w14:textId="77777777" w:rsidR="009B5D27" w:rsidRDefault="00000000">
      <w:pPr>
        <w:pStyle w:val="Heading1"/>
        <w:pBdr>
          <w:bottom w:val="single" w:sz="8" w:space="4" w:color="1F3864"/>
        </w:pBdr>
        <w:spacing w:before="400" w:after="200"/>
      </w:pPr>
      <w:r>
        <w:rPr>
          <w:b/>
          <w:bCs/>
          <w:color w:val="1F3864"/>
          <w:sz w:val="30"/>
          <w:szCs w:val="30"/>
        </w:rPr>
        <w:t>8. Conclusion</w:t>
      </w:r>
    </w:p>
    <w:p w14:paraId="7807B490" w14:textId="77777777" w:rsidR="009B5D27" w:rsidRDefault="00000000">
      <w:pPr>
        <w:spacing w:after="160" w:line="276" w:lineRule="auto"/>
      </w:pPr>
      <w:r>
        <w:rPr>
          <w:color w:val="404040"/>
          <w:sz w:val="22"/>
          <w:szCs w:val="22"/>
        </w:rPr>
        <w:t>This analysis confirms that loan default risk in this portfolio is driven primarily by borrower creditworthiness (credit score) and debt burden (DTI ratio), with employment tenure as a meaningful secondary signal. Loan purpose has a moderate influence, while loan amount and employment status are comparatively weak predictors. The accompanying Power BI dashboard gives risk and underwriting teams a self-service way to monitor these drivers and prioritize underwriting rule changes where they will have the greatest impact on portfolio loss rates.</w:t>
      </w:r>
    </w:p>
    <w:p w14:paraId="5AA6F49E" w14:textId="77777777" w:rsidR="009B5D27" w:rsidRDefault="00000000">
      <w:pPr>
        <w:pStyle w:val="Heading1"/>
        <w:pBdr>
          <w:bottom w:val="single" w:sz="8" w:space="4" w:color="1F3864"/>
        </w:pBdr>
        <w:spacing w:before="400" w:after="200"/>
      </w:pPr>
      <w:r>
        <w:rPr>
          <w:b/>
          <w:bCs/>
          <w:color w:val="1F3864"/>
          <w:sz w:val="30"/>
          <w:szCs w:val="30"/>
        </w:rPr>
        <w:t>9. Appendix — Tools &amp;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B5D27" w14:paraId="55295586" w14:textId="77777777">
        <w:tblPrEx>
          <w:tblCellMar>
            <w:top w:w="0" w:type="dxa"/>
            <w:bottom w:w="0" w:type="dxa"/>
          </w:tblCellMar>
        </w:tblPrEx>
        <w:trPr>
          <w:tblHeader/>
        </w:trPr>
        <w:tc>
          <w:tcPr>
            <w:tcW w:w="4000" w:type="dxa"/>
            <w:shd w:val="clear" w:color="auto" w:fill="1F3864"/>
            <w:tcMar>
              <w:top w:w="100" w:type="dxa"/>
              <w:left w:w="120" w:type="dxa"/>
              <w:bottom w:w="100" w:type="dxa"/>
              <w:right w:w="120" w:type="dxa"/>
            </w:tcMar>
            <w:vAlign w:val="center"/>
          </w:tcPr>
          <w:p w14:paraId="5203386D" w14:textId="77777777" w:rsidR="009B5D27" w:rsidRDefault="00000000">
            <w:pPr>
              <w:jc w:val="center"/>
            </w:pPr>
            <w:r>
              <w:rPr>
                <w:b/>
                <w:bCs/>
                <w:color w:val="FFFFFF"/>
              </w:rPr>
              <w:lastRenderedPageBreak/>
              <w:t>Item</w:t>
            </w:r>
          </w:p>
        </w:tc>
        <w:tc>
          <w:tcPr>
            <w:tcW w:w="5000" w:type="dxa"/>
            <w:shd w:val="clear" w:color="auto" w:fill="1F3864"/>
            <w:tcMar>
              <w:top w:w="100" w:type="dxa"/>
              <w:left w:w="120" w:type="dxa"/>
              <w:bottom w:w="100" w:type="dxa"/>
              <w:right w:w="120" w:type="dxa"/>
            </w:tcMar>
            <w:vAlign w:val="center"/>
          </w:tcPr>
          <w:p w14:paraId="60987E12" w14:textId="77777777" w:rsidR="009B5D27" w:rsidRDefault="00000000">
            <w:pPr>
              <w:jc w:val="center"/>
            </w:pPr>
            <w:r>
              <w:rPr>
                <w:b/>
                <w:bCs/>
                <w:color w:val="FFFFFF"/>
              </w:rPr>
              <w:t>Description</w:t>
            </w:r>
          </w:p>
        </w:tc>
      </w:tr>
      <w:tr w:rsidR="009B5D27" w14:paraId="44CFC803"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2DC2DF7B" w14:textId="77777777" w:rsidR="009B5D27" w:rsidRDefault="00000000">
            <w:r>
              <w:rPr>
                <w:color w:val="404040"/>
              </w:rPr>
              <w:t>loan_applications.csv</w:t>
            </w:r>
          </w:p>
        </w:tc>
        <w:tc>
          <w:tcPr>
            <w:tcW w:w="5000" w:type="dxa"/>
            <w:shd w:val="clear" w:color="auto" w:fill="FFFFFF"/>
            <w:tcMar>
              <w:top w:w="100" w:type="dxa"/>
              <w:left w:w="120" w:type="dxa"/>
              <w:bottom w:w="100" w:type="dxa"/>
              <w:right w:w="120" w:type="dxa"/>
            </w:tcMar>
            <w:vAlign w:val="center"/>
          </w:tcPr>
          <w:p w14:paraId="28043772" w14:textId="77777777" w:rsidR="009B5D27" w:rsidRDefault="00000000">
            <w:pPr>
              <w:jc w:val="center"/>
            </w:pPr>
            <w:r>
              <w:rPr>
                <w:color w:val="404040"/>
              </w:rPr>
              <w:t>Loan-level dataset (601 rows)</w:t>
            </w:r>
          </w:p>
        </w:tc>
      </w:tr>
      <w:tr w:rsidR="009B5D27" w14:paraId="59976A34"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7238EC62" w14:textId="77777777" w:rsidR="009B5D27" w:rsidRDefault="00000000">
            <w:r>
              <w:rPr>
                <w:color w:val="404040"/>
              </w:rPr>
              <w:t>borrower_profiles.csv</w:t>
            </w:r>
          </w:p>
        </w:tc>
        <w:tc>
          <w:tcPr>
            <w:tcW w:w="5000" w:type="dxa"/>
            <w:shd w:val="clear" w:color="auto" w:fill="F2F2F2"/>
            <w:tcMar>
              <w:top w:w="100" w:type="dxa"/>
              <w:left w:w="120" w:type="dxa"/>
              <w:bottom w:w="100" w:type="dxa"/>
              <w:right w:w="120" w:type="dxa"/>
            </w:tcMar>
            <w:vAlign w:val="center"/>
          </w:tcPr>
          <w:p w14:paraId="0CD16EE1" w14:textId="77777777" w:rsidR="009B5D27" w:rsidRDefault="00000000">
            <w:pPr>
              <w:jc w:val="center"/>
            </w:pPr>
            <w:r>
              <w:rPr>
                <w:color w:val="404040"/>
              </w:rPr>
              <w:t>Borrower-level dataset (500 rows)</w:t>
            </w:r>
          </w:p>
        </w:tc>
      </w:tr>
      <w:tr w:rsidR="009B5D27" w14:paraId="1A2FB202"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20D23D23" w14:textId="77777777" w:rsidR="009B5D27" w:rsidRDefault="00000000">
            <w:proofErr w:type="spellStart"/>
            <w:r>
              <w:rPr>
                <w:color w:val="404040"/>
              </w:rPr>
              <w:t>Loan_Default_Risk_Analysis_Dashboard.pbix</w:t>
            </w:r>
            <w:proofErr w:type="spellEnd"/>
          </w:p>
        </w:tc>
        <w:tc>
          <w:tcPr>
            <w:tcW w:w="5000" w:type="dxa"/>
            <w:shd w:val="clear" w:color="auto" w:fill="FFFFFF"/>
            <w:tcMar>
              <w:top w:w="100" w:type="dxa"/>
              <w:left w:w="120" w:type="dxa"/>
              <w:bottom w:w="100" w:type="dxa"/>
              <w:right w:w="120" w:type="dxa"/>
            </w:tcMar>
            <w:vAlign w:val="center"/>
          </w:tcPr>
          <w:p w14:paraId="3C801EF0" w14:textId="77777777" w:rsidR="009B5D27" w:rsidRDefault="00000000">
            <w:pPr>
              <w:jc w:val="center"/>
            </w:pPr>
            <w:r>
              <w:rPr>
                <w:color w:val="404040"/>
              </w:rPr>
              <w:t>Power BI dashboard</w:t>
            </w:r>
          </w:p>
        </w:tc>
      </w:tr>
      <w:tr w:rsidR="009B5D27" w14:paraId="71E54926"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32CCC1E1" w14:textId="77777777" w:rsidR="009B5D27" w:rsidRDefault="00000000">
            <w:r>
              <w:rPr>
                <w:color w:val="404040"/>
              </w:rPr>
              <w:t>SQL queries</w:t>
            </w:r>
          </w:p>
        </w:tc>
        <w:tc>
          <w:tcPr>
            <w:tcW w:w="5000" w:type="dxa"/>
            <w:shd w:val="clear" w:color="auto" w:fill="F2F2F2"/>
            <w:tcMar>
              <w:top w:w="100" w:type="dxa"/>
              <w:left w:w="120" w:type="dxa"/>
              <w:bottom w:w="100" w:type="dxa"/>
              <w:right w:w="120" w:type="dxa"/>
            </w:tcMar>
            <w:vAlign w:val="center"/>
          </w:tcPr>
          <w:p w14:paraId="7436B5B1" w14:textId="77777777" w:rsidR="009B5D27" w:rsidRDefault="00000000">
            <w:pPr>
              <w:jc w:val="center"/>
            </w:pPr>
            <w:r>
              <w:rPr>
                <w:color w:val="404040"/>
              </w:rPr>
              <w:t>Segment-level default rate analysis (credit score, DTI, purpose, employment)</w:t>
            </w:r>
          </w:p>
        </w:tc>
      </w:tr>
      <w:tr w:rsidR="009B5D27" w14:paraId="61AF9757"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04342EC5" w14:textId="77777777" w:rsidR="009B5D27" w:rsidRDefault="00000000">
            <w:r>
              <w:rPr>
                <w:color w:val="404040"/>
              </w:rPr>
              <w:t>Tools used</w:t>
            </w:r>
          </w:p>
        </w:tc>
        <w:tc>
          <w:tcPr>
            <w:tcW w:w="5000" w:type="dxa"/>
            <w:shd w:val="clear" w:color="auto" w:fill="FFFFFF"/>
            <w:tcMar>
              <w:top w:w="100" w:type="dxa"/>
              <w:left w:w="120" w:type="dxa"/>
              <w:bottom w:w="100" w:type="dxa"/>
              <w:right w:w="120" w:type="dxa"/>
            </w:tcMar>
            <w:vAlign w:val="center"/>
          </w:tcPr>
          <w:p w14:paraId="60F2E7B3" w14:textId="77777777" w:rsidR="009B5D27" w:rsidRDefault="00000000">
            <w:pPr>
              <w:jc w:val="center"/>
            </w:pPr>
            <w:r>
              <w:rPr>
                <w:color w:val="404040"/>
              </w:rPr>
              <w:t>SQL, Power BI Desktop, Power Query, DAX</w:t>
            </w:r>
          </w:p>
        </w:tc>
      </w:tr>
      <w:tr w:rsidR="009B5D27" w14:paraId="6A247184"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284DD23A" w14:textId="77777777" w:rsidR="009B5D27" w:rsidRDefault="00000000">
            <w:r>
              <w:rPr>
                <w:color w:val="404040"/>
              </w:rPr>
              <w:t>Repository</w:t>
            </w:r>
          </w:p>
        </w:tc>
        <w:tc>
          <w:tcPr>
            <w:tcW w:w="5000" w:type="dxa"/>
            <w:shd w:val="clear" w:color="auto" w:fill="F2F2F2"/>
            <w:tcMar>
              <w:top w:w="100" w:type="dxa"/>
              <w:left w:w="120" w:type="dxa"/>
              <w:bottom w:w="100" w:type="dxa"/>
              <w:right w:w="120" w:type="dxa"/>
            </w:tcMar>
            <w:vAlign w:val="center"/>
          </w:tcPr>
          <w:p w14:paraId="4C86CAF2" w14:textId="77777777" w:rsidR="009B5D27" w:rsidRDefault="00000000">
            <w:pPr>
              <w:jc w:val="center"/>
            </w:pPr>
            <w:r>
              <w:rPr>
                <w:color w:val="404040"/>
              </w:rPr>
              <w:t>github.com/</w:t>
            </w:r>
            <w:proofErr w:type="spellStart"/>
            <w:r>
              <w:rPr>
                <w:color w:val="404040"/>
              </w:rPr>
              <w:t>shamicse</w:t>
            </w:r>
            <w:proofErr w:type="spellEnd"/>
            <w:r>
              <w:rPr>
                <w:color w:val="404040"/>
              </w:rPr>
              <w:t>/Loan-Default-Risk-Analysis-dashboard</w:t>
            </w:r>
          </w:p>
        </w:tc>
      </w:tr>
    </w:tbl>
    <w:p w14:paraId="1323B95C" w14:textId="77777777" w:rsidR="000D44EF" w:rsidRDefault="000D44EF"/>
    <w:sectPr w:rsidR="000D44EF">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A427" w14:textId="77777777" w:rsidR="000D44EF" w:rsidRDefault="000D44EF">
      <w:r>
        <w:separator/>
      </w:r>
    </w:p>
  </w:endnote>
  <w:endnote w:type="continuationSeparator" w:id="0">
    <w:p w14:paraId="6AFDAFBE" w14:textId="77777777" w:rsidR="000D44EF" w:rsidRDefault="000D4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B03F" w14:textId="77777777" w:rsidR="009B5D2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07B2A">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07B2A">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4BE9" w14:textId="77777777" w:rsidR="000D44EF" w:rsidRDefault="000D44EF">
      <w:r>
        <w:separator/>
      </w:r>
    </w:p>
  </w:footnote>
  <w:footnote w:type="continuationSeparator" w:id="0">
    <w:p w14:paraId="493C44C2" w14:textId="77777777" w:rsidR="000D44EF" w:rsidRDefault="000D4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4E99" w14:textId="77777777" w:rsidR="009B5D27" w:rsidRDefault="00000000">
    <w:pPr>
      <w:pBdr>
        <w:bottom w:val="single" w:sz="4" w:space="4" w:color="D9D9D9"/>
      </w:pBdr>
      <w:jc w:val="right"/>
    </w:pPr>
    <w:r>
      <w:rPr>
        <w:i/>
        <w:iCs/>
        <w:color w:val="808080"/>
        <w:sz w:val="16"/>
        <w:szCs w:val="16"/>
      </w:rPr>
      <w:t>Loan Default Risk Analysis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0A8C"/>
    <w:multiLevelType w:val="hybridMultilevel"/>
    <w:tmpl w:val="EA4ACCDA"/>
    <w:lvl w:ilvl="0" w:tplc="7B82AE10">
      <w:start w:val="1"/>
      <w:numFmt w:val="bullet"/>
      <w:lvlText w:val="●"/>
      <w:lvlJc w:val="left"/>
      <w:pPr>
        <w:ind w:left="720" w:hanging="360"/>
      </w:pPr>
    </w:lvl>
    <w:lvl w:ilvl="1" w:tplc="513E380C">
      <w:start w:val="1"/>
      <w:numFmt w:val="bullet"/>
      <w:lvlText w:val="○"/>
      <w:lvlJc w:val="left"/>
      <w:pPr>
        <w:ind w:left="1440" w:hanging="360"/>
      </w:pPr>
    </w:lvl>
    <w:lvl w:ilvl="2" w:tplc="8DA0C988">
      <w:start w:val="1"/>
      <w:numFmt w:val="bullet"/>
      <w:lvlText w:val="■"/>
      <w:lvlJc w:val="left"/>
      <w:pPr>
        <w:ind w:left="2160" w:hanging="360"/>
      </w:pPr>
    </w:lvl>
    <w:lvl w:ilvl="3" w:tplc="1B528B8E">
      <w:start w:val="1"/>
      <w:numFmt w:val="bullet"/>
      <w:lvlText w:val="●"/>
      <w:lvlJc w:val="left"/>
      <w:pPr>
        <w:ind w:left="2880" w:hanging="360"/>
      </w:pPr>
    </w:lvl>
    <w:lvl w:ilvl="4" w:tplc="677C8176">
      <w:start w:val="1"/>
      <w:numFmt w:val="bullet"/>
      <w:lvlText w:val="○"/>
      <w:lvlJc w:val="left"/>
      <w:pPr>
        <w:ind w:left="3600" w:hanging="360"/>
      </w:pPr>
    </w:lvl>
    <w:lvl w:ilvl="5" w:tplc="005058CA">
      <w:start w:val="1"/>
      <w:numFmt w:val="bullet"/>
      <w:lvlText w:val="■"/>
      <w:lvlJc w:val="left"/>
      <w:pPr>
        <w:ind w:left="4320" w:hanging="360"/>
      </w:pPr>
    </w:lvl>
    <w:lvl w:ilvl="6" w:tplc="D908B5AE">
      <w:start w:val="1"/>
      <w:numFmt w:val="bullet"/>
      <w:lvlText w:val="●"/>
      <w:lvlJc w:val="left"/>
      <w:pPr>
        <w:ind w:left="5040" w:hanging="360"/>
      </w:pPr>
    </w:lvl>
    <w:lvl w:ilvl="7" w:tplc="696CDB0A">
      <w:start w:val="1"/>
      <w:numFmt w:val="bullet"/>
      <w:lvlText w:val="●"/>
      <w:lvlJc w:val="left"/>
      <w:pPr>
        <w:ind w:left="5760" w:hanging="360"/>
      </w:pPr>
    </w:lvl>
    <w:lvl w:ilvl="8" w:tplc="93C6B696">
      <w:start w:val="1"/>
      <w:numFmt w:val="bullet"/>
      <w:lvlText w:val="●"/>
      <w:lvlJc w:val="left"/>
      <w:pPr>
        <w:ind w:left="6480" w:hanging="360"/>
      </w:pPr>
    </w:lvl>
  </w:abstractNum>
  <w:abstractNum w:abstractNumId="1" w15:restartNumberingAfterBreak="0">
    <w:nsid w:val="30197A3D"/>
    <w:multiLevelType w:val="hybridMultilevel"/>
    <w:tmpl w:val="AA0AD23C"/>
    <w:lvl w:ilvl="0" w:tplc="C2E2E4FA">
      <w:start w:val="1"/>
      <w:numFmt w:val="bullet"/>
      <w:lvlText w:val="•"/>
      <w:lvlJc w:val="left"/>
      <w:pPr>
        <w:ind w:left="450" w:hanging="270"/>
      </w:pPr>
    </w:lvl>
    <w:lvl w:ilvl="1" w:tplc="06F42BCE">
      <w:start w:val="1"/>
      <w:numFmt w:val="bullet"/>
      <w:lvlText w:val="◦"/>
      <w:lvlJc w:val="left"/>
      <w:pPr>
        <w:ind w:left="900" w:hanging="270"/>
      </w:pPr>
    </w:lvl>
    <w:lvl w:ilvl="2" w:tplc="DFEE47EC">
      <w:numFmt w:val="decimal"/>
      <w:lvlText w:val=""/>
      <w:lvlJc w:val="left"/>
    </w:lvl>
    <w:lvl w:ilvl="3" w:tplc="7D9082E4">
      <w:numFmt w:val="decimal"/>
      <w:lvlText w:val=""/>
      <w:lvlJc w:val="left"/>
    </w:lvl>
    <w:lvl w:ilvl="4" w:tplc="F9B2BBEC">
      <w:numFmt w:val="decimal"/>
      <w:lvlText w:val=""/>
      <w:lvlJc w:val="left"/>
    </w:lvl>
    <w:lvl w:ilvl="5" w:tplc="F8B4D3A4">
      <w:numFmt w:val="decimal"/>
      <w:lvlText w:val=""/>
      <w:lvlJc w:val="left"/>
    </w:lvl>
    <w:lvl w:ilvl="6" w:tplc="D9AE7DEE">
      <w:numFmt w:val="decimal"/>
      <w:lvlText w:val=""/>
      <w:lvlJc w:val="left"/>
    </w:lvl>
    <w:lvl w:ilvl="7" w:tplc="766CA4F6">
      <w:numFmt w:val="decimal"/>
      <w:lvlText w:val=""/>
      <w:lvlJc w:val="left"/>
    </w:lvl>
    <w:lvl w:ilvl="8" w:tplc="E1200406">
      <w:numFmt w:val="decimal"/>
      <w:lvlText w:val=""/>
      <w:lvlJc w:val="left"/>
    </w:lvl>
  </w:abstractNum>
  <w:num w:numId="1" w16cid:durableId="427311460">
    <w:abstractNumId w:val="0"/>
    <w:lvlOverride w:ilvl="0">
      <w:startOverride w:val="1"/>
    </w:lvlOverride>
  </w:num>
  <w:num w:numId="2" w16cid:durableId="331763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D27"/>
    <w:rsid w:val="000D44EF"/>
    <w:rsid w:val="00607B2A"/>
    <w:rsid w:val="006E1FEC"/>
    <w:rsid w:val="009B5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B392"/>
  <w15:docId w15:val="{E88F1F04-D220-43FF-810B-AFE5B6E3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 Akhtar</cp:lastModifiedBy>
  <cp:revision>2</cp:revision>
  <dcterms:created xsi:type="dcterms:W3CDTF">2026-07-29T07:39:00Z</dcterms:created>
  <dcterms:modified xsi:type="dcterms:W3CDTF">2026-07-29T07:39:00Z</dcterms:modified>
</cp:coreProperties>
</file>