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Lab 3: Component Modelling &amp; Architectural Pattern Selection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Disaster Relief Supply &amp; Volunteer Coordinator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Name: Shamika Mahesh</w:t>
      </w:r>
    </w:p>
    <w:p>
      <w:pPr>
        <w:pBdr>
          <w:bottom w:val="single" w:color="000000" w:sz="6"/>
        </w:pBdr>
        <w:spacing w:after="200"/>
        <w:jc w:val="center"/>
      </w:pPr>
      <w:r>
        <w:rPr>
          <w:b/>
          <w:bCs/>
          <w:sz w:val="20"/>
          <w:szCs w:val="20"/>
        </w:rPr>
        <w:t xml:space="preserve">SRN: PES1UG24AM259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Domain: </w:t>
      </w:r>
      <w:r>
        <w:rPr>
          <w:sz w:val="20"/>
          <w:szCs w:val="20"/>
        </w:rPr>
        <w:t xml:space="preserve">Sustainability &amp; Green Tech</w:t>
      </w:r>
      <w:r>
        <w:rPr>
          <w:b/>
          <w:bCs/>
          <w:sz w:val="20"/>
          <w:szCs w:val="20"/>
        </w:rPr>
        <w:t xml:space="preserve">      Actors: </w:t>
      </w:r>
      <w:r>
        <w:rPr>
          <w:sz w:val="20"/>
          <w:szCs w:val="20"/>
        </w:rPr>
        <w:t xml:space="preserve">Relief Volunteer, Disaster Manager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1. Component Diagram</w:t>
      </w:r>
    </w:p>
    <w:p>
      <w:pPr>
        <w:spacing w:after="200"/>
        <w:jc w:val="center"/>
      </w:pPr>
      <w:r>
        <w:drawing>
          <wp:inline distT="0" distB="0" distL="0" distR="0">
            <wp:extent cx="4095750" cy="2905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2. Written Justification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Architecture Selection</w:t>
      </w:r>
    </w:p>
    <w:p>
      <w:pPr>
        <w:spacing w:after="100"/>
      </w:pPr>
      <w:r>
        <w:rPr>
          <w:i/>
          <w:iCs/>
          <w:sz w:val="20"/>
          <w:szCs w:val="20"/>
        </w:rPr>
        <w:t xml:space="preserve">We chose Microservices Architecture for the Disaster Relief Supply &amp; Volunteer Coordinator system.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Architectural Choice</w:t>
      </w:r>
    </w:p>
    <w:p>
      <w:pPr>
        <w:spacing w:after="100"/>
      </w:pPr>
      <w:r>
        <w:rPr>
          <w:sz w:val="20"/>
          <w:szCs w:val="20"/>
        </w:rPr>
        <w:t xml:space="preserve">The system is decomposed into independently deployable services — Relief Request Manager, Volunteer Coordination Service, Supply Inventory Manager, Notification &amp; Alert Service, and Location &amp; Logistics Service — each communicating through well-defined APIs rather than shared internal state.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Reason 1 — Fault Isolation During Active Disasters</w:t>
      </w:r>
    </w:p>
    <w:p>
      <w:pPr>
        <w:spacing w:after="100"/>
      </w:pPr>
      <w:r>
        <w:rPr>
          <w:sz w:val="20"/>
          <w:szCs w:val="20"/>
        </w:rPr>
        <w:t xml:space="preserve">Relief operations cannot afford a single point of failure. If the Notification &amp; Alert Service becomes overloaded or fails during a crisis, the Relief Request Manager and Supply Inventory Manager continue operating independently, so disaster managers can still log requests and track stock while only the alerting channel is degraded.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Reason 2 — Independent Scaling Under Sudden Load</w:t>
      </w:r>
    </w:p>
    <w:p>
      <w:pPr>
        <w:spacing w:after="100"/>
      </w:pPr>
      <w:r>
        <w:rPr>
          <w:sz w:val="20"/>
          <w:szCs w:val="20"/>
        </w:rPr>
        <w:t xml:space="preserve">Volunteer sign-ups and task requests spike unpredictably right after a disaster is declared. Microservices let the Volunteer Coordination Service and Location &amp; Logistics Service scale horizontally on demand, without over-provisioning lower-traffic services such as Supply Inventory Manager, keeping infrastructure cost-efficient — an important consideration for a resource-constrained, sustainability-focused deployment.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Security Advantage</w:t>
      </w:r>
    </w:p>
    <w:p>
      <w:pPr>
        <w:spacing w:after="100"/>
      </w:pPr>
      <w:r>
        <w:rPr>
          <w:sz w:val="20"/>
          <w:szCs w:val="20"/>
        </w:rPr>
        <w:t xml:space="preserve">Each microservice enforces its own authentication and access-control boundary. Sensitive volunteer personal data held in the Volunteer Coordination Service can be locked down with stricter permissions than the public-facing Relief Request Manager, so a breach of one service does not automatically expose data held by another.</w:t>
      </w:r>
    </w:p>
    <w:p>
      <w:pPr>
        <w:spacing w:after="50"/>
      </w:pPr>
      <w:r>
        <w:rPr>
          <w:b/>
          <w:bCs/>
          <w:sz w:val="22"/>
          <w:szCs w:val="22"/>
        </w:rPr>
        <w:t xml:space="preserve">Performance Benefit</w:t>
      </w:r>
    </w:p>
    <w:p>
      <w:pPr>
        <w:spacing w:after="100"/>
      </w:pPr>
      <w:r>
        <w:rPr>
          <w:sz w:val="20"/>
          <w:szCs w:val="20"/>
        </w:rPr>
        <w:t xml:space="preserve">High-urgency services — Notification &amp; Alert Service and Location &amp; Logistics Service — can be deployed on dedicated, low-latency infrastructure and updated independently, so critical alerts and route calculations for volunteers are not slowed down by less time-sensitive operations such as historical reporting.</w:t>
      </w:r>
    </w:p>
    <w:sectPr>
      <w:pgSz w:w="12240" w:h="15840" w:orient="portrait"/>
      <w:pgMar w:top="600" w:right="1100" w:bottom="6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e2ec1d67907eb6afa68878024511e8043ba8e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2026-09-08T05:47:16.043Z</dcterms:created>
  <dcterms:modified xsi:type="dcterms:W3CDTF">2026-09-08T05:47:16.043Z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