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Verification and Evaluation Plan</w:t>
      </w:r>
    </w:p>
    <w:p>
      <w:pPr>
        <w:spacing w:after="80"/>
      </w:pPr>
      <w:r>
        <w:rPr>
          <w:b/>
          <w:bCs/>
          <w:sz w:val="26"/>
          <w:szCs w:val="26"/>
        </w:rPr>
        <w:t xml:space="preserve">Development of an AI-Powered Plant Disease Detection and Treatment Recommendation System</w:t>
      </w:r>
    </w:p>
    <w:p>
      <w:pPr>
        <w:spacing w:after="120"/>
      </w:pPr>
      <w:r>
        <w:rPr>
          <w:sz w:val="21"/>
          <w:szCs w:val="21"/>
        </w:rPr>
        <w:t xml:space="preserve">Short name: Plant Disease AI. Diploma project, 2026-2027.</w:t>
      </w:r>
    </w:p>
    <w:p>
      <w:pPr>
        <w:spacing w:after="120"/>
      </w:pPr>
      <w:r>
        <w:rPr>
          <w:sz w:val="21"/>
          <w:szCs w:val="21"/>
        </w:rPr>
        <w:t xml:space="preserve">Team: Abdullayev Shynggys, Kalen Mukhammedali, Orynbasarov Alikhan. Supervisor: Kydyrbekova Aigerim.</w:t>
      </w:r>
    </w:p>
    <w:p>
      <w:pPr>
        <w:spacing w:after="120"/>
      </w:pPr>
      <w:r>
        <w:rPr>
          <w:b/>
          <w:bCs/>
          <w:sz w:val="21"/>
          <w:szCs w:val="21"/>
        </w:rPr>
        <w:t xml:space="preserve">Version: </w:t>
      </w:r>
      <w:r>
        <w:rPr>
          <w:sz w:val="21"/>
          <w:szCs w:val="21"/>
        </w:rPr>
        <w:t xml:space="preserve">draft 2 for pre-defense 1 (24 October 2026). It replaces the first draft, whose targets and baselines were not based on measurements. Values marked [p] are provisional. IDs (FR, NFR, DR) refer to the requirements specification. Numbers in square brackets refer to the list of sources in the literature review.</w:t>
      </w:r>
    </w:p>
    <w:p>
      <w:pPr>
        <w:pStyle w:val="Heading1"/>
        <w:keepNext/>
        <w:spacing w:after="140" w:before="280"/>
      </w:pPr>
      <w:r>
        <w:t xml:space="preserve">1. Purpose and principles</w:t>
      </w:r>
    </w:p>
    <w:p>
      <w:pPr>
        <w:spacing w:after="120"/>
      </w:pPr>
      <w:r>
        <w:rPr>
          <w:sz w:val="21"/>
          <w:szCs w:val="21"/>
        </w:rPr>
        <w:t xml:space="preserve">The plan shows how the team will demonstrate that the project reaches its aim: a web application that recognises a plant disease from a leaf photo, gives treatment advice with references, and whose behaviour on real field photos is measured against laboratory images. It states what is measured, with which data, under which conditions and against which baseline.</w:t>
      </w:r>
    </w:p>
    <w:p>
      <w:pPr>
        <w:pStyle w:val="ListParagraph"/>
        <w:numPr>
          <w:ilvl w:val="0"/>
          <w:numId w:val="2"/>
        </w:numPr>
        <w:spacing w:after="60"/>
      </w:pPr>
      <w:r>
        <w:rPr>
          <w:b/>
          <w:bCs/>
          <w:sz w:val="21"/>
          <w:szCs w:val="21"/>
        </w:rPr>
        <w:t xml:space="preserve">No invented targets. </w:t>
      </w:r>
      <w:r>
        <w:rPr>
          <w:sz w:val="21"/>
          <w:szCs w:val="21"/>
        </w:rPr>
        <w:t xml:space="preserve">Numerical accuracy targets are not set before the ResNet50 baseline is measured. Until then each metric has a target rule (how the target will be set). Values that already exist in the requirements (response time, number of users) are kept as provisional [p].</w:t>
      </w:r>
    </w:p>
    <w:p>
      <w:pPr>
        <w:pStyle w:val="ListParagraph"/>
        <w:numPr>
          <w:ilvl w:val="0"/>
          <w:numId w:val="2"/>
        </w:numPr>
        <w:spacing w:after="60"/>
      </w:pPr>
      <w:r>
        <w:rPr>
          <w:b/>
          <w:bCs/>
          <w:sz w:val="21"/>
          <w:szCs w:val="21"/>
        </w:rPr>
        <w:t xml:space="preserve">Honest data separation. </w:t>
      </w:r>
      <w:r>
        <w:rPr>
          <w:sz w:val="21"/>
          <w:szCs w:val="21"/>
        </w:rPr>
        <w:t xml:space="preserve">Training, validation and test data are separate. The field test set is never used for training or for choosing the model or the threshold (DR-03).</w:t>
      </w:r>
    </w:p>
    <w:p>
      <w:pPr>
        <w:pStyle w:val="ListParagraph"/>
        <w:numPr>
          <w:ilvl w:val="0"/>
          <w:numId w:val="2"/>
        </w:numPr>
        <w:spacing w:after="60"/>
      </w:pPr>
      <w:r>
        <w:rPr>
          <w:b/>
          <w:bCs/>
          <w:sz w:val="21"/>
          <w:szCs w:val="21"/>
        </w:rPr>
        <w:t xml:space="preserve">Reported results, not only passed results. </w:t>
      </w:r>
      <w:r>
        <w:rPr>
          <w:sz w:val="21"/>
          <w:szCs w:val="21"/>
        </w:rPr>
        <w:t xml:space="preserve">A negative result (for example a large laboratory-field gap) is reported as a result. It does not fail the project.</w:t>
      </w:r>
    </w:p>
    <w:p>
      <w:pPr>
        <w:pStyle w:val="ListParagraph"/>
        <w:numPr>
          <w:ilvl w:val="0"/>
          <w:numId w:val="2"/>
        </w:numPr>
        <w:spacing w:after="60"/>
      </w:pPr>
      <w:r>
        <w:rPr>
          <w:b/>
          <w:bCs/>
          <w:sz w:val="21"/>
          <w:szCs w:val="21"/>
        </w:rPr>
        <w:t xml:space="preserve">Baselines for every claim. </w:t>
      </w:r>
      <w:r>
        <w:rPr>
          <w:sz w:val="21"/>
          <w:szCs w:val="21"/>
        </w:rPr>
        <w:t xml:space="preserve">Each claim of the project is compared with a simple alternative (section 4).</w:t>
      </w:r>
    </w:p>
    <w:p>
      <w:pPr>
        <w:pStyle w:val="ListParagraph"/>
        <w:numPr>
          <w:ilvl w:val="0"/>
          <w:numId w:val="2"/>
        </w:numPr>
        <w:spacing w:after="60"/>
      </w:pPr>
      <w:r>
        <w:rPr>
          <w:b/>
          <w:bCs/>
          <w:sz w:val="21"/>
          <w:szCs w:val="21"/>
        </w:rPr>
        <w:t xml:space="preserve">Independent review. </w:t>
      </w:r>
      <w:r>
        <w:rPr>
          <w:sz w:val="21"/>
          <w:szCs w:val="21"/>
        </w:rPr>
        <w:t xml:space="preserve">A manual review is done by a team member who did not write the reviewed part. All three members speak Kazakh, Russian and English.</w:t>
      </w:r>
    </w:p>
    <w:p>
      <w:pPr>
        <w:pStyle w:val="Heading1"/>
        <w:keepNext/>
        <w:pageBreakBefore/>
        <w:spacing w:after="140" w:before="280"/>
      </w:pPr>
      <w:r>
        <w:t xml:space="preserve">2. Outcome metrics, baselines and target rules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2900"/>
        <w:gridCol w:w="3300"/>
        <w:gridCol w:w="2400"/>
        <w:gridCol w:w="4018"/>
      </w:tblGrid>
      <w:tr>
        <w:trPr>
          <w:cantSplit/>
          <w:tblHeader/>
        </w:trPr>
        <w:tc>
          <w:tcPr>
            <w:tcW w:type="dxa" w:w="52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5"/>
                <w:szCs w:val="15"/>
              </w:rPr>
              <w:t xml:space="preserve">No.</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5"/>
                <w:szCs w:val="15"/>
              </w:rPr>
              <w:t xml:space="preserve">Area and metric</w:t>
            </w:r>
          </w:p>
        </w:tc>
        <w:tc>
          <w:tcPr>
            <w:tcW w:type="dxa" w:w="2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5"/>
                <w:szCs w:val="15"/>
              </w:rPr>
              <w:t xml:space="preserve">How it is measured</w:t>
            </w:r>
          </w:p>
        </w:tc>
        <w:tc>
          <w:tcPr>
            <w:tcW w:type="dxa" w:w="3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5"/>
                <w:szCs w:val="15"/>
              </w:rPr>
              <w:t xml:space="preserve">Data and conditions</w:t>
            </w:r>
          </w:p>
        </w:tc>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5"/>
                <w:szCs w:val="15"/>
              </w:rPr>
              <w:t xml:space="preserve">Baseline for comparison</w:t>
            </w:r>
          </w:p>
        </w:tc>
        <w:tc>
          <w:tcPr>
            <w:tcW w:type="dxa" w:w="401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5"/>
                <w:szCs w:val="15"/>
              </w:rPr>
              <w:t xml:space="preserve">Target rule and requirements</w:t>
            </w:r>
          </w:p>
        </w:tc>
      </w:tr>
      <w:tr>
        <w:trPr>
          <w:cantSplit/>
        </w:trPr>
        <w:tc>
          <w:tcPr>
            <w:tcW w:type="dxa" w:w="5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Classification on laboratory data: accuracy, macro-F1, recall per class, confusion matrix</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Evaluation notebook on the held-out test set, for each of the three models</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PlantVillage test split, split by source leaf (or by near-duplicate group) and stored in a split file. Results are the mean and standard deviation over 3 seeds [p]</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ResNet50. The three models against each other</w:t>
            </w:r>
          </w:p>
        </w:tc>
        <w:tc>
          <w:tcPr>
            <w:tcW w:type="dxa" w:w="40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The selected model is not worse than ResNet50 in macro-F1 on the validation set, within the reported variation. No absolute target: PlantVillage accuracy is known to be very high and partly driven by the background [3][5]. DR-01, DR-02, DR-06, DR-07</w:t>
            </w:r>
          </w:p>
        </w:tc>
      </w:tr>
      <w:tr>
        <w:trPr>
          <w:cantSplit/>
        </w:trPr>
        <w:tc>
          <w:tcPr>
            <w:tcW w:type="dxa" w:w="5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Classification on field data: the same metrics with 95% bootstrap intervals</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The same notebook on the field test set. The gap to M1 is calculated for each model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PlantDoc and own photos, never used for training or selection. Only classes shared with the training data. Images per class are reported; classes with fewer than 10 images [p] are reported separately</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The laboratory result of the same model; ResNet50 on the same field set</w:t>
            </w:r>
          </w:p>
        </w:tc>
        <w:tc>
          <w:tcPr>
            <w:tcW w:type="dxa" w:w="40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No accuracy target. The size of the gap and the ranking of the models are reported, also when the gap is large. DR-03, DR-04, DR-06</w:t>
            </w:r>
          </w:p>
        </w:tc>
      </w:tr>
      <w:tr>
        <w:trPr>
          <w:cantSplit/>
        </w:trPr>
        <w:tc>
          <w:tcPr>
            <w:tcW w:type="dxa" w:w="5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Calibration: expected calibration error (ECE) and reliability diagram</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Before and after temperature scaling on the validation set; then on the test sets</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Validation set for fitting, test sets for reporting</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The same model without temperature scaling</w:t>
            </w:r>
          </w:p>
        </w:tc>
        <w:tc>
          <w:tcPr>
            <w:tcW w:type="dxa" w:w="40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Calibration is reported for each model and set. Temperature scaling is used if it lowers ECE on the validation set. DR-06</w:t>
            </w:r>
          </w:p>
        </w:tc>
      </w:tr>
      <w:tr>
        <w:trPr>
          <w:cantSplit/>
        </w:trPr>
        <w:tc>
          <w:tcPr>
            <w:tcW w:type="dxa" w:w="5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M4</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Rejection of bad input: share of non-leaf and of blurred or dark photos that are rejected; share of good photos rejected by mistake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Table over a range of thresholds T. The operating point is chosen on validation data, then reported on the test sets</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Prepared sets: non-leaf photos (at least 100 [p]), blurred photos and dark photos (at least 50 each [p]) and good photos (at least 100 [p]). Stored outside Git</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A system that always returns a diagnosis; a rule that uses only the softmax confidence</w:t>
            </w:r>
          </w:p>
        </w:tc>
        <w:tc>
          <w:tcPr>
            <w:tcW w:type="dxa" w:w="40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The operating point is chosen by the rule: lowest false rejection of good photos that still rejects most non-leaf photos. The chosen values are written in a decision record. FR-08 to FR-10, DR-09</w:t>
            </w:r>
          </w:p>
        </w:tc>
      </w:tr>
      <w:tr>
        <w:trPr>
          <w:cantSplit/>
        </w:trPr>
        <w:tc>
          <w:tcPr>
            <w:tcW w:type="dxa" w:w="5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Heatmap plausibility: share of sampled heatmaps that lie on the leaf and not only on the background</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Manual review by two team members of a random sample of accepted diagnoses (30 per model-set pair [p]); disagreements are discussed</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Correct and wrong predictions, laboratory and field images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None (descriptive). Compared between the laboratory and the field set</w:t>
            </w:r>
          </w:p>
        </w:tc>
        <w:tc>
          <w:tcPr>
            <w:tcW w:type="dxa" w:w="40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Reported. A high share of background heatmaps is listed as a finding, because the PlantVillage background carries label information [5]. FR-11</w:t>
            </w:r>
          </w:p>
        </w:tc>
      </w:tr>
      <w:tr>
        <w:trPr>
          <w:cantSplit/>
        </w:trPr>
        <w:tc>
          <w:tcPr>
            <w:tcW w:type="dxa" w:w="5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M6</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ONNX parity: share of equal top-1 predictions between the PyTorch and the ONNX model</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Parity test on a fixed sample</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200 images [p], fixed in a file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The PyTorch model</w:t>
            </w:r>
          </w:p>
        </w:tc>
        <w:tc>
          <w:tcPr>
            <w:tcW w:type="dxa" w:w="40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All top-1 predictions are equal, or every difference is analysed and written down. DR-08</w:t>
            </w:r>
          </w:p>
        </w:tc>
      </w:tr>
      <w:tr>
        <w:trPr>
          <w:cantSplit/>
        </w:trPr>
        <w:tc>
          <w:tcPr>
            <w:tcW w:type="dxa" w:w="5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M7</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Speed: diagnosis time (upload to result with heatmap) and recommendation time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Repeated requests, 95th percentile and median per model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One fixed CPU-only machine, hardware recorded. 50 requests for diagnosis and 20 for recommendation [p]</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PyTorch against ONNX Runtime; the three models against each other</w:t>
            </w:r>
          </w:p>
        </w:tc>
        <w:tc>
          <w:tcPr>
            <w:tcW w:type="dxa" w:w="40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Diagnosis up to 10 s and recommendation up to 20 s at the 95th percentile [p]. NFR-01, NFR-02</w:t>
            </w:r>
          </w:p>
        </w:tc>
      </w:tr>
      <w:tr>
        <w:trPr>
          <w:cantSplit/>
        </w:trPr>
        <w:tc>
          <w:tcPr>
            <w:tcW w:type="dxa" w:w="5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M8</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Concurrency: failed requests under load</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Load script</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5 parallel users with 10 requests each [p]</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None</w:t>
            </w:r>
          </w:p>
        </w:tc>
        <w:tc>
          <w:tcPr>
            <w:tcW w:type="dxa" w:w="40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No failed request. NFR-03</w:t>
            </w:r>
          </w:p>
        </w:tc>
      </w:tr>
      <w:tr>
        <w:trPr>
          <w:cantSplit/>
        </w:trPr>
        <w:tc>
          <w:tcPr>
            <w:tcW w:type="dxa" w:w="5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M9</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Recommendation quality: share of advice items with a valid reference; faithfulness to the sources; retrieval hit rate; number of dosages or safety intervals that are not in a cited passage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Automated check for references and retrieval. Manual review of faithfulness and of dosages by two team members who did not write the module. The agreement of the reviewers is reported</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Fixed question set: 3 questions per disease class [p] and at least 20 questions that have no source in the knowledge base [p]</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Lookup table without a language model (FR-21). Optional: the same language model without retrieval, to show what retrieval adds [19][22]</w:t>
            </w:r>
          </w:p>
        </w:tc>
        <w:tc>
          <w:tcPr>
            <w:tcW w:type="dxa" w:w="40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References: 100% of items have a reference that exists (FR-15). Dosages without a source: none (FR-18). For questions without a source: the system says that no verified advice was found (FR-16). Faithfulness and retrieval hit rate: no fixed target, reported against the baseline. DR-10, DR-11, FR-14 to FR-18</w:t>
            </w:r>
          </w:p>
        </w:tc>
      </w:tr>
      <w:tr>
        <w:trPr>
          <w:cantSplit/>
        </w:trPr>
        <w:tc>
          <w:tcPr>
            <w:tcW w:type="dxa" w:w="5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M10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Languages: faithfulness of Kazakh and Russian advice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Manual review of a sample of answers by Kazakh- and Russian-speaking members, with the same checklist as M9</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20 answers per language [p], same questions in English</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The same answers in English</w:t>
            </w:r>
          </w:p>
        </w:tc>
        <w:tc>
          <w:tcPr>
            <w:tcW w:type="dxa" w:w="40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Reported as a difference to English. Systematic errors are listed with the cause. NFR-11, NFR-12</w:t>
            </w:r>
          </w:p>
        </w:tc>
      </w:tr>
      <w:tr>
        <w:trPr>
          <w:cantSplit/>
        </w:trPr>
        <w:tc>
          <w:tcPr>
            <w:tcW w:type="dxa" w:w="5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M11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Software quality: automated tests in CI</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pytest, Vitest and Playwright on every pull request</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Docker Compose environment, current Chrome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None</w:t>
            </w:r>
          </w:p>
        </w:tc>
        <w:tc>
          <w:tcPr>
            <w:tcW w:type="dxa" w:w="40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CI is green before every merge; the main scenario is covered by an end-to-end test. NFR-18, NFR-19</w:t>
            </w:r>
          </w:p>
        </w:tc>
      </w:tr>
      <w:tr>
        <w:trPr>
          <w:cantSplit/>
        </w:trPr>
        <w:tc>
          <w:tcPr>
            <w:tcW w:type="dxa" w:w="5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M12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Usability: tasks completed without a blocking problem</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Scripted demo: register, scan a photo, read the result, open the advice, open the history, change the language</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Walked through with the supervisor on a phone; if time allows, with up to 3 people from the target group [p]</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Acceptance criteria in the requirements</w:t>
            </w:r>
          </w:p>
        </w:tc>
        <w:tc>
          <w:tcPr>
            <w:tcW w:type="dxa" w:w="40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All tasks are completed; problems are listed and fixed or recorded. FR-28, FR-30, FR-31</w:t>
            </w:r>
          </w:p>
        </w:tc>
      </w:tr>
      <w:tr>
        <w:trPr>
          <w:cantSplit/>
        </w:trPr>
        <w:tc>
          <w:tcPr>
            <w:tcW w:type="dxa" w:w="5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M13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Security and privacy checks</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Tests and inspection: tokens, access to other users' history and photos, storage access, what is sent to the language model, secret scan</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Test accounts and a prepared list of bad files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None</w:t>
            </w:r>
          </w:p>
        </w:tc>
        <w:tc>
          <w:tcPr>
            <w:tcW w:type="dxa" w:w="40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5"/>
                <w:szCs w:val="15"/>
              </w:rPr>
              <w:t xml:space="preserve">All checks pass. NFR-05 to NFR-10, FR-25</w:t>
            </w:r>
          </w:p>
        </w:tc>
      </w:tr>
    </w:tbl>
    <w:p>
      <w:pPr>
        <w:pStyle w:val="Heading1"/>
        <w:keepNext/>
        <w:pageBreakBefore/>
        <w:spacing w:after="140" w:before="280"/>
      </w:pPr>
      <w:r>
        <w:t xml:space="preserve">3. Data sets used for evaluation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300"/>
        <w:gridCol w:w="5238"/>
      </w:tblGrid>
      <w:tr>
        <w:trPr>
          <w:cantSplit/>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Set</w:t>
            </w:r>
          </w:p>
        </w:tc>
        <w:tc>
          <w:tcPr>
            <w:tcW w:type="dxa" w:w="3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Content</w:t>
            </w:r>
          </w:p>
        </w:tc>
        <w:tc>
          <w:tcPr>
            <w:tcW w:type="dxa" w:w="3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Used for</w:t>
            </w:r>
          </w:p>
        </w:tc>
        <w:tc>
          <w:tcPr>
            <w:tcW w:type="dxa" w:w="52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Rules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Training and validation data</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PlantVillage and additional field datasets whose classes are mapped to the PlantVillage classes (for example FieldPlant)</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Fine-tuning of the models, choice of the model and of the threshold T, temperature scaling</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Split by source leaf or near-duplicate group. Split file stored. Class mapping and licence of each dataset documented (DR-01, DR-03, DR-12)</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Laboratory test set</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Held-out part of PlantVillage</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M1, M3</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Never used for training or selection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Field test set</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PlantDoc and own photos, only classes shared with the training data</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M2, M3, M5</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Never used for training, selection or choice of the threshold. Automated check that no test image or near duplicate is in the training data. Labels of own photos checked by a second member; PlantDoc labels were criticised in [6], so a sample is checked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Rejection sets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Non-leaf, blurred, dark and good photos</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M4</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Prepared by the team, labelled by the kind of defect. Stored outside Git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Question set</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Questions per disease class, including questions without a source</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M9, M10</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Stored in the repository. The same file is used for RAG and for the baselines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Bad file list</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Empty, broken, huge and wrong-format files</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M13, NFR-05</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Stored in the test folder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Demo script</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Tasks and test accounts for the usability check</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M12</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Stored in the docs folder</w:t>
            </w:r>
          </w:p>
        </w:tc>
      </w:tr>
    </w:tbl>
    <w:p>
      <w:pPr>
        <w:spacing w:after="60"/>
      </w:pPr>
      <w:r>
        <w:rPr>
          <w:sz w:val="21"/>
          <w:szCs w:val="21"/>
        </w:rPr>
        <w:t xml:space="preserve"/>
      </w:r>
    </w:p>
    <w:p>
      <w:pPr>
        <w:spacing w:after="120"/>
      </w:pPr>
      <w:r>
        <w:rPr>
          <w:sz w:val="21"/>
          <w:szCs w:val="21"/>
        </w:rPr>
        <w:t xml:space="preserve">Reproducibility: fixed random seeds, the split file, fixed package versions and the version of every dataset are stored (NFR-20). Datasets and weights are not committed to Git (NFR-16).</w:t>
      </w:r>
    </w:p>
    <w:p>
      <w:pPr>
        <w:pStyle w:val="Heading1"/>
        <w:keepNext/>
        <w:spacing w:after="140" w:before="280"/>
      </w:pPr>
      <w:r>
        <w:t xml:space="preserve">4. Baselines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400"/>
        <w:gridCol w:w="4300"/>
        <w:gridCol w:w="7338"/>
      </w:tblGrid>
      <w:tr>
        <w:trPr>
          <w:cantSplit/>
          <w:tblHeader/>
        </w:trPr>
        <w:tc>
          <w:tcPr>
            <w:tcW w:type="dxa" w:w="3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Claim of the project</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Baseline</w:t>
            </w:r>
          </w:p>
        </w:tc>
        <w:tc>
          <w:tcPr>
            <w:tcW w:type="dxa" w:w="73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Why this baseline</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chosen model is good enough</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ResNet50 fine-tuned in the same way</w:t>
            </w:r>
          </w:p>
        </w:tc>
        <w:tc>
          <w:tcPr>
            <w:tcW w:type="dxa" w:w="7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Standard, widely used reference [13]. All other models are compared with it</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gap between laboratory and field is measured honestly</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laboratory result of the same model</w:t>
            </w:r>
          </w:p>
        </w:tc>
        <w:tc>
          <w:tcPr>
            <w:tcW w:type="dxa" w:w="7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gap is the difference between the two results with the same metrics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system rejects bad photos</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system that always returns a diagnosis, and a rule with only the softmax confidence</w:t>
            </w:r>
          </w:p>
        </w:tc>
        <w:tc>
          <w:tcPr>
            <w:tcW w:type="dxa" w:w="7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softmax score is the known simple baseline for rejection [18]</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ONNX model is equivalent and faster</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PyTorch model on the same machine</w:t>
            </w:r>
          </w:p>
        </w:tc>
        <w:tc>
          <w:tcPr>
            <w:tcW w:type="dxa" w:w="7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Same weights, different runtime</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Retrieval-based advice is better than a fixed text</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Lookup table (FR-21). Optional: the same language model without retrieval</w:t>
            </w:r>
          </w:p>
        </w:tc>
        <w:tc>
          <w:tcPr>
            <w:tcW w:type="dxa" w:w="7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Shows what retrieval and generation add [19][22]</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Kazakh and Russian advice is as faithful as English</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same answers in English</w:t>
            </w:r>
          </w:p>
        </w:tc>
        <w:tc>
          <w:tcPr>
            <w:tcW w:type="dxa" w:w="7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Isolates the language effect</w:t>
            </w:r>
          </w:p>
        </w:tc>
      </w:tr>
    </w:tbl>
    <w:p>
      <w:pPr>
        <w:pStyle w:val="Heading1"/>
        <w:keepNext/>
        <w:pageBreakBefore/>
        <w:spacing w:after="140" w:before="280"/>
      </w:pPr>
      <w:r>
        <w:t xml:space="preserve">5. Test levels and tools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600"/>
        <w:gridCol w:w="5438"/>
      </w:tblGrid>
      <w:tr>
        <w:trPr>
          <w:cantSplit/>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Level</w:t>
            </w:r>
          </w:p>
        </w:tc>
        <w:tc>
          <w:tcPr>
            <w:tcW w:type="dxa" w:w="4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What is tested</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Tools</w:t>
            </w:r>
          </w:p>
        </w:tc>
        <w:tc>
          <w:tcPr>
            <w:tcW w:type="dxa" w:w="54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When and pass criterion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Unit tests</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Image checks (format, size, resolution, blur), threshold logic, chunking, citation formatting, language file keys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pytest, Vitest</w:t>
            </w:r>
          </w:p>
        </w:tc>
        <w:tc>
          <w:tcPr>
            <w:tcW w:type="dxa" w:w="5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On every pull request. All pass (NFR-18)</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Model tests</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Class list, output shape, fixed-seed reproducibility, split leakage check, ONNX parity</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pytest, scripts in the ml folder</w:t>
            </w:r>
          </w:p>
        </w:tc>
        <w:tc>
          <w:tcPr>
            <w:tcW w:type="dxa" w:w="5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After each training run and on every pull request that changes the ml folder</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API tests</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Each endpoint against the OpenAPI contract, with stubs for the model and the language model; access rules between two accounts; bad files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pytest, OpenAPI contract files</w:t>
            </w:r>
          </w:p>
        </w:tc>
        <w:tc>
          <w:tcPr>
            <w:tcW w:type="dxa" w:w="5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On every pull request. All pass (NFR-05, NFR-15, FR-25)</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Retrieval and advice tests</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Retrieval returns passages of the right disease; every advice item has an existing reference; no advice when no passage is found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pytest with the question set</w:t>
            </w:r>
          </w:p>
        </w:tc>
        <w:tc>
          <w:tcPr>
            <w:tcW w:type="dxa" w:w="5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On every pull request with a small fixed subset; full set before each milestone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End-to-end tests</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Register, log in, scan, result, advice, history, language change, error messages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Playwright in Chrome</w:t>
            </w:r>
          </w:p>
        </w:tc>
        <w:tc>
          <w:tcPr>
            <w:tcW w:type="dxa" w:w="5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 CI. A manual check in Safari on iOS before each milestone (NFR-13)</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Experiments</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M1 to M6, M9, M10 with the sets of section 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Jupyter notebooks, scikit-learn, timm</w:t>
            </w:r>
          </w:p>
        </w:tc>
        <w:tc>
          <w:tcPr>
            <w:tcW w:type="dxa" w:w="5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After the baseline is trained, then repeated for the final model. Results saved in the docs folder</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Non-functional measurements</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M7 and M8</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Load script, timer in the backend log</w:t>
            </w:r>
          </w:p>
        </w:tc>
        <w:tc>
          <w:tcPr>
            <w:tcW w:type="dxa" w:w="5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Before each milestone, on the documented CPU-only machine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Review and demo</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M5, M9, M10 manual reviews and M12 demo</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Checklists in the docs folder</w:t>
            </w:r>
          </w:p>
        </w:tc>
        <w:tc>
          <w:tcPr>
            <w:tcW w:type="dxa" w:w="5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Before each milestone. Reviews by a member who did not write the part</w:t>
            </w:r>
          </w:p>
        </w:tc>
      </w:tr>
    </w:tbl>
    <w:p>
      <w:pPr>
        <w:pStyle w:val="Heading1"/>
        <w:keepNext/>
        <w:spacing w:after="140" w:before="280"/>
      </w:pPr>
      <w:r>
        <w:t xml:space="preserve">6. Conditions and environment</w:t>
      </w:r>
    </w:p>
    <w:p>
      <w:pPr>
        <w:pStyle w:val="ListParagraph"/>
        <w:numPr>
          <w:ilvl w:val="0"/>
          <w:numId w:val="2"/>
        </w:numPr>
        <w:spacing w:after="60"/>
      </w:pPr>
      <w:r>
        <w:rPr>
          <w:b/>
          <w:bCs/>
          <w:sz w:val="21"/>
          <w:szCs w:val="21"/>
        </w:rPr>
        <w:t xml:space="preserve">Training: </w:t>
      </w:r>
      <w:r>
        <w:rPr>
          <w:sz w:val="21"/>
          <w:szCs w:val="21"/>
        </w:rPr>
        <w:t xml:space="preserve">Google Colab or Kaggle with a GPU. The GPU type, the PyTorch and timm versions and the seeds are recorded for every run.</w:t>
      </w:r>
    </w:p>
    <w:p>
      <w:pPr>
        <w:pStyle w:val="ListParagraph"/>
        <w:numPr>
          <w:ilvl w:val="0"/>
          <w:numId w:val="2"/>
        </w:numPr>
        <w:spacing w:after="60"/>
      </w:pPr>
      <w:r>
        <w:rPr>
          <w:b/>
          <w:bCs/>
          <w:sz w:val="21"/>
          <w:szCs w:val="21"/>
        </w:rPr>
        <w:t xml:space="preserve">Timing: </w:t>
      </w:r>
      <w:r>
        <w:rPr>
          <w:sz w:val="21"/>
          <w:szCs w:val="21"/>
        </w:rPr>
        <w:t xml:space="preserve">one fixed CPU-only machine. The processor, the number of cores, the memory and the operating system are written in the results. The first request after a start is excluded as warm-up. The model runs in the same Docker setup as in the demo.</w:t>
      </w:r>
    </w:p>
    <w:p>
      <w:pPr>
        <w:pStyle w:val="ListParagraph"/>
        <w:numPr>
          <w:ilvl w:val="0"/>
          <w:numId w:val="2"/>
        </w:numPr>
        <w:spacing w:after="60"/>
      </w:pPr>
      <w:r>
        <w:rPr>
          <w:b/>
          <w:bCs/>
          <w:sz w:val="21"/>
          <w:szCs w:val="21"/>
        </w:rPr>
        <w:t xml:space="preserve">Language model: </w:t>
      </w:r>
      <w:r>
        <w:rPr>
          <w:sz w:val="21"/>
          <w:szCs w:val="21"/>
        </w:rPr>
        <w:t xml:space="preserve">the provider, the model name and version, the temperature and the prompt are recorded for every evaluation run. A low temperature is used so that runs can be compared. The provider is not chosen yet and is set in the technology comparison.</w:t>
      </w:r>
    </w:p>
    <w:p>
      <w:pPr>
        <w:pStyle w:val="ListParagraph"/>
        <w:numPr>
          <w:ilvl w:val="0"/>
          <w:numId w:val="2"/>
        </w:numPr>
        <w:spacing w:after="60"/>
      </w:pPr>
      <w:r>
        <w:rPr>
          <w:b/>
          <w:bCs/>
          <w:sz w:val="21"/>
          <w:szCs w:val="21"/>
        </w:rPr>
        <w:t xml:space="preserve">Clients: </w:t>
      </w:r>
      <w:r>
        <w:rPr>
          <w:sz w:val="21"/>
          <w:szCs w:val="21"/>
        </w:rPr>
        <w:t xml:space="preserve">current Chrome on desktop and Android, Safari on iOS, phone width from 360 px (FR-28, NFR-13).</w:t>
      </w:r>
    </w:p>
    <w:p>
      <w:pPr>
        <w:pStyle w:val="ListParagraph"/>
        <w:numPr>
          <w:ilvl w:val="0"/>
          <w:numId w:val="2"/>
        </w:numPr>
        <w:spacing w:after="60"/>
      </w:pPr>
      <w:r>
        <w:rPr>
          <w:b/>
          <w:bCs/>
          <w:sz w:val="21"/>
          <w:szCs w:val="21"/>
        </w:rPr>
        <w:t xml:space="preserve">Variation: </w:t>
      </w:r>
      <w:r>
        <w:rPr>
          <w:sz w:val="21"/>
          <w:szCs w:val="21"/>
        </w:rPr>
        <w:t xml:space="preserve">model results are the mean and the standard deviation over 3 seeds [p]; field results also have bootstrap intervals, because the field set is small.</w:t>
      </w:r>
    </w:p>
    <w:p>
      <w:pPr>
        <w:pStyle w:val="Heading1"/>
        <w:keepNext/>
        <w:pageBreakBefore/>
        <w:spacing w:after="140" w:before="280"/>
      </w:pPr>
      <w:r>
        <w:t xml:space="preserve">7. How the aim is demonstrated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5400"/>
        <w:gridCol w:w="4300"/>
        <w:gridCol w:w="5338"/>
      </w:tblGrid>
      <w:tr>
        <w:trPr>
          <w:cantSplit/>
          <w:tblHeader/>
        </w:trPr>
        <w:tc>
          <w:tcPr>
            <w:tcW w:type="dxa" w:w="5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Part of the aim</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Evidence</w:t>
            </w:r>
          </w:p>
        </w:tc>
        <w:tc>
          <w:tcPr>
            <w:tcW w:type="dxa" w:w="53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Where it is reported</w:t>
            </w:r>
          </w:p>
        </w:tc>
      </w:tr>
      <w:tr>
        <w:trPr>
          <w:cantSplit/>
        </w:trPr>
        <w:tc>
          <w:tcPr>
            <w:tcW w:type="dxa" w:w="5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Recognises a plant disease from a leaf photo</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M1, M2, M3 with three models and the baseline; decision record for the chosen model</w:t>
            </w:r>
          </w:p>
        </w:tc>
        <w:tc>
          <w:tcPr>
            <w:tcW w:type="dxa" w:w="5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Evaluation chapter of the thesis; decision record (DR-07)</w:t>
            </w:r>
          </w:p>
        </w:tc>
      </w:tr>
      <w:tr>
        <w:trPr>
          <w:cantSplit/>
        </w:trPr>
        <w:tc>
          <w:tcPr>
            <w:tcW w:type="dxa" w:w="5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Behaves reasonably on real field photos compared with laboratory images</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M2 against M1 with the gap per model; M5 heatmap review</w:t>
            </w:r>
          </w:p>
        </w:tc>
        <w:tc>
          <w:tcPr>
            <w:tcW w:type="dxa" w:w="5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Evaluation chapter; discussion of the laboratory-field gap</w:t>
            </w:r>
          </w:p>
        </w:tc>
      </w:tr>
      <w:tr>
        <w:trPr>
          <w:cantSplit/>
        </w:trPr>
        <w:tc>
          <w:tcPr>
            <w:tcW w:type="dxa" w:w="5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Asks for a new photo instead of guessing</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M4 table and the chosen operating point</w:t>
            </w:r>
          </w:p>
        </w:tc>
        <w:tc>
          <w:tcPr>
            <w:tcW w:type="dxa" w:w="5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Evaluation chapter; decision record for T</w:t>
            </w:r>
          </w:p>
        </w:tc>
      </w:tr>
      <w:tr>
        <w:trPr>
          <w:cantSplit/>
        </w:trPr>
        <w:tc>
          <w:tcPr>
            <w:tcW w:type="dxa" w:w="5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Gives treatment and prevention advice with references</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M9 against the lookup table; M10 for Kazakh and Russian</w:t>
            </w:r>
          </w:p>
        </w:tc>
        <w:tc>
          <w:tcPr>
            <w:tcW w:type="dxa" w:w="5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Evaluation chapter of the recommendation module</w:t>
            </w:r>
          </w:p>
        </w:tc>
      </w:tr>
      <w:tr>
        <w:trPr>
          <w:cantSplit/>
        </w:trPr>
        <w:tc>
          <w:tcPr>
            <w:tcW w:type="dxa" w:w="5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Works as a complete, usable application</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M7, M8, M11, M12, M13</w:t>
            </w:r>
          </w:p>
        </w:tc>
        <w:tc>
          <w:tcPr>
            <w:tcW w:type="dxa" w:w="5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Testing chapter; CI history; demo with the supervisor</w:t>
            </w:r>
          </w:p>
        </w:tc>
      </w:tr>
    </w:tbl>
    <w:p>
      <w:pPr>
        <w:pStyle w:val="Heading1"/>
        <w:keepNext/>
        <w:spacing w:after="140" w:before="280"/>
      </w:pPr>
      <w:r>
        <w:t xml:space="preserve">8. Threats to validity and limits</w:t>
      </w:r>
    </w:p>
    <w:p>
      <w:pPr>
        <w:pStyle w:val="ListParagraph"/>
        <w:numPr>
          <w:ilvl w:val="0"/>
          <w:numId w:val="2"/>
        </w:numPr>
        <w:spacing w:after="60"/>
      </w:pPr>
      <w:r>
        <w:rPr>
          <w:sz w:val="21"/>
          <w:szCs w:val="21"/>
        </w:rPr>
        <w:t xml:space="preserve">The own field photo set will be small. Results on it have wide intervals and are described as indications, not as precise measurements.</w:t>
      </w:r>
    </w:p>
    <w:p>
      <w:pPr>
        <w:pStyle w:val="ListParagraph"/>
        <w:numPr>
          <w:ilvl w:val="0"/>
          <w:numId w:val="2"/>
        </w:numPr>
        <w:spacing w:after="60"/>
      </w:pPr>
      <w:r>
        <w:rPr>
          <w:sz w:val="21"/>
          <w:szCs w:val="21"/>
        </w:rPr>
        <w:t xml:space="preserve">Labels of public field datasets can be wrong [6]. A sample is checked, and the check result is reported.</w:t>
      </w:r>
    </w:p>
    <w:p>
      <w:pPr>
        <w:pStyle w:val="ListParagraph"/>
        <w:numPr>
          <w:ilvl w:val="0"/>
          <w:numId w:val="2"/>
        </w:numPr>
        <w:spacing w:after="60"/>
      </w:pPr>
      <w:r>
        <w:rPr>
          <w:sz w:val="21"/>
          <w:szCs w:val="21"/>
        </w:rPr>
        <w:t xml:space="preserve">Fine-tuning on field datasets may reduce the gap on similar images but not on new conditions. This is why the test set is kept separate from every training source.</w:t>
      </w:r>
    </w:p>
    <w:p>
      <w:pPr>
        <w:pStyle w:val="ListParagraph"/>
        <w:numPr>
          <w:ilvl w:val="0"/>
          <w:numId w:val="2"/>
        </w:numPr>
        <w:spacing w:after="60"/>
      </w:pPr>
      <w:r>
        <w:rPr>
          <w:sz w:val="21"/>
          <w:szCs w:val="21"/>
        </w:rPr>
        <w:t xml:space="preserve">The class overlap of field datasets with the 38 PlantVillage classes is not yet checked. If it is small, the field test covers few classes and the report says so.</w:t>
      </w:r>
    </w:p>
    <w:p>
      <w:pPr>
        <w:pStyle w:val="ListParagraph"/>
        <w:numPr>
          <w:ilvl w:val="0"/>
          <w:numId w:val="2"/>
        </w:numPr>
        <w:spacing w:after="60"/>
      </w:pPr>
      <w:r>
        <w:rPr>
          <w:sz w:val="21"/>
          <w:szCs w:val="21"/>
        </w:rPr>
        <w:t xml:space="preserve">Language model output changes between runs and between versions. Settings and versions are recorded, and the manual review is done on saved outputs.</w:t>
      </w:r>
    </w:p>
    <w:p>
      <w:pPr>
        <w:pStyle w:val="ListParagraph"/>
        <w:numPr>
          <w:ilvl w:val="0"/>
          <w:numId w:val="2"/>
        </w:numPr>
        <w:spacing w:after="60"/>
      </w:pPr>
      <w:r>
        <w:rPr>
          <w:sz w:val="21"/>
          <w:szCs w:val="21"/>
        </w:rPr>
        <w:t xml:space="preserve">The reviewers are the team members. The reviewer of a part is not its author, and the agreement between two reviewers is reported.</w:t>
      </w:r>
    </w:p>
    <w:p>
      <w:pPr>
        <w:pStyle w:val="ListParagraph"/>
        <w:numPr>
          <w:ilvl w:val="0"/>
          <w:numId w:val="2"/>
        </w:numPr>
        <w:spacing w:after="60"/>
      </w:pPr>
      <w:r>
        <w:rPr>
          <w:sz w:val="21"/>
          <w:szCs w:val="21"/>
        </w:rPr>
        <w:t xml:space="preserve">The usability check with the supervisor and up to 3 users shows blocking problems, not statistical results.</w:t>
      </w:r>
    </w:p>
    <w:p>
      <w:pPr>
        <w:pStyle w:val="Heading1"/>
        <w:keepNext/>
        <w:spacing w:after="140" w:before="280"/>
      </w:pPr>
      <w:r>
        <w:t xml:space="preserve">9. When the values are fixed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5200"/>
        <w:gridCol w:w="4800"/>
        <w:gridCol w:w="5038"/>
      </w:tblGrid>
      <w:tr>
        <w:trPr>
          <w:cantSplit/>
          <w:tblHeader/>
        </w:trPr>
        <w:tc>
          <w:tcPr>
            <w:tcW w:type="dxa" w:w="5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Value</w:t>
            </w:r>
          </w:p>
        </w:tc>
        <w:tc>
          <w:tcPr>
            <w:tcW w:type="dxa" w:w="4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Decided</w:t>
            </w:r>
          </w:p>
        </w:tc>
        <w:tc>
          <w:tcPr>
            <w:tcW w:type="dxa" w:w="50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Rule</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Threshold T and the operating point of rejection</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After the baseline model and the rejection sets are ready</w:t>
            </w:r>
          </w:p>
        </w:tc>
        <w:tc>
          <w:tcPr>
            <w:tcW w:type="dxa" w:w="5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M4 rule; written in a decision record</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Numerical targets for classification</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After the ResNet50 baseline is measured</w:t>
            </w:r>
          </w:p>
        </w:tc>
        <w:tc>
          <w:tcPr>
            <w:tcW w:type="dxa" w:w="5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M1 and M2 rules; reported without a pass or fail target on the field set</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Provisional values [p]: sizes of sets, number of seeds, number of requests, time limits</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After the first measurements and the review by the supervisor</w:t>
            </w:r>
          </w:p>
        </w:tc>
        <w:tc>
          <w:tcPr>
            <w:tcW w:type="dxa" w:w="5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Changed values and the reasons are written in the requirements and in this plan</w:t>
            </w:r>
          </w:p>
        </w:tc>
      </w:tr>
      <w:tr>
        <w:trPr>
          <w:cantSplit/>
        </w:trPr>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Language model provider</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 the technology comparison</w:t>
            </w:r>
          </w:p>
        </w:tc>
        <w:tc>
          <w:tcPr>
            <w:tcW w:type="dxa" w:w="5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provider is recorded with every evaluation run</w:t>
            </w:r>
          </w:p>
        </w:tc>
      </w:tr>
    </w:tbl>
    <w:sectPr>
      <w:footerReference w:type="default" r:id="rId7"/>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Plant Disease AI, verification and evaluation plan,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and Evaluation Plan</dc:title>
  <dc:creator>Plant Disease AI team</dc:creator>
  <cp:lastModifiedBy>Plant Disease AI team</cp:lastModifiedBy>
  <cp:revision>1</cp:revision>
  <dcterms:created xsi:type="dcterms:W3CDTF">2026-10-20T18:35:23.165Z</dcterms:created>
  <dcterms:modified xsi:type="dcterms:W3CDTF">2026-10-20T18:35:23.165Z</dcterms:modified>
</cp:coreProperties>
</file>

<file path=docProps/custom.xml><?xml version="1.0" encoding="utf-8"?>
<Properties xmlns="http://schemas.openxmlformats.org/officeDocument/2006/custom-properties" xmlns:vt="http://schemas.openxmlformats.org/officeDocument/2006/docPropsVTypes"/>
</file>