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Literature Review</w:t>
      </w:r>
    </w:p>
    <w:p>
      <w:pPr>
        <w:spacing w:after="80"/>
      </w:pPr>
      <w:r>
        <w:rPr>
          <w:b/>
          <w:bCs/>
          <w:sz w:val="26"/>
          <w:szCs w:val="26"/>
        </w:rPr>
        <w:t xml:space="preserve">Development of an AI-Powered Plant Disease Detection and Treatment Recommendation System</w:t>
      </w:r>
    </w:p>
    <w:p>
      <w:pPr>
        <w:spacing w:after="120"/>
      </w:pPr>
      <w:r>
        <w:rPr>
          <w:sz w:val="21"/>
          <w:szCs w:val="21"/>
        </w:rPr>
        <w:t xml:space="preserve">Short name: Plant Disease AI. Diploma project, 2026-2027.</w:t>
      </w:r>
    </w:p>
    <w:p>
      <w:pPr>
        <w:spacing w:after="120"/>
      </w:pPr>
      <w:r>
        <w:rPr>
          <w:sz w:val="21"/>
          <w:szCs w:val="21"/>
        </w:rPr>
        <w:t xml:space="preserve">Team: Abdullayev Shynggys, Kalen Mukhammedali, Orynbasarov Alikhan. Supervisor: Kydyrbekova Aigerim.</w:t>
      </w:r>
    </w:p>
    <w:p>
      <w:pPr>
        <w:spacing w:after="120"/>
      </w:pPr>
      <w:r>
        <w:rPr>
          <w:b/>
          <w:bCs/>
          <w:sz w:val="21"/>
          <w:szCs w:val="21"/>
        </w:rPr>
        <w:t xml:space="preserve">Version: </w:t>
      </w:r>
      <w:r>
        <w:rPr>
          <w:sz w:val="21"/>
          <w:szCs w:val="21"/>
        </w:rPr>
        <w:t xml:space="preserve">draft 2 for pre-defense 1 (24 October 2026). It replaces the first draft, whose entries could not be verified. Every source below was checked against its DOI record (Crossref), its arXiv page or the publisher page on 20 October 2026.</w:t>
      </w:r>
    </w:p>
    <w:p>
      <w:pPr>
        <w:pStyle w:val="Heading1"/>
        <w:keepNext/>
        <w:spacing w:after="140" w:before="280"/>
      </w:pPr>
      <w:r>
        <w:t xml:space="preserve">1. Purpose and method</w:t>
      </w:r>
    </w:p>
    <w:p>
      <w:pPr>
        <w:spacing w:after="120"/>
      </w:pPr>
      <w:r>
        <w:rPr>
          <w:sz w:val="21"/>
          <w:szCs w:val="21"/>
        </w:rPr>
        <w:t xml:space="preserve">The review answers six questions that the project design depends on:</w:t>
      </w:r>
    </w:p>
    <w:p>
      <w:pPr>
        <w:pStyle w:val="ListParagraph"/>
        <w:numPr>
          <w:ilvl w:val="0"/>
          <w:numId w:val="2"/>
        </w:numPr>
        <w:spacing w:after="60"/>
      </w:pPr>
      <w:r>
        <w:rPr>
          <w:b/>
          <w:bCs/>
          <w:sz w:val="21"/>
          <w:szCs w:val="21"/>
        </w:rPr>
        <w:t xml:space="preserve">Q1. </w:t>
      </w:r>
      <w:r>
        <w:rPr>
          <w:sz w:val="21"/>
          <w:szCs w:val="21"/>
        </w:rPr>
        <w:t xml:space="preserve">How large is the gap between laboratory and field photos, and what causes it?</w:t>
      </w:r>
    </w:p>
    <w:p>
      <w:pPr>
        <w:pStyle w:val="ListParagraph"/>
        <w:numPr>
          <w:ilvl w:val="0"/>
          <w:numId w:val="2"/>
        </w:numPr>
        <w:spacing w:after="60"/>
      </w:pPr>
      <w:r>
        <w:rPr>
          <w:b/>
          <w:bCs/>
          <w:sz w:val="21"/>
          <w:szCs w:val="21"/>
        </w:rPr>
        <w:t xml:space="preserve">Q2. </w:t>
      </w:r>
      <w:r>
        <w:rPr>
          <w:sz w:val="21"/>
          <w:szCs w:val="21"/>
        </w:rPr>
        <w:t xml:space="preserve">Which image models are a sensible baseline and what do they cost to run?</w:t>
      </w:r>
    </w:p>
    <w:p>
      <w:pPr>
        <w:pStyle w:val="ListParagraph"/>
        <w:numPr>
          <w:ilvl w:val="0"/>
          <w:numId w:val="2"/>
        </w:numPr>
        <w:spacing w:after="60"/>
      </w:pPr>
      <w:r>
        <w:rPr>
          <w:b/>
          <w:bCs/>
          <w:sz w:val="21"/>
          <w:szCs w:val="21"/>
        </w:rPr>
        <w:t xml:space="preserve">Q3. </w:t>
      </w:r>
      <w:r>
        <w:rPr>
          <w:sz w:val="21"/>
          <w:szCs w:val="21"/>
        </w:rPr>
        <w:t xml:space="preserve">How can a system show how far to trust a diagnosis: confidence, heatmap, rejection of bad input?</w:t>
      </w:r>
    </w:p>
    <w:p>
      <w:pPr>
        <w:pStyle w:val="ListParagraph"/>
        <w:numPr>
          <w:ilvl w:val="0"/>
          <w:numId w:val="2"/>
        </w:numPr>
        <w:spacing w:after="60"/>
      </w:pPr>
      <w:r>
        <w:rPr>
          <w:b/>
          <w:bCs/>
          <w:sz w:val="21"/>
          <w:szCs w:val="21"/>
        </w:rPr>
        <w:t xml:space="preserve">Q4. </w:t>
      </w:r>
      <w:r>
        <w:rPr>
          <w:sz w:val="21"/>
          <w:szCs w:val="21"/>
        </w:rPr>
        <w:t xml:space="preserve">How is grounded advice generated and evaluated (retrieval-augmented generation, hallucination)?</w:t>
      </w:r>
    </w:p>
    <w:p>
      <w:pPr>
        <w:pStyle w:val="ListParagraph"/>
        <w:numPr>
          <w:ilvl w:val="0"/>
          <w:numId w:val="2"/>
        </w:numPr>
        <w:spacing w:after="60"/>
      </w:pPr>
      <w:r>
        <w:rPr>
          <w:b/>
          <w:bCs/>
          <w:sz w:val="21"/>
          <w:szCs w:val="21"/>
        </w:rPr>
        <w:t xml:space="preserve">Q5. </w:t>
      </w:r>
      <w:r>
        <w:rPr>
          <w:sz w:val="21"/>
          <w:szCs w:val="21"/>
        </w:rPr>
        <w:t xml:space="preserve">What exists for Kazakh and Russian in language models and retrieval?</w:t>
      </w:r>
    </w:p>
    <w:p>
      <w:pPr>
        <w:pStyle w:val="ListParagraph"/>
        <w:numPr>
          <w:ilvl w:val="0"/>
          <w:numId w:val="2"/>
        </w:numPr>
        <w:spacing w:after="60"/>
      </w:pPr>
      <w:r>
        <w:rPr>
          <w:b/>
          <w:bCs/>
          <w:sz w:val="21"/>
          <w:szCs w:val="21"/>
        </w:rPr>
        <w:t xml:space="preserve">Q6. </w:t>
      </w:r>
      <w:r>
        <w:rPr>
          <w:sz w:val="21"/>
          <w:szCs w:val="21"/>
        </w:rPr>
        <w:t xml:space="preserve">What do existing applications and safety rules for pesticide advice require?</w:t>
      </w:r>
    </w:p>
    <w:p>
      <w:pPr>
        <w:keepNext/>
        <w:spacing w:after="120"/>
      </w:pPr>
      <w:r>
        <w:rPr>
          <w:sz w:val="21"/>
          <w:szCs w:val="21"/>
        </w:rPr>
        <w:t xml:space="preserve">Method and limits:</w:t>
      </w:r>
    </w:p>
    <w:p>
      <w:pPr>
        <w:pStyle w:val="ListParagraph"/>
        <w:numPr>
          <w:ilvl w:val="0"/>
          <w:numId w:val="2"/>
        </w:numPr>
        <w:spacing w:after="60"/>
      </w:pPr>
      <w:r>
        <w:rPr>
          <w:sz w:val="21"/>
          <w:szCs w:val="21"/>
        </w:rPr>
        <w:t xml:space="preserve">The review is not a systematic review. Sources were found by web search and by following references, then kept if they answer one of the questions above. Searches were made on 20 October 2026.</w:t>
      </w:r>
    </w:p>
    <w:p>
      <w:pPr>
        <w:pStyle w:val="ListParagraph"/>
        <w:numPr>
          <w:ilvl w:val="0"/>
          <w:numId w:val="2"/>
        </w:numPr>
        <w:spacing w:after="60"/>
      </w:pPr>
      <w:r>
        <w:rPr>
          <w:sz w:val="21"/>
          <w:szCs w:val="21"/>
        </w:rPr>
        <w:t xml:space="preserve">Selection: 15 of the 28 sources are from 2021 to 2026 (the core body). 13 are older foundational works that the project uses directly (datasets, architectures, methods) or that give a key benchmark.</w:t>
      </w:r>
    </w:p>
    <w:p>
      <w:pPr>
        <w:pStyle w:val="ListParagraph"/>
        <w:numPr>
          <w:ilvl w:val="0"/>
          <w:numId w:val="2"/>
        </w:numPr>
        <w:spacing w:after="60"/>
      </w:pPr>
      <w:r>
        <w:rPr>
          <w:sz w:val="21"/>
          <w:szCs w:val="21"/>
        </w:rPr>
        <w:t xml:space="preserve">28 sources: 12 peer-reviewed papers, 15 arXiv preprints (marked "preprint") and 1 international standard. Preprints are used for architectures and methods that are standard in the field, and for the newest results; their findings are treated with more caution.</w:t>
      </w:r>
    </w:p>
    <w:p>
      <w:pPr>
        <w:pStyle w:val="ListParagraph"/>
        <w:numPr>
          <w:ilvl w:val="0"/>
          <w:numId w:val="2"/>
        </w:numPr>
        <w:spacing w:after="60"/>
      </w:pPr>
      <w:r>
        <w:rPr>
          <w:sz w:val="21"/>
          <w:szCs w:val="21"/>
        </w:rPr>
        <w:t xml:space="preserve">Findings and numbers are taken from the abstract or the full page of each source and are given as the authors report them. Where a statement is our own reading, it is marked "our reading".</w:t>
      </w:r>
    </w:p>
    <w:p>
      <w:pPr>
        <w:pStyle w:val="ListParagraph"/>
        <w:numPr>
          <w:ilvl w:val="0"/>
          <w:numId w:val="2"/>
        </w:numPr>
        <w:spacing w:after="60"/>
      </w:pPr>
      <w:r>
        <w:rPr>
          <w:sz w:val="21"/>
          <w:szCs w:val="21"/>
        </w:rPr>
        <w:t xml:space="preserve">The agronomic sources for the knowledge base of the recommendation module (FR-34) are selected in that work and are not part of this review.</w:t>
      </w:r>
    </w:p>
    <w:p>
      <w:pPr>
        <w:pStyle w:val="Heading1"/>
        <w:keepNext/>
        <w:pageBreakBefore/>
        <w:spacing w:after="140" w:before="280"/>
      </w:pPr>
      <w:r>
        <w:t xml:space="preserve">2. Analysis of sources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560"/>
        <w:gridCol w:w="3500"/>
        <w:gridCol w:w="1250"/>
        <w:gridCol w:w="5600"/>
        <w:gridCol w:w="4128"/>
      </w:tblGrid>
      <w:tr>
        <w:trPr>
          <w:tblHeader/>
        </w:trPr>
        <w:tc>
          <w:tcPr>
            <w:tcW w:type="dxa" w:w="56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7"/>
                <w:szCs w:val="17"/>
              </w:rPr>
              <w:t xml:space="preserve">No.</w:t>
            </w:r>
          </w:p>
        </w:tc>
        <w:tc>
          <w:tcPr>
            <w:tcW w:type="dxa" w:w="35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7"/>
                <w:szCs w:val="17"/>
              </w:rPr>
              <w:t xml:space="preserve">Source</w:t>
            </w:r>
          </w:p>
        </w:tc>
        <w:tc>
          <w:tcPr>
            <w:tcW w:type="dxa" w:w="125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7"/>
                <w:szCs w:val="17"/>
              </w:rPr>
              <w:t xml:space="preserve">Type</w:t>
            </w:r>
          </w:p>
        </w:tc>
        <w:tc>
          <w:tcPr>
            <w:tcW w:type="dxa" w:w="56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7"/>
                <w:szCs w:val="17"/>
              </w:rPr>
              <w:t xml:space="preserve">What it contributes</w:t>
            </w:r>
          </w:p>
        </w:tc>
        <w:tc>
          <w:tcPr>
            <w:tcW w:type="dxa" w:w="412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7"/>
                <w:szCs w:val="17"/>
              </w:rPr>
              <w:t xml:space="preserve">Limitation for this project</w:t>
            </w:r>
          </w:p>
        </w:tc>
      </w:tr>
      <w:tr>
        <w:trPr>
          <w:cantSplit/>
        </w:trPr>
        <w:tc>
          <w:tcPr>
            <w:tcW w:type="dxa" w:w="15038"/>
            <w:gridSpan w:val="5"/>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pPr>
            <w:r>
              <w:rPr>
                <w:b/>
                <w:bCs/>
                <w:sz w:val="17"/>
                <w:szCs w:val="17"/>
              </w:rPr>
              <w:t xml:space="preserve">A. Problem, datasets and the laboratory-field gap</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[1]</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Savary S., Willocquet L., Pethybridge S.J., Esker P., McRoberts N., Nelson A. The global burden of pathogens and pests on major food crops. Nature Ecology &amp; Evolution 3, 2019</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Paper</w:t>
            </w:r>
          </w:p>
        </w:tc>
        <w:tc>
          <w:tcPr>
            <w:tcW w:type="dxa" w:w="5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Quantifies the global burden of pathogens and pests on major food crops. Supports the motivation: disease losses are a food-security problem.</w:t>
            </w:r>
          </w:p>
        </w:tc>
        <w:tc>
          <w:tcPr>
            <w:tcW w:type="dxa" w:w="41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Not about detection tools. Loss figures are not used in the project documents.</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[2]</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Hughes D.P., Salathé M. An open access repository of images on plant health to enable the development of mobile disease diagnostics. arXiv:1511.08060, 2015</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Preprint</w:t>
            </w:r>
          </w:p>
        </w:tc>
        <w:tc>
          <w:tcPr>
            <w:tcW w:type="dxa" w:w="5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Source of PlantVillage: over 50,000 expertly curated images of healthy and infected crop leaves.</w:t>
            </w:r>
          </w:p>
        </w:tc>
        <w:tc>
          <w:tcPr>
            <w:tcW w:type="dxa" w:w="41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Images were taken under controlled conditions [3][5].</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[3]</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Mohanty S.P., Hughes D.P., Salathé M. Using deep learning for image-based plant disease detection. Frontiers in Plant Science 7, 1419, 2016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Paper</w:t>
            </w:r>
          </w:p>
        </w:tc>
        <w:tc>
          <w:tcPr>
            <w:tcW w:type="dxa" w:w="5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54,306 images, 38 crop-disease classes (14 crops, 26 diseases). 99.35% accuracy on a held-out test set, but only about 31.4% on images from other sources with different conditions.</w:t>
            </w:r>
          </w:p>
        </w:tc>
        <w:tc>
          <w:tcPr>
            <w:tcW w:type="dxa" w:w="41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The field-like test sets were small and from online sources. Early result, but the size of the drop is the basic argument for field evaluation.</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[4]</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Singh D., Jain N., Jain P., Kayal P., Kumawat S., Batra N. PlantDoc: a dataset for visual plant disease detection. CoDS COMAD 2020, pp. 249-253</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Paper</w:t>
            </w:r>
          </w:p>
        </w:tc>
        <w:tc>
          <w:tcPr>
            <w:tcW w:type="dxa" w:w="5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Dataset of plant disease images for detection, used in this project as part of the field test set (classes shared with PlantVillage).</w:t>
            </w:r>
          </w:p>
        </w:tc>
        <w:tc>
          <w:tcPr>
            <w:tcW w:type="dxa" w:w="41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Criticised in [6] for including laboratory images and lacking expert annotation, so labels need a check.</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[5]</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Noyan M.A. Uncovering bias in the PlantVillage dataset. arXiv:2206.04374, 2022</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Preprint</w:t>
            </w:r>
          </w:p>
        </w:tc>
        <w:tc>
          <w:tcPr>
            <w:tcW w:type="dxa" w:w="5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A model trained on only eight pixels of the image background reached 49.0% accuracy against 2.6% chance level: background correlates with the label.</w:t>
            </w:r>
          </w:p>
        </w:tc>
        <w:tc>
          <w:tcPr>
            <w:tcW w:type="dxa" w:w="41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Single author, not peer-reviewed. Does not test field photos. Our reading: high PlantVillage accuracy can come from the background, so a leakage-free split and a field set are needed.</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[6]</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Moupojou E., Tagne A., Retraint F., Tadonkemwa A., Wilfried D., Tapamo H., Nkenlifack M. FieldPlant: a dataset of field plant images for plant disease detection and classification with deep learning. IEEE Access 11, 35398-35410, 2023</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Paper</w:t>
            </w:r>
          </w:p>
        </w:tc>
        <w:tc>
          <w:tcPr>
            <w:tcW w:type="dxa" w:w="5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Field dataset: 5,170 images, 8,629 annotated leaves, 27 disease classes, annotation supervised by plant pathologists. Classification results were better on FieldPlant than on PlantDoc.</w:t>
            </w:r>
          </w:p>
        </w:tc>
        <w:tc>
          <w:tcPr>
            <w:tcW w:type="dxa" w:w="41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Overlap of its classes with the 38 PlantVillage classes was not checked, so it may not be usable for our field test.</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[7]</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Ahmad A., El Gamal A., Saraswat D. Toward generalization of deep learning-based plant disease identification under controlled and field conditions. IEEE Access 11, 9042-9057, 2023</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Paper</w:t>
            </w:r>
          </w:p>
        </w:tc>
        <w:tc>
          <w:tcPr>
            <w:tcW w:type="dxa" w:w="5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Five corn disease datasets and five architectures in four experiments. Best generalization accuracy 81.60% (DenseNet169, backgrounds removed). PlantVillage combined with field images gave 77.50% to 80.33%. Removing backgrounds or mixing laboratory and field data improved generalization.</w:t>
            </w:r>
          </w:p>
        </w:tc>
        <w:tc>
          <w:tcPr>
            <w:tcW w:type="dxa" w:w="41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One crop (corn). Gives an idea of the achievable level and of mitigation, not a number for our classes.</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[8]</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Yang S., Feng Q., Zhang J., Yang W., Zhou W., Yan W. From laboratory to field: cross-domain few-shot learning for crop disease identification in the field. Frontiers in Plant Science 15, 1434222, 2024</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Paper</w:t>
            </w:r>
          </w:p>
        </w:tc>
        <w:tc>
          <w:tcPr>
            <w:tcW w:type="dxa" w:w="5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Transfer from PlantVillage to a field dataset (5-way tasks): the best method reached 62.46% (1-shot) and 77.42% (5-shot). The authors state that accuracy drops sharply from laboratory to field and attribute the weak PlantVillage transfer to its fixed backgrounds.</w:t>
            </w:r>
          </w:p>
        </w:tc>
        <w:tc>
          <w:tcPr>
            <w:tcW w:type="dxa" w:w="41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Few-shot setting, not the ordinary training we plan.</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[9]</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Benabbas W., Brahimi M., Akhrouf S., Fortas B. Rethinking plant disease diagnosis: bridging the academic-practical gap with vision transformers and zero-shot learning. arXiv:2511.18989, 2025</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Preprint</w:t>
            </w:r>
          </w:p>
        </w:tc>
        <w:tc>
          <w:tcPr>
            <w:tcW w:type="dxa" w:w="5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Models trained on PlantVillage potato images and tested on 945 field images: macro-F1 30.15% (ResNet50) and 33.71% (EfficientNet-B0), against 61.41% for ViT-B-16 and 66.29% for zero-shot CLIP ViT-B-16.</w:t>
            </w:r>
          </w:p>
        </w:tc>
        <w:tc>
          <w:tcPr>
            <w:tcW w:type="dxa" w:w="41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Preprint, one crop, few classes. Our baselines are CNNs of the same kind, so a large gap is to be expected.</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[10]</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Liu J., Wang X. Plant diseases and pests detection based on deep learning: a review. Plant Methods 17, 22, 2021</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Paper (review)</w:t>
            </w:r>
          </w:p>
        </w:tc>
        <w:tc>
          <w:tcPr>
            <w:tcW w:type="dxa" w:w="5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Groups methods into classification, detection and segmentation. Names the main problems: small datasets, complex field backgrounds, changing light and occlusion, heavy models on mobile devices. Future work: real-field datasets, interpretability, lightweight models, combining agronomic knowledge with deep learning.</w:t>
            </w:r>
          </w:p>
        </w:tc>
        <w:tc>
          <w:tcPr>
            <w:tcW w:type="dxa" w:w="41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Describes problems in general; no system with treatment advice.</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[11]</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Mrisho L.M., Mbilinyi N.A., Ndalahwa M., Ramcharan A.M., Kehs A.K., McCloskey P.C., Murithi H., Hughes D.P., Legg J.P. Accuracy of a smartphone-based object detection model, PlantVillage Nuru, in identifying the foliar symptoms of the viral diseases of cassava. Frontiers in Plant Science 11, 2020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Paper</w:t>
            </w:r>
          </w:p>
        </w:tc>
        <w:tc>
          <w:tcPr>
            <w:tcW w:type="dxa" w:w="5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Field test compared with experts: with one leaf 49% (mosaic 59%, brown streak 21%, green mite damage 56%); with six leaves 93%, 73% and 93%.</w:t>
            </w:r>
          </w:p>
        </w:tc>
        <w:tc>
          <w:tcPr>
            <w:tcW w:type="dxa" w:w="41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Cassava only. Shows that field accuracy depends on how the photo is taken.</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[12]</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Siddiqua A., Kabir M.A., Ferdous T., Ali I.B., Weston L.A. Evaluating plant disease detection mobile applications: quality and limitations. arXiv:2208.02446, 2022</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Preprint</w:t>
            </w:r>
          </w:p>
        </w:tc>
        <w:tc>
          <w:tcPr>
            <w:tcW w:type="dxa" w:w="5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Review of 17 apps: none met all required functions; only one visualised infected areas; the paper does not report confidence scores and recommends that apps show the likelihood of each disease; six needed constant internet; most were not multilingual.</w:t>
            </w:r>
          </w:p>
        </w:tc>
        <w:tc>
          <w:tcPr>
            <w:tcW w:type="dxa" w:w="41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Did not measure accuracy. Apps may have changed since 2022 (see the comparison of existing systems).</w:t>
            </w:r>
          </w:p>
        </w:tc>
      </w:tr>
      <w:tr>
        <w:trPr>
          <w:cantSplit/>
        </w:trPr>
        <w:tc>
          <w:tcPr>
            <w:tcW w:type="dxa" w:w="15038"/>
            <w:gridSpan w:val="5"/>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pPr>
            <w:r>
              <w:rPr>
                <w:b/>
                <w:bCs/>
                <w:sz w:val="17"/>
                <w:szCs w:val="17"/>
              </w:rPr>
              <w:t xml:space="preserve">B. Image models</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[13]</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He K., Zhang X., Ren S., Sun J. Deep residual learning for image recognition. arXiv:1512.03385, 2015</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Preprint</w:t>
            </w:r>
          </w:p>
        </w:tc>
        <w:tc>
          <w:tcPr>
            <w:tcW w:type="dxa" w:w="5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Residual networks. ResNet50 is the baseline of the project.</w:t>
            </w:r>
          </w:p>
        </w:tc>
        <w:tc>
          <w:tcPr>
            <w:tcW w:type="dxa" w:w="41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Designed for ImageNet, not for plants.</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[14]</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Tan M., Le Q.V. EfficientNet: rethinking model scaling for convolutional neural networks. arXiv:1905.11946, 2019</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Preprint</w:t>
            </w:r>
          </w:p>
        </w:tc>
        <w:tc>
          <w:tcPr>
            <w:tcW w:type="dxa" w:w="5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Family of models obtained by scaling depth, width and resolution together. EfficientNet-B0 is the second candidate.</w:t>
            </w:r>
          </w:p>
        </w:tc>
        <w:tc>
          <w:tcPr>
            <w:tcW w:type="dxa" w:w="41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ImageNet results; CPU speed for our size must be measured (NFR-01, DR-08).</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[15]</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Howard A., Sandler M., Chu G., Chen L.-C., Chen B., Tan M., Wang W., Zhu Y., Pang R., Vasudevan V., Le Q.V., Adam H. Searching for MobileNetV3. arXiv:1905.02244, 2019</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Preprint</w:t>
            </w:r>
          </w:p>
        </w:tc>
        <w:tc>
          <w:tcPr>
            <w:tcW w:type="dxa" w:w="5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Efficient architecture for mobile devices. MobileNetV3 is the third candidate and the lightest one.</w:t>
            </w:r>
          </w:p>
        </w:tc>
        <w:tc>
          <w:tcPr>
            <w:tcW w:type="dxa" w:w="41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Smaller models can lose accuracy on hard field photos; measured in DR-02.</w:t>
            </w:r>
          </w:p>
        </w:tc>
      </w:tr>
      <w:tr>
        <w:trPr>
          <w:cantSplit/>
        </w:trPr>
        <w:tc>
          <w:tcPr>
            <w:tcW w:type="dxa" w:w="15038"/>
            <w:gridSpan w:val="5"/>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pPr>
            <w:r>
              <w:rPr>
                <w:b/>
                <w:bCs/>
                <w:sz w:val="17"/>
                <w:szCs w:val="17"/>
              </w:rPr>
              <w:t xml:space="preserve">C. Trust in the result: explanation, calibration, rejection</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[16]</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Selvaraju R.R., Cogswell M., Das A., Vedantam R., Parikh D., Batra D. Grad-CAM: visual explanations from deep networks via gradient-based localization. International Journal of Computer Vision 128(2), 336-359, 2020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Paper</w:t>
            </w:r>
          </w:p>
        </w:tc>
        <w:tc>
          <w:tcPr>
            <w:tcW w:type="dxa" w:w="5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Method that highlights the image regions that influenced a prediction. Used for the heatmap (FR-11).</w:t>
            </w:r>
          </w:p>
        </w:tc>
        <w:tc>
          <w:tcPr>
            <w:tcW w:type="dxa" w:w="41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Our reading: shows where the model looked, not that the diagnosis is right. Needs gradients, so it runs in PyTorch while predictions run in ONNX Runtime.</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[17]</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Guo C., Pleiss G., Sun Y., Weinberger K.Q. On calibration of modern neural networks. arXiv:1706.04599, 2017 (ICML 2017 according to the arXiv comments)</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Preprint</w:t>
            </w:r>
          </w:p>
        </w:tc>
        <w:tc>
          <w:tcPr>
            <w:tcW w:type="dxa" w:w="5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Modern networks give probabilities that do not match how often they are correct; temperature scaling usually corrects this.</w:t>
            </w:r>
          </w:p>
        </w:tc>
        <w:tc>
          <w:tcPr>
            <w:tcW w:type="dxa" w:w="41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General image tasks. Calibration on our data must be measured (ECE, DR-06).</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[18]</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Hendrycks D., Gimpel K. A baseline for detecting misclassified and out-of-distribution examples in neural networks. arXiv:1610.02136, 2016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Preprint</w:t>
            </w:r>
          </w:p>
        </w:tc>
        <w:tc>
          <w:tcPr>
            <w:tcW w:type="dxa" w:w="5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Correctly classified inputs tend to get a higher maximum softmax probability than misclassified and out-of-distribution inputs, so this score is a baseline for rejection.</w:t>
            </w:r>
          </w:p>
        </w:tc>
        <w:tc>
          <w:tcPr>
            <w:tcW w:type="dxa" w:w="41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It is only a baseline. Non-leaf photos must be tested separately (DR-09).</w:t>
            </w:r>
          </w:p>
        </w:tc>
      </w:tr>
      <w:tr>
        <w:trPr>
          <w:cantSplit/>
        </w:trPr>
        <w:tc>
          <w:tcPr>
            <w:tcW w:type="dxa" w:w="15038"/>
            <w:gridSpan w:val="5"/>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pPr>
            <w:r>
              <w:rPr>
                <w:b/>
                <w:bCs/>
                <w:sz w:val="17"/>
                <w:szCs w:val="17"/>
              </w:rPr>
              <w:t xml:space="preserve">D. Grounded advice: retrieval-augmented generation</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[19]</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Lewis P., Perez E., Piktus A., Petroni F., Karpukhin V., Goyal N., Küttler H., Lewis M., Yih W., Rocktäschel T., Riedel S., Kiela D. Retrieval-augmented generation for knowledge-intensive NLP tasks. arXiv:2005.11401, 2020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Preprint</w:t>
            </w:r>
          </w:p>
        </w:tc>
        <w:tc>
          <w:tcPr>
            <w:tcW w:type="dxa" w:w="5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Combines a text generator with a searchable dense index; more factual and specific output than a model without retrieval.</w:t>
            </w:r>
          </w:p>
        </w:tc>
        <w:tc>
          <w:tcPr>
            <w:tcW w:type="dxa" w:w="41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Evaluated on Wikipedia-based language tasks, not on agronomy.</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[20]</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Gao Y., Xiong Y., Gao X., Jia K., Pan J., Bi Y., Dai Y., Sun J., Wang M., Wang H. Retrieval-augmented generation for large language models: a survey. arXiv:2312.10997, 2023</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Preprint (survey)</w:t>
            </w:r>
          </w:p>
        </w:tc>
        <w:tc>
          <w:tcPr>
            <w:tcW w:type="dxa" w:w="5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Describes naive, advanced and modular RAG, the retrieval, generation and augmentation components, evaluation methods and open problems.</w:t>
            </w:r>
          </w:p>
        </w:tc>
        <w:tc>
          <w:tcPr>
            <w:tcW w:type="dxa" w:w="41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General survey; no plant domain.</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[21]</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Es S., James J., Espinosa-Anke L., Schockaert S. Ragas: automated evaluation of retrieval augmented generation. arXiv:2309.15217, 2023</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Preprint</w:t>
            </w:r>
          </w:p>
        </w:tc>
        <w:tc>
          <w:tcPr>
            <w:tcW w:type="dxa" w:w="5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Metrics for the retrieval part, for how well the model uses the retrieved passages, and for the quality of the answer, without human-labelled ground truth.</w:t>
            </w:r>
          </w:p>
        </w:tc>
        <w:tc>
          <w:tcPr>
            <w:tcW w:type="dxa" w:w="41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Automatic metrics must be checked against manual review before they are trusted (DR-11).</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[22]</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Ji Z., Lee N., Frieske R., Yu T., Su D., Xu Y., Ishii E., Bang Y.J., Madotto A., Fung P. Survey of hallucination in natural language generation. ACM Computing Surveys 55(12), 2023</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Paper (survey)</w:t>
            </w:r>
          </w:p>
        </w:tc>
        <w:tc>
          <w:tcPr>
            <w:tcW w:type="dxa" w:w="5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Surveys how and why generated text contains unsupported statements. Motivates references for every statement and a refusal when no source is found (FR-14 to FR-16).</w:t>
            </w:r>
          </w:p>
        </w:tc>
        <w:tc>
          <w:tcPr>
            <w:tcW w:type="dxa" w:w="41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Not specific to agronomy.</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[23]</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Wu H., Xie N., Wang X., Fan J., Li Y., Meng Z. Crop GraphRAG: pest and disease knowledge base Q&amp;A system for sustainable crop protection. Frontiers in Plant Science 16, 1696872 (published 5 January 2026)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Paper</w:t>
            </w:r>
          </w:p>
        </w:tc>
        <w:tc>
          <w:tcPr>
            <w:tcW w:type="dxa" w:w="5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Knowledge graph built from over 3,000 Chinese documents (more than 20,000 entities, 96 crops) with Qwen3-30B. Accuracy 89.4% against 72.6% for naive RAG on more than 200 questions; slower (4.5 s against 3.2 s). Reports traceability as one of the scored criteria.</w:t>
            </w:r>
          </w:p>
        </w:tc>
        <w:tc>
          <w:tcPr>
            <w:tcW w:type="dxa" w:w="41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Chinese text, text questions only (no photo), comparative scores come from an LLM judge, no Kazakh or Russian.</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[24]</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Hossain M.A., Subhan N., Mahi M.R., Nabila J.F. Cost-efficient cross-lingual retrieval-augmented generation for low-resource languages: a case study in Bengali agricultural advisory. arXiv:2601.02065, 2026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Preprint</w:t>
            </w:r>
          </w:p>
        </w:tc>
        <w:tc>
          <w:tcPr>
            <w:tcW w:type="dxa" w:w="5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Bengali questions are translated into English, answered from an English corpus of FAO and IRRI manuals with dense retrieval, and translated back. Open-source models on consumer hardware, latency below 20 seconds, source-grounded answers, rejection of out-of-domain questions.</w:t>
            </w:r>
          </w:p>
        </w:tc>
        <w:tc>
          <w:tcPr>
            <w:tcW w:type="dxa" w:w="41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Preprint; the page gives no retrieval or translation scores. A translation chain can add errors.</w:t>
            </w:r>
          </w:p>
        </w:tc>
      </w:tr>
      <w:tr>
        <w:trPr>
          <w:cantSplit/>
        </w:trPr>
        <w:tc>
          <w:tcPr>
            <w:tcW w:type="dxa" w:w="15038"/>
            <w:gridSpan w:val="5"/>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pPr>
            <w:r>
              <w:rPr>
                <w:b/>
                <w:bCs/>
                <w:sz w:val="17"/>
                <w:szCs w:val="17"/>
              </w:rPr>
              <w:t xml:space="preserve">E. Kazakh and multilingual support</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[25]</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Chen J., Xiao S., Zhang P., Luo K., Lian D., Liu Z. M3-Embedding: multi-linguality, multi-functionality, multi-granularity text embeddings through self-knowledge distillation. arXiv:2402.03216, 2024</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Preprint</w:t>
            </w:r>
          </w:p>
        </w:tc>
        <w:tc>
          <w:tcPr>
            <w:tcW w:type="dxa" w:w="5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Embedding model with retrieval support for more than 100 working languages. A candidate for multilingual retrieval.</w:t>
            </w:r>
          </w:p>
        </w:tc>
        <w:tc>
          <w:tcPr>
            <w:tcW w:type="dxa" w:w="41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Support for Kazakh is not confirmed by the page read. It must be checked and tested (technology comparison).</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[26]</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Koto F. et al. (34 authors). Sherkala-Chat: building a state-of-the-art LLM for Kazakh in a moderately resourced setting. arXiv:2503.01493, 2025 (COLM 2025 according to the arXiv comments)</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Paper (conference)</w:t>
            </w:r>
          </w:p>
        </w:tc>
        <w:tc>
          <w:tcPr>
            <w:tcW w:type="dxa" w:w="5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Instruction-tuned 8B model built on LLaMA-3.1-8B and trained on 45.3B tokens in Kazakh, English, Russian and Turkish. It outperforms existing open Kazakh and multilingual models of similar size.</w:t>
            </w:r>
          </w:p>
        </w:tc>
        <w:tc>
          <w:tcPr>
            <w:tcW w:type="dxa" w:w="41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Licence, hosting cost and agricultural quality were not checked. General benchmarks, not agronomy.</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[27]</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Togmanov M., Mukhituly N., Turmakhan D., Mansurov J., Goloburda M., Sakip A., Xie Z., Wang Y., Syzdykov B., Laiyk N., Aji A.F., Kochmar E., Nakov P., Koto F. KazMMLU: evaluating language models on Kazakh, Russian, and regional knowledge of Kazakhstan. arXiv:2502.12829, 2025</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Preprint</w:t>
            </w:r>
          </w:p>
        </w:tc>
        <w:tc>
          <w:tcPr>
            <w:tcW w:type="dxa" w:w="5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Benchmark of 23,000 questions (10,969 Kazakh, 12,031 Russian) in STEM, humanities and social sciences, used to evaluate Llama-3.1, Qwen-2.5, GPT-4 and DeepSeek V3.</w:t>
            </w:r>
          </w:p>
        </w:tc>
        <w:tc>
          <w:tcPr>
            <w:tcW w:type="dxa" w:w="41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Not about agriculture. Shows how Kazakh quality of models is measured; advice quality is reviewed manually in this project.</w:t>
            </w:r>
          </w:p>
        </w:tc>
      </w:tr>
      <w:tr>
        <w:trPr>
          <w:cantSplit/>
        </w:trPr>
        <w:tc>
          <w:tcPr>
            <w:tcW w:type="dxa" w:w="15038"/>
            <w:gridSpan w:val="5"/>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pPr>
            <w:r>
              <w:rPr>
                <w:b/>
                <w:bCs/>
                <w:sz w:val="17"/>
                <w:szCs w:val="17"/>
              </w:rPr>
              <w:t xml:space="preserve">F. Safety of pesticide advice</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[28]</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FAO, WHO. The International Code of Conduct on Pesticide Management. Rome, 2014</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Standard</w:t>
            </w:r>
          </w:p>
        </w:tc>
        <w:tc>
          <w:tcPr>
            <w:tcW w:type="dxa" w:w="5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Labels follow FAO/WHO guidance (Art. 10). Information and instructions in an official national language (Art. 3.5.4). Clear educational material for farmers and advisers (Art. 3.7).</w:t>
            </w:r>
          </w:p>
        </w:tc>
        <w:tc>
          <w:tcPr>
            <w:tcW w:type="dxa" w:w="41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Addresses suppliers and governments, not software. Our reading: supports advice in the user's language, a disclaimer, and dosages only when a source states them (FR-17, FR-18).</w:t>
            </w:r>
          </w:p>
        </w:tc>
      </w:tr>
    </w:tbl>
    <w:p>
      <w:pPr>
        <w:pStyle w:val="Heading1"/>
        <w:keepNext/>
        <w:pageBreakBefore/>
        <w:spacing w:after="140" w:before="280"/>
      </w:pPr>
      <w:r>
        <w:t xml:space="preserve">3. Critical synthesis</w:t>
      </w:r>
    </w:p>
    <w:p>
      <w:pPr>
        <w:spacing w:after="120"/>
      </w:pPr>
      <w:r>
        <w:rPr>
          <w:b/>
          <w:bCs/>
          <w:sz w:val="21"/>
          <w:szCs w:val="21"/>
        </w:rPr>
        <w:t xml:space="preserve">The gap between laboratory and field is large and has two causes (Q1). </w:t>
      </w:r>
      <w:r>
        <w:rPr>
          <w:sz w:val="21"/>
          <w:szCs w:val="21"/>
        </w:rPr>
        <w:t xml:space="preserve">The authors of PlantVillage models reported 99.35% on a held-out set but about 31.4% on photos from other sources [3]. Later work finds the same pattern [8][9]. One cause is the data: PlantVillage backgrounds alone allow 49.0% accuracy [5], so a good score may partly measure the background. The other is the domain shift to cluttered, badly lit photos [10]. Field tests of deployed apps also show that results depend on how the photo is taken: 49% with one cassava leaf and up to 93% with six leaves [11]. The project therefore splits PlantVillage so that photos of one leaf never fall into different sets (DR-01), tests on PlantDoc and own field photos (DR-03, DR-04), uses background and lighting augmentation (DR-05), and reports the gap even when it is large (DR-06).</w:t>
      </w:r>
    </w:p>
    <w:p>
      <w:pPr>
        <w:spacing w:after="120"/>
      </w:pPr>
      <w:r>
        <w:rPr>
          <w:b/>
          <w:bCs/>
          <w:sz w:val="21"/>
          <w:szCs w:val="21"/>
        </w:rPr>
        <w:t xml:space="preserve">The CNN baselines may do poorly on field photos, and the literature disagrees on what helps (Q1, Q2). </w:t>
      </w:r>
      <w:r>
        <w:rPr>
          <w:sz w:val="21"/>
          <w:szCs w:val="21"/>
        </w:rPr>
        <w:t xml:space="preserve">In [9] ResNet50 and EfficientNet-B0 reached macro-F1 of about 30% to 34% on field images, while a vision transformer and zero-shot CLIP reached 61% and 66%. In [7] removing backgrounds or mixing laboratory and field photos helped corn models. These studies use different crops, class sets and metrics, so the numbers cannot be compared directly. Our reading: a large gap for ResNet50, EfficientNet-B0 and MobileNetV3 is likely, and the question whether a transformer or CLIP model should be added to the comparison is open (see section 5).</w:t>
      </w:r>
    </w:p>
    <w:p>
      <w:pPr>
        <w:spacing w:after="120"/>
      </w:pPr>
      <w:r>
        <w:rPr>
          <w:b/>
          <w:bCs/>
          <w:sz w:val="21"/>
          <w:szCs w:val="21"/>
        </w:rPr>
        <w:t xml:space="preserve">Confidence alone is not a safe signal (Q3). </w:t>
      </w:r>
      <w:r>
        <w:rPr>
          <w:sz w:val="21"/>
          <w:szCs w:val="21"/>
        </w:rPr>
        <w:t xml:space="preserve">Softmax probability is a usable baseline for spotting wrong and out-of-distribution inputs [18], but modern networks are poorly calibrated [17]. The project therefore measures calibration (ECE), tests the threshold of FR-08 on a set of non-leaf and blurred photos (DR-09), and does not treat the 70% value from the interviews as final. Grad-CAM [16] gives the user and the team a view of what the model looked at; because of the background bias [5], it is also a useful check that the model looks at the leaf.</w:t>
      </w:r>
    </w:p>
    <w:p>
      <w:pPr>
        <w:spacing w:after="120"/>
      </w:pPr>
      <w:r>
        <w:rPr>
          <w:b/>
          <w:bCs/>
          <w:sz w:val="21"/>
          <w:szCs w:val="21"/>
        </w:rPr>
        <w:t xml:space="preserve">Existing apps rarely show how they reach a result (Q3, Q6). </w:t>
      </w:r>
      <w:r>
        <w:rPr>
          <w:sz w:val="21"/>
          <w:szCs w:val="21"/>
        </w:rPr>
        <w:t xml:space="preserve">The independent review of 17 apps found only one that visualised infected areas, and it recommends that apps show the likelihood of each disease [12]. This agrees with our own test of three apps (see the comparison of existing systems), in which two apps named a wrong plant for a hand or a blurred leaf.</w:t>
      </w:r>
    </w:p>
    <w:p>
      <w:pPr>
        <w:spacing w:after="120"/>
      </w:pPr>
      <w:r>
        <w:rPr>
          <w:b/>
          <w:bCs/>
          <w:sz w:val="21"/>
          <w:szCs w:val="21"/>
        </w:rPr>
        <w:t xml:space="preserve">Retrieval improves factual advice, but it must be measured (Q4). </w:t>
      </w:r>
      <w:r>
        <w:rPr>
          <w:sz w:val="21"/>
          <w:szCs w:val="21"/>
        </w:rPr>
        <w:t xml:space="preserve">RAG was introduced to give generators access to a searchable knowledge source [19] and has since grown into a family of designs [20]. In crop protection, a knowledge-graph RAG answered more questions correctly than naive RAG (89.4% against 72.6%) but was slower, and its comparative scores came from an LLM judge [23]. Language models still produce unsupported statements [22]. For this project it means: a plain RAG on pgvector is the starting point (naive RAG in the terms of [20]); every item must carry a reference (FR-14, FR-15); with no relevant passage the system says so (FR-16); and quality is measured with retrieval and faithfulness metrics [21] checked by manual review (DR-11), compared with a lookup table.</w:t>
      </w:r>
    </w:p>
    <w:p>
      <w:pPr>
        <w:spacing w:after="120"/>
      </w:pPr>
      <w:r>
        <w:rPr>
          <w:b/>
          <w:bCs/>
          <w:sz w:val="21"/>
          <w:szCs w:val="21"/>
        </w:rPr>
        <w:t xml:space="preserve">Kazakh is possible but not free (Q5). </w:t>
      </w:r>
      <w:r>
        <w:rPr>
          <w:sz w:val="21"/>
          <w:szCs w:val="21"/>
        </w:rPr>
        <w:t xml:space="preserve">There are a multilingual retrieval model for more than 100 languages [25], an 8B Kazakh-capable instruction model [26] and a Kazakh-Russian benchmark [27]. A Bengali study shows another route for a low-resource language: translate the question, retrieve from an English corpus, translate back [24]. None of these works tests agricultural advice in Kazakh. Whether the chosen embedding model supports Kazakh, which generator is used, and whether to generate directly or through translation is decided in the technology comparison and tested with Kazakh-speaking team members (NFR-11, NFR-12).</w:t>
      </w:r>
    </w:p>
    <w:p>
      <w:pPr>
        <w:spacing w:after="120"/>
      </w:pPr>
      <w:r>
        <w:rPr>
          <w:b/>
          <w:bCs/>
          <w:sz w:val="21"/>
          <w:szCs w:val="21"/>
        </w:rPr>
        <w:t xml:space="preserve">Pesticide advice carries a safety duty (Q6). </w:t>
      </w:r>
      <w:r>
        <w:rPr>
          <w:sz w:val="21"/>
          <w:szCs w:val="21"/>
        </w:rPr>
        <w:t xml:space="preserve">The FAO/WHO code asks for instructions in an official national language and for clear material for farmers and advisers [28], and the bioengineer interview asked for safety warnings. Together with the hallucination risk [22], this is why dosages and safety intervals are shown only when the cited source states them and every answer carries a disclaimer (FR-17, FR-18).</w:t>
      </w:r>
    </w:p>
    <w:p>
      <w:pPr>
        <w:pStyle w:val="Heading1"/>
        <w:keepNext/>
        <w:spacing w:after="140" w:before="280"/>
      </w:pPr>
      <w:r>
        <w:t xml:space="preserve">4. Gaps and the response of the project</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900"/>
        <w:gridCol w:w="5200"/>
        <w:gridCol w:w="5938"/>
      </w:tblGrid>
      <w:tr>
        <w:trPr>
          <w:cantSplit/>
          <w:tblHeader/>
        </w:trPr>
        <w:tc>
          <w:tcPr>
            <w:tcW w:type="dxa" w:w="3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Gap in the sources reviewed</w:t>
            </w:r>
          </w:p>
        </w:tc>
        <w:tc>
          <w:tcPr>
            <w:tcW w:type="dxa" w:w="52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Evidence</w:t>
            </w:r>
          </w:p>
        </w:tc>
        <w:tc>
          <w:tcPr>
            <w:tcW w:type="dxa" w:w="59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Response of the project</w:t>
            </w:r>
          </w:p>
        </w:tc>
      </w:tr>
      <w:tr>
        <w:trPr>
          <w:cantSplit/>
        </w:trPr>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Models are evaluated on laboratory data or on one crop; the size of the field gap for a typical set of crops is not known</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[3][5][7][8][9][11]</w:t>
            </w:r>
          </w:p>
        </w:tc>
        <w:tc>
          <w:tcPr>
            <w:tcW w:type="dxa" w:w="59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Leakage-free split, field test set, report of the gap with the same metrics (DR-01, DR-03, DR-06)</w:t>
            </w:r>
          </w:p>
        </w:tc>
      </w:tr>
      <w:tr>
        <w:trPr>
          <w:cantSplit/>
        </w:trPr>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Field datasets exist but differ in classes and quality</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[4][6]</w:t>
            </w:r>
          </w:p>
        </w:tc>
        <w:tc>
          <w:tcPr>
            <w:tcW w:type="dxa" w:w="59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Use only classes shared with PlantVillage in the field set and check labels of PlantDoc photos (DR-03, DR-04)</w:t>
            </w:r>
          </w:p>
        </w:tc>
      </w:tr>
      <w:tr>
        <w:trPr>
          <w:cantSplit/>
        </w:trPr>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Classification papers stop at the label; rejection of non-leaf and blurred photos is evaluated rarely</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[10][12][18]</w:t>
            </w:r>
          </w:p>
        </w:tc>
        <w:tc>
          <w:tcPr>
            <w:tcW w:type="dxa" w:w="59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Rejection and a request for a new photo (FR-08 to FR-10) with its own evaluation (DR-09)</w:t>
            </w:r>
          </w:p>
        </w:tc>
      </w:tr>
      <w:tr>
        <w:trPr>
          <w:cantSplit/>
        </w:trPr>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Grounded advice has been built for text questions, not as a chain from a photo to cited advice, and not for Kazakh</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[23][24][26][27]</w:t>
            </w:r>
          </w:p>
        </w:tc>
        <w:tc>
          <w:tcPr>
            <w:tcW w:type="dxa" w:w="59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Photo to diagnosis to cited advice in kk, ru and en, evaluated with a lookup-table baseline (FR-13 to FR-16, DR-11)</w:t>
            </w:r>
          </w:p>
        </w:tc>
      </w:tr>
      <w:tr>
        <w:trPr>
          <w:cantSplit/>
        </w:trPr>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Reviews of apps do not measure accuracy or the quality of advice</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[12]</w:t>
            </w:r>
          </w:p>
        </w:tc>
        <w:tc>
          <w:tcPr>
            <w:tcW w:type="dxa" w:w="59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Hands-on test of three apps (comparison of existing systems) and an evaluation of our own system</w:t>
            </w:r>
          </w:p>
        </w:tc>
      </w:tr>
    </w:tbl>
    <w:p>
      <w:pPr>
        <w:pStyle w:val="Heading1"/>
        <w:keepNext/>
        <w:spacing w:after="140" w:before="280"/>
      </w:pPr>
      <w:r>
        <w:t xml:space="preserve">5. Consequences for the other documents</w:t>
      </w:r>
    </w:p>
    <w:p>
      <w:pPr>
        <w:keepNext/>
        <w:spacing w:after="120"/>
      </w:pPr>
      <w:r>
        <w:rPr>
          <w:sz w:val="21"/>
          <w:szCs w:val="21"/>
        </w:rPr>
        <w:t xml:space="preserve">Decisions that follow from the review.</w:t>
      </w:r>
    </w:p>
    <w:p>
      <w:pPr>
        <w:pStyle w:val="ListParagraph"/>
        <w:numPr>
          <w:ilvl w:val="0"/>
          <w:numId w:val="2"/>
        </w:numPr>
        <w:spacing w:after="60"/>
      </w:pPr>
      <w:r>
        <w:rPr>
          <w:b/>
          <w:bCs/>
          <w:sz w:val="21"/>
          <w:szCs w:val="21"/>
        </w:rPr>
        <w:t xml:space="preserve">Model comparison (proposal, objective 4; DR-02). </w:t>
      </w:r>
      <w:r>
        <w:rPr>
          <w:sz w:val="21"/>
          <w:szCs w:val="21"/>
        </w:rPr>
        <w:t xml:space="preserve">Decision of the team: the three CNNs (ResNet50, EfficientNet-B0, MobileNetV3) are kept, all fine-tuned from ImageNet weights and not trained from scratch, on PlantVillage and additional field datasets. Source [9] suggests that a vision transformer or CLIP model may do better on field photos; this is not tested in the main plan and is named as a limit.</w:t>
      </w:r>
    </w:p>
    <w:p>
      <w:pPr>
        <w:pStyle w:val="ListParagraph"/>
        <w:numPr>
          <w:ilvl w:val="0"/>
          <w:numId w:val="2"/>
        </w:numPr>
        <w:spacing w:after="60"/>
      </w:pPr>
      <w:r>
        <w:rPr>
          <w:b/>
          <w:bCs/>
          <w:sz w:val="21"/>
          <w:szCs w:val="21"/>
        </w:rPr>
        <w:t xml:space="preserve">Technology comparison. </w:t>
      </w:r>
      <w:r>
        <w:rPr>
          <w:sz w:val="21"/>
          <w:szCs w:val="21"/>
        </w:rPr>
        <w:t xml:space="preserve">State kk, ru and en as the languages. Check Kazakh support of the embedding model [25] and the licence and cost of the Kazakh-capable model [26] before choosing the language model provider.</w:t>
      </w:r>
    </w:p>
    <w:p>
      <w:pPr>
        <w:pStyle w:val="ListParagraph"/>
        <w:numPr>
          <w:ilvl w:val="0"/>
          <w:numId w:val="2"/>
        </w:numPr>
        <w:spacing w:after="60"/>
      </w:pPr>
      <w:r>
        <w:rPr>
          <w:b/>
          <w:bCs/>
          <w:sz w:val="21"/>
          <w:szCs w:val="21"/>
        </w:rPr>
        <w:t xml:space="preserve">Verification plan. </w:t>
      </w:r>
      <w:r>
        <w:rPr>
          <w:sz w:val="21"/>
          <w:szCs w:val="21"/>
        </w:rPr>
        <w:t xml:space="preserve">Include ECE [17], the background check with Grad-CAM [5][16], the non-leaf test set [18], and retrieval and faithfulness metrics checked by manual review [21].</w:t>
      </w:r>
    </w:p>
    <w:p>
      <w:pPr>
        <w:pStyle w:val="ListParagraph"/>
        <w:numPr>
          <w:ilvl w:val="0"/>
          <w:numId w:val="2"/>
        </w:numPr>
        <w:spacing w:after="60"/>
      </w:pPr>
      <w:r>
        <w:rPr>
          <w:b/>
          <w:bCs/>
          <w:sz w:val="21"/>
          <w:szCs w:val="21"/>
        </w:rPr>
        <w:t xml:space="preserve">Proposal. </w:t>
      </w:r>
      <w:r>
        <w:rPr>
          <w:sz w:val="21"/>
          <w:szCs w:val="21"/>
        </w:rPr>
        <w:t xml:space="preserve">Cite [3], [5] and [9] in the Problem section and in the description of the field evaluation.</w:t>
      </w:r>
    </w:p>
    <w:p>
      <w:pPr>
        <w:pStyle w:val="Heading1"/>
        <w:keepNext/>
        <w:spacing w:after="140" w:before="280"/>
      </w:pPr>
      <w:r>
        <w:t xml:space="preserve">6. Limits of this review</w:t>
      </w:r>
    </w:p>
    <w:p>
      <w:pPr>
        <w:pStyle w:val="ListParagraph"/>
        <w:numPr>
          <w:ilvl w:val="0"/>
          <w:numId w:val="2"/>
        </w:numPr>
        <w:spacing w:after="60"/>
      </w:pPr>
      <w:r>
        <w:rPr>
          <w:sz w:val="21"/>
          <w:szCs w:val="21"/>
        </w:rPr>
        <w:t xml:space="preserve">It is not a systematic review: the search was by web search and by references, on one date, and may have missed relevant work.</w:t>
      </w:r>
    </w:p>
    <w:p>
      <w:pPr>
        <w:pStyle w:val="ListParagraph"/>
        <w:numPr>
          <w:ilvl w:val="0"/>
          <w:numId w:val="2"/>
        </w:numPr>
        <w:spacing w:after="60"/>
      </w:pPr>
      <w:r>
        <w:rPr>
          <w:sz w:val="21"/>
          <w:szCs w:val="21"/>
        </w:rPr>
        <w:t xml:space="preserve">15 of the 28 sources are preprints. Their numbers are reported as the authors give them and have not been peer-reviewed.</w:t>
      </w:r>
    </w:p>
    <w:p>
      <w:pPr>
        <w:pStyle w:val="ListParagraph"/>
        <w:numPr>
          <w:ilvl w:val="0"/>
          <w:numId w:val="2"/>
        </w:numPr>
        <w:spacing w:after="60"/>
      </w:pPr>
      <w:r>
        <w:rPr>
          <w:sz w:val="21"/>
          <w:szCs w:val="21"/>
        </w:rPr>
        <w:t xml:space="preserve">Numbers from different studies use different crops, class sets and metrics and are not directly comparable.</w:t>
      </w:r>
    </w:p>
    <w:p>
      <w:pPr>
        <w:pStyle w:val="ListParagraph"/>
        <w:numPr>
          <w:ilvl w:val="0"/>
          <w:numId w:val="2"/>
        </w:numPr>
        <w:spacing w:after="60"/>
      </w:pPr>
      <w:r>
        <w:rPr>
          <w:sz w:val="21"/>
          <w:szCs w:val="21"/>
        </w:rPr>
        <w:t xml:space="preserve">Rice is not covered by PlantVillage, so the rice-specific literature that the interviews would call for is outside this review (see the scope in the proposal).</w:t>
      </w:r>
    </w:p>
    <w:p>
      <w:pPr>
        <w:pStyle w:val="ListParagraph"/>
        <w:numPr>
          <w:ilvl w:val="0"/>
          <w:numId w:val="2"/>
        </w:numPr>
        <w:spacing w:after="60"/>
      </w:pPr>
      <w:r>
        <w:rPr>
          <w:sz w:val="21"/>
          <w:szCs w:val="21"/>
        </w:rPr>
        <w:t xml:space="preserve">The review does not contain agronomic treatment sources; those are chosen for the knowledge base separately.</w:t>
      </w:r>
    </w:p>
    <w:p>
      <w:pPr>
        <w:pStyle w:val="ListParagraph"/>
        <w:numPr>
          <w:ilvl w:val="0"/>
          <w:numId w:val="2"/>
        </w:numPr>
        <w:spacing w:after="60"/>
      </w:pPr>
      <w:r>
        <w:rPr>
          <w:sz w:val="21"/>
          <w:szCs w:val="21"/>
        </w:rPr>
        <w:t xml:space="preserve">Training on several datasets makes class mapping and licences a risk: the classes of field datasets such as [6] must be mapped to the PlantVillage classes, and the field test set must stay out of training.</w:t>
      </w:r>
    </w:p>
    <w:p>
      <w:pPr>
        <w:pStyle w:val="Heading1"/>
        <w:keepNext/>
        <w:pageBreakBefore/>
        <w:spacing w:after="140" w:before="280"/>
      </w:pPr>
      <w:r>
        <w:t xml:space="preserve">7. Sources</w:t>
      </w:r>
    </w:p>
    <w:p>
      <w:pPr>
        <w:spacing w:after="70"/>
      </w:pPr>
      <w:r>
        <w:rPr>
          <w:sz w:val="19"/>
          <w:szCs w:val="19"/>
        </w:rPr>
        <w:t xml:space="preserve">[1] Savary S., Willocquet L., Pethybridge S.J., Esker P., McRoberts N., Nelson A. The global burden of pathogens and pests on major food crops. Nature Ecology &amp; Evolution, 3(3), 430-439, 2019. https://doi.org/10.1038/s41559-018-0793-y</w:t>
      </w:r>
    </w:p>
    <w:p>
      <w:pPr>
        <w:spacing w:after="70"/>
      </w:pPr>
      <w:r>
        <w:rPr>
          <w:sz w:val="19"/>
          <w:szCs w:val="19"/>
        </w:rPr>
        <w:t xml:space="preserve">[2] Hughes D.P., Salathé M. An open access repository of images on plant health to enable the development of mobile disease diagnostics. arXiv:1511.08060, 2015 (preprint). https://arxiv.org/abs/1511.08060</w:t>
      </w:r>
    </w:p>
    <w:p>
      <w:pPr>
        <w:spacing w:after="70"/>
      </w:pPr>
      <w:r>
        <w:rPr>
          <w:sz w:val="19"/>
          <w:szCs w:val="19"/>
        </w:rPr>
        <w:t xml:space="preserve">[3] Mohanty S.P., Hughes D.P., Salathé M. Using deep learning for image-based plant disease detection. Frontiers in Plant Science, 7, 1419, 2016. https://doi.org/10.3389/fpls.2016.01419</w:t>
      </w:r>
    </w:p>
    <w:p>
      <w:pPr>
        <w:spacing w:after="70"/>
      </w:pPr>
      <w:r>
        <w:rPr>
          <w:sz w:val="19"/>
          <w:szCs w:val="19"/>
        </w:rPr>
        <w:t xml:space="preserve">[4] Singh D., Jain N., Jain P., Kayal P., Kumawat S., Batra N. PlantDoc: a dataset for visual plant disease detection. Proceedings of the 7th ACM IKDD CoDS and 25th COMAD, pp. 249-253, 2020. https://doi.org/10.1145/3371158.3371196</w:t>
      </w:r>
    </w:p>
    <w:p>
      <w:pPr>
        <w:spacing w:after="70"/>
      </w:pPr>
      <w:r>
        <w:rPr>
          <w:sz w:val="19"/>
          <w:szCs w:val="19"/>
        </w:rPr>
        <w:t xml:space="preserve">[5] Noyan M.A. Uncovering bias in the PlantVillage dataset. arXiv:2206.04374, 2022 (preprint). https://arxiv.org/abs/2206.04374</w:t>
      </w:r>
    </w:p>
    <w:p>
      <w:pPr>
        <w:spacing w:after="70"/>
      </w:pPr>
      <w:r>
        <w:rPr>
          <w:sz w:val="19"/>
          <w:szCs w:val="19"/>
        </w:rPr>
        <w:t xml:space="preserve">[6] Moupojou E., Tagne A., Retraint F., Tadonkemwa A., Wilfried D., Tapamo H., Nkenlifack M. FieldPlant: a dataset of field plant images for plant disease detection and classification with deep learning. IEEE Access, 11, 35398-35410, 2023. https://doi.org/10.1109/ACCESS.2023.3263042</w:t>
      </w:r>
    </w:p>
    <w:p>
      <w:pPr>
        <w:spacing w:after="70"/>
      </w:pPr>
      <w:r>
        <w:rPr>
          <w:sz w:val="19"/>
          <w:szCs w:val="19"/>
        </w:rPr>
        <w:t xml:space="preserve">[7] Ahmad A., El Gamal A., Saraswat D. Toward generalization of deep learning-based plant disease identification under controlled and field conditions. IEEE Access, 11, 9042-9057, 2023. https://doi.org/10.1109/ACCESS.2023.3240100</w:t>
      </w:r>
    </w:p>
    <w:p>
      <w:pPr>
        <w:spacing w:after="70"/>
      </w:pPr>
      <w:r>
        <w:rPr>
          <w:sz w:val="19"/>
          <w:szCs w:val="19"/>
        </w:rPr>
        <w:t xml:space="preserve">[8] Yang S., Feng Q., Zhang J., Yang W., Zhou W., Yan W. From laboratory to field: cross-domain few-shot learning for crop disease identification in the field. Frontiers in Plant Science, 15, 1434222, 2024. https://doi.org/10.3389/fpls.2024.1434222</w:t>
      </w:r>
    </w:p>
    <w:p>
      <w:pPr>
        <w:spacing w:after="70"/>
      </w:pPr>
      <w:r>
        <w:rPr>
          <w:sz w:val="19"/>
          <w:szCs w:val="19"/>
        </w:rPr>
        <w:t xml:space="preserve">[9] Benabbas W., Brahimi M., Akhrouf S., Fortas B. Rethinking plant disease diagnosis: bridging the academic-practical gap with vision transformers and zero-shot learning. arXiv:2511.18989, 2025 (preprint). https://arxiv.org/abs/2511.18989</w:t>
      </w:r>
    </w:p>
    <w:p>
      <w:pPr>
        <w:spacing w:after="70"/>
      </w:pPr>
      <w:r>
        <w:rPr>
          <w:sz w:val="19"/>
          <w:szCs w:val="19"/>
        </w:rPr>
        <w:t xml:space="preserve">[10] Liu J., Wang X. Plant diseases and pests detection based on deep learning: a review. Plant Methods, 17, 22, 2021. https://doi.org/10.1186/s13007-021-00722-9</w:t>
      </w:r>
    </w:p>
    <w:p>
      <w:pPr>
        <w:spacing w:after="70"/>
      </w:pPr>
      <w:r>
        <w:rPr>
          <w:sz w:val="19"/>
          <w:szCs w:val="19"/>
        </w:rPr>
        <w:t xml:space="preserve">[11] Mrisho L.M., Mbilinyi N.A., Ndalahwa M., Ramcharan A.M., Kehs A.K., McCloskey P.C., Murithi H., Hughes D.P., Legg J.P. Accuracy of a smartphone-based object detection model, PlantVillage Nuru, in identifying the foliar symptoms of the viral diseases of cassava: CMD and CBSD. Frontiers in Plant Science, 11, 2020. https://doi.org/10.3389/fpls.2020.590889</w:t>
      </w:r>
    </w:p>
    <w:p>
      <w:pPr>
        <w:spacing w:after="70"/>
      </w:pPr>
      <w:r>
        <w:rPr>
          <w:sz w:val="19"/>
          <w:szCs w:val="19"/>
        </w:rPr>
        <w:t xml:space="preserve">[12] Siddiqua A., Kabir M.A., Ferdous T., Ali I.B., Weston L.A. Evaluating plant disease detection mobile applications: quality and limitations. arXiv:2208.02446, 2022 (preprint). https://arxiv.org/abs/2208.02446</w:t>
      </w:r>
    </w:p>
    <w:p>
      <w:pPr>
        <w:spacing w:after="70"/>
      </w:pPr>
      <w:r>
        <w:rPr>
          <w:sz w:val="19"/>
          <w:szCs w:val="19"/>
        </w:rPr>
        <w:t xml:space="preserve">[13] He K., Zhang X., Ren S., Sun J. Deep residual learning for image recognition. arXiv:1512.03385, 2015 (preprint). https://arxiv.org/abs/1512.03385</w:t>
      </w:r>
    </w:p>
    <w:p>
      <w:pPr>
        <w:spacing w:after="70"/>
      </w:pPr>
      <w:r>
        <w:rPr>
          <w:sz w:val="19"/>
          <w:szCs w:val="19"/>
        </w:rPr>
        <w:t xml:space="preserve">[14] Tan M., Le Q.V. EfficientNet: rethinking model scaling for convolutional neural networks. arXiv:1905.11946, 2019 (preprint). https://arxiv.org/abs/1905.11946</w:t>
      </w:r>
    </w:p>
    <w:p>
      <w:pPr>
        <w:spacing w:after="70"/>
      </w:pPr>
      <w:r>
        <w:rPr>
          <w:sz w:val="19"/>
          <w:szCs w:val="19"/>
        </w:rPr>
        <w:t xml:space="preserve">[15] Howard A., Sandler M., Chu G., Chen L.-C., Chen B., Tan M., Wang W., Zhu Y., Pang R., Vasudevan V., Le Q.V., Adam H. Searching for MobileNetV3. arXiv:1905.02244, 2019 (preprint). https://arxiv.org/abs/1905.02244</w:t>
      </w:r>
    </w:p>
    <w:p>
      <w:pPr>
        <w:spacing w:after="70"/>
      </w:pPr>
      <w:r>
        <w:rPr>
          <w:sz w:val="19"/>
          <w:szCs w:val="19"/>
        </w:rPr>
        <w:t xml:space="preserve">[16] Selvaraju R.R., Cogswell M., Das A., Vedantam R., Parikh D., Batra D. Grad-CAM: visual explanations from deep networks via gradient-based localization. International Journal of Computer Vision, 128(2), 336-359, 2020. https://doi.org/10.1007/s11263-019-01228-7</w:t>
      </w:r>
    </w:p>
    <w:p>
      <w:pPr>
        <w:spacing w:after="70"/>
      </w:pPr>
      <w:r>
        <w:rPr>
          <w:sz w:val="19"/>
          <w:szCs w:val="19"/>
        </w:rPr>
        <w:t xml:space="preserve">[17] Guo C., Pleiss G., Sun Y., Weinberger K.Q. On calibration of modern neural networks. arXiv:1706.04599, 2017 (preprint). https://arxiv.org/abs/1706.04599</w:t>
      </w:r>
    </w:p>
    <w:p>
      <w:pPr>
        <w:spacing w:after="70"/>
      </w:pPr>
      <w:r>
        <w:rPr>
          <w:sz w:val="19"/>
          <w:szCs w:val="19"/>
        </w:rPr>
        <w:t xml:space="preserve">[18] Hendrycks D., Gimpel K. A baseline for detecting misclassified and out-of-distribution examples in neural networks. arXiv:1610.02136, 2016 (preprint). https://arxiv.org/abs/1610.02136</w:t>
      </w:r>
    </w:p>
    <w:p>
      <w:pPr>
        <w:spacing w:after="70"/>
      </w:pPr>
      <w:r>
        <w:rPr>
          <w:sz w:val="19"/>
          <w:szCs w:val="19"/>
        </w:rPr>
        <w:t xml:space="preserve">[19] Lewis P., Perez E., Piktus A., Petroni F., Karpukhin V., Goyal N., Küttler H., Lewis M., Yih W., Rocktäschel T., Riedel S., Kiela D. Retrieval-augmented generation for knowledge-intensive NLP tasks. arXiv:2005.11401, 2020 (preprint). https://arxiv.org/abs/2005.11401</w:t>
      </w:r>
    </w:p>
    <w:p>
      <w:pPr>
        <w:spacing w:after="70"/>
      </w:pPr>
      <w:r>
        <w:rPr>
          <w:sz w:val="19"/>
          <w:szCs w:val="19"/>
        </w:rPr>
        <w:t xml:space="preserve">[20] Gao Y., Xiong Y., Gao X., Jia K., Pan J., Bi Y., Dai Y., Sun J., Wang M., Wang H. Retrieval-augmented generation for large language models: a survey. arXiv:2312.10997, 2023 (preprint). https://arxiv.org/abs/2312.10997</w:t>
      </w:r>
    </w:p>
    <w:p>
      <w:pPr>
        <w:spacing w:after="70"/>
      </w:pPr>
      <w:r>
        <w:rPr>
          <w:sz w:val="19"/>
          <w:szCs w:val="19"/>
        </w:rPr>
        <w:t xml:space="preserve">[21] Es S., James J., Espinosa-Anke L., Schockaert S. Ragas: automated evaluation of retrieval augmented generation. arXiv:2309.15217, 2023 (preprint). https://arxiv.org/abs/2309.15217</w:t>
      </w:r>
    </w:p>
    <w:p>
      <w:pPr>
        <w:spacing w:after="70"/>
      </w:pPr>
      <w:r>
        <w:rPr>
          <w:sz w:val="19"/>
          <w:szCs w:val="19"/>
        </w:rPr>
        <w:t xml:space="preserve">[22] Ji Z., Lee N., Frieske R., Yu T., Su D., Xu Y., Ishii E., Bang Y.J., Madotto A., Fung P. Survey of hallucination in natural language generation. ACM Computing Surveys, 55(12), 2023. https://doi.org/10.1145/3571730</w:t>
      </w:r>
    </w:p>
    <w:p>
      <w:pPr>
        <w:spacing w:after="70"/>
      </w:pPr>
      <w:r>
        <w:rPr>
          <w:sz w:val="19"/>
          <w:szCs w:val="19"/>
        </w:rPr>
        <w:t xml:space="preserve">[23] Wu H., Xie N., Wang X., Fan J., Li Y., Meng Z. Crop GraphRAG: pest and disease knowledge base Q&amp;A system for sustainable crop protection. Frontiers in Plant Science, 16, 1696872, 2025 (published online 5 January 2026). https://doi.org/10.3389/fpls.2025.1696872</w:t>
      </w:r>
    </w:p>
    <w:p>
      <w:pPr>
        <w:spacing w:after="70"/>
      </w:pPr>
      <w:r>
        <w:rPr>
          <w:sz w:val="19"/>
          <w:szCs w:val="19"/>
        </w:rPr>
        <w:t xml:space="preserve">[24] Hossain M.A., Subhan N., Mahi M.R., Nabila J.F. Cost-efficient cross-lingual retrieval-augmented generation for low-resource languages: a case study in Bengali agricultural advisory. arXiv:2601.02065, 2026 (preprint). https://arxiv.org/abs/2601.02065</w:t>
      </w:r>
    </w:p>
    <w:p>
      <w:pPr>
        <w:spacing w:after="70"/>
      </w:pPr>
      <w:r>
        <w:rPr>
          <w:sz w:val="19"/>
          <w:szCs w:val="19"/>
        </w:rPr>
        <w:t xml:space="preserve">[25] Chen J., Xiao S., Zhang P., Luo K., Lian D., Liu Z. M3-Embedding: multi-linguality, multi-functionality, multi-granularity text embeddings through self-knowledge distillation. arXiv:2402.03216, 2024 (preprint). https://arxiv.org/abs/2402.03216</w:t>
      </w:r>
    </w:p>
    <w:p>
      <w:pPr>
        <w:spacing w:after="70"/>
      </w:pPr>
      <w:r>
        <w:rPr>
          <w:sz w:val="19"/>
          <w:szCs w:val="19"/>
        </w:rPr>
        <w:t xml:space="preserve">[26] Koto F., Joshi R., Mukhituly N., Wang Y., Xie Z., Pal R., Orel D., et al. Sherkala-Chat: building a state-of-the-art LLM for Kazakh in a moderately resourced setting. arXiv:2503.01493, 2025 (accepted at COLM 2025 according to the arXiv page). https://arxiv.org/abs/2503.01493</w:t>
      </w:r>
    </w:p>
    <w:p>
      <w:pPr>
        <w:spacing w:after="70"/>
      </w:pPr>
      <w:r>
        <w:rPr>
          <w:sz w:val="19"/>
          <w:szCs w:val="19"/>
        </w:rPr>
        <w:t xml:space="preserve">[27] Togmanov M., Mukhituly N., Turmakhan D., Mansurov J., Goloburda M., Sakip A., Xie Z., Wang Y., Syzdykov B., Laiyk N., Aji A.F., Kochmar E., Nakov P., Koto F. KazMMLU: evaluating language models on Kazakh, Russian, and regional knowledge of Kazakhstan. arXiv:2502.12829, 2025 (preprint). https://arxiv.org/abs/2502.12829</w:t>
      </w:r>
    </w:p>
    <w:p>
      <w:pPr>
        <w:spacing w:after="70"/>
      </w:pPr>
      <w:r>
        <w:rPr>
          <w:sz w:val="19"/>
          <w:szCs w:val="19"/>
        </w:rPr>
        <w:t xml:space="preserve">[28] FAO, WHO. The International Code of Conduct on Pesticide Management. Rome, 2014. https://www.fao.org/3/i3604e/i3604e.pdf</w:t>
      </w:r>
    </w:p>
    <w:sectPr>
      <w:footerReference w:type="default" r:id="rId7"/>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Plant Disease AI, literature review,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dc:title>
  <dc:creator>Plant Disease AI team</dc:creator>
  <cp:lastModifiedBy>Plant Disease AI team</cp:lastModifiedBy>
  <cp:revision>1</cp:revision>
  <dcterms:created xsi:type="dcterms:W3CDTF">2026-10-20T18:35:23.581Z</dcterms:created>
  <dcterms:modified xsi:type="dcterms:W3CDTF">2026-10-20T18:35:23.581Z</dcterms:modified>
</cp:coreProperties>
</file>

<file path=docProps/custom.xml><?xml version="1.0" encoding="utf-8"?>
<Properties xmlns="http://schemas.openxmlformats.org/officeDocument/2006/custom-properties" xmlns:vt="http://schemas.openxmlformats.org/officeDocument/2006/docPropsVTypes"/>
</file>