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Technology Comparison</w:t>
      </w:r>
    </w:p>
    <w:p>
      <w:pPr>
        <w:spacing w:after="110" w:line="276"/>
      </w:pPr>
      <w:r>
        <w:rPr>
          <w:rFonts w:ascii="Calibri" w:cs="Calibri" w:eastAsia="Calibri" w:hAnsi="Calibri"/>
          <w:b/>
          <w:bCs/>
          <w:sz w:val="22"/>
          <w:szCs w:val="22"/>
        </w:rPr>
        <w:t xml:space="preserve">Plant Disease AI: Development of an AI-Powered Plant Disease Detection and Treatment Recommendation System</w:t>
      </w:r>
    </w:p>
    <w:p>
      <w:pPr>
        <w:spacing w:after="110" w:line="276"/>
      </w:pPr>
      <w:r>
        <w:rPr>
          <w:rFonts w:ascii="Calibri" w:cs="Calibri" w:eastAsia="Calibri" w:hAnsi="Calibri"/>
          <w:color w:val="555555"/>
          <w:sz w:val="22"/>
          <w:szCs w:val="22"/>
        </w:rPr>
        <w:t xml:space="preserve">Version 2 for pre-defense 1 (24 October 2026). Team: Abdullayev Shynggys, Kalen Mukhammedali, Orynbasarov Alikhan. Supervisor: Kydyrbekova Aigerim.</w:t>
      </w:r>
    </w:p>
    <w:p>
      <w:pPr>
        <w:pStyle w:val="Heading1"/>
      </w:pPr>
      <w:r>
        <w:rPr>
          <w:rFonts w:ascii="Calibri" w:cs="Calibri" w:eastAsia="Calibri" w:hAnsi="Calibri"/>
        </w:rPr>
        <w:t xml:space="preserve">1. Purpose and how to read it</w:t>
      </w:r>
    </w:p>
    <w:p>
      <w:pPr>
        <w:spacing w:after="110" w:line="276"/>
      </w:pPr>
      <w:r>
        <w:rPr>
          <w:rFonts w:ascii="Calibri" w:cs="Calibri" w:eastAsia="Calibri" w:hAnsi="Calibri"/>
          <w:sz w:val="22"/>
          <w:szCs w:val="22"/>
        </w:rPr>
        <w:t xml:space="preserve">This document compares the options for each main technical decision and links every decision to the requirement IDs of the requirements specification (FR, NFR, DR). The column “Fits” shows which of these requirements an option meets (yes), meets only in part (part) or does not meet (no). Statements about performance are expectations from the documentation of the tools. They are checked by the measurements of the verification plan, and where a decision depends on a measurement this is said in section 11.</w:t>
      </w:r>
    </w:p>
    <w:p>
      <w:pPr>
        <w:pStyle w:val="Heading1"/>
      </w:pPr>
      <w:r>
        <w:rPr>
          <w:rFonts w:ascii="Calibri" w:cs="Calibri" w:eastAsia="Calibri" w:hAnsi="Calibri"/>
        </w:rPr>
        <w:t xml:space="preserve">2. Constraints from the requirements</w:t>
      </w:r>
    </w:p>
    <w:p>
      <w:pPr>
        <w:pStyle w:val="ListParagraph"/>
        <w:numPr>
          <w:ilvl w:val="0"/>
          <w:numId w:val="2"/>
        </w:numPr>
        <w:spacing w:after="70"/>
      </w:pPr>
      <w:r>
        <w:rPr>
          <w:rFonts w:ascii="Calibri" w:cs="Calibri" w:eastAsia="Calibri" w:hAnsi="Calibri"/>
          <w:sz w:val="22"/>
          <w:szCs w:val="22"/>
        </w:rPr>
        <w:t xml:space="preserve">Runs on a CPU without a GPU; diagnosis within about 10 seconds [p] (NFR-01).</w:t>
      </w:r>
    </w:p>
    <w:p>
      <w:pPr>
        <w:pStyle w:val="ListParagraph"/>
        <w:numPr>
          <w:ilvl w:val="0"/>
          <w:numId w:val="2"/>
        </w:numPr>
        <w:spacing w:after="70"/>
      </w:pPr>
      <w:r>
        <w:rPr>
          <w:rFonts w:ascii="Calibri" w:cs="Calibri" w:eastAsia="Calibri" w:hAnsi="Calibri"/>
          <w:sz w:val="22"/>
          <w:szCs w:val="22"/>
        </w:rPr>
        <w:t xml:space="preserve">Works in a phone browser and can be installed (FR-28, FR-29, NFR-13).</w:t>
      </w:r>
    </w:p>
    <w:p>
      <w:pPr>
        <w:pStyle w:val="ListParagraph"/>
        <w:numPr>
          <w:ilvl w:val="0"/>
          <w:numId w:val="2"/>
        </w:numPr>
        <w:spacing w:after="70"/>
      </w:pPr>
      <w:r>
        <w:rPr>
          <w:rFonts w:ascii="Calibri" w:cs="Calibri" w:eastAsia="Calibri" w:hAnsi="Calibri"/>
          <w:sz w:val="22"/>
          <w:szCs w:val="22"/>
        </w:rPr>
        <w:t xml:space="preserve">Every piece of advice has a source; nothing is invented (FR-14, FR-15, FR-16, FR-18).</w:t>
      </w:r>
    </w:p>
    <w:p>
      <w:pPr>
        <w:pStyle w:val="ListParagraph"/>
        <w:numPr>
          <w:ilvl w:val="0"/>
          <w:numId w:val="2"/>
        </w:numPr>
        <w:spacing w:after="70"/>
      </w:pPr>
      <w:r>
        <w:rPr>
          <w:rFonts w:ascii="Calibri" w:cs="Calibri" w:eastAsia="Calibri" w:hAnsi="Calibri"/>
          <w:sz w:val="22"/>
          <w:szCs w:val="22"/>
        </w:rPr>
        <w:t xml:space="preserve">The interface and the advice are available in Kazakh, Russian and English (FR-03, NFR-11, NFR-12). The earlier draft listed only Russian and English; this was wrong.</w:t>
      </w:r>
    </w:p>
    <w:p>
      <w:pPr>
        <w:pStyle w:val="ListParagraph"/>
        <w:numPr>
          <w:ilvl w:val="0"/>
          <w:numId w:val="2"/>
        </w:numPr>
        <w:spacing w:after="70"/>
      </w:pPr>
      <w:r>
        <w:rPr>
          <w:rFonts w:ascii="Calibri" w:cs="Calibri" w:eastAsia="Calibri" w:hAnsi="Calibri"/>
          <w:sz w:val="22"/>
          <w:szCs w:val="22"/>
        </w:rPr>
        <w:t xml:space="preserve">Only text goes to the external language model; no photo and no email (NFR-10). The provider can be changed by configuration (NFR-17).</w:t>
      </w:r>
    </w:p>
    <w:p>
      <w:pPr>
        <w:pStyle w:val="ListParagraph"/>
        <w:numPr>
          <w:ilvl w:val="0"/>
          <w:numId w:val="2"/>
        </w:numPr>
        <w:spacing w:after="70"/>
      </w:pPr>
      <w:r>
        <w:rPr>
          <w:rFonts w:ascii="Calibri" w:cs="Calibri" w:eastAsia="Calibri" w:hAnsi="Calibri"/>
          <w:sz w:val="22"/>
          <w:szCs w:val="22"/>
        </w:rPr>
        <w:t xml:space="preserve">Three people and about six months, so tools must be easy to learn. Starts with docker compose up --build (NFR-14).</w:t>
      </w:r>
    </w:p>
    <w:p>
      <w:pPr>
        <w:pStyle w:val="Heading1"/>
      </w:pPr>
      <w:r>
        <w:rPr>
          <w:rFonts w:ascii="Calibri" w:cs="Calibri" w:eastAsia="Calibri" w:hAnsi="Calibri"/>
        </w:rPr>
        <w:t xml:space="preserve">3. Image classification approach</w:t>
      </w:r>
    </w:p>
    <w:p>
      <w:pPr>
        <w:spacing w:after="110" w:line="276"/>
      </w:pPr>
      <w:r>
        <w:rPr>
          <w:rFonts w:ascii="Calibri" w:cs="Calibri" w:eastAsia="Calibri" w:hAnsi="Calibri"/>
          <w:i/>
          <w:iCs/>
          <w:color w:val="555555"/>
          <w:sz w:val="22"/>
          <w:szCs w:val="22"/>
        </w:rPr>
        <w:t xml:space="preserve">Requirements behind the choice: FR-06, FR-07, FR-11, NFR-01, NFR-20, DR-02, DR-03</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900"/>
      </w:tblGrid>
      <w:tr>
        <w:trPr>
          <w:cantSplit/>
          <w:tblHeader/>
        </w:trPr>
        <w:tc>
          <w:tcPr>
            <w:tcW w:type="dxa" w:w="2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Advantages</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Disadvantages</w:t>
            </w:r>
          </w:p>
        </w:tc>
        <w:tc>
          <w:tcPr>
            <w:tcW w:type="dxa" w:w="1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Fits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CNNs fine-tuned from ImageNet weights (ResNet50, EfficientNet-B0, MobileNetV3)</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Pretrained weights, short training, Grad-CAM works directly, runs on CPU</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May fall behind transformers on very different images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FR-06 yes; FR-11 yes; NFR-01 yes; DR-02 yes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Transformers (ViT-Small, ConvNeXt-Tiny, CLIP)</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Can reach good accuracy; the literature review reports better field results for ViT and CLIP</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Heavier on CPU; Grad-CAM needs extra work</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FR-11 part; NFR-01 part</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CNN trained from scratch</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Full control</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Needs much more data and time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DR-02 no (the team decided not to)</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Choice: three CNNs, each fine-tuned from weights pretrained on ImageNet. None is trained from scratch. Training data are PlantVillage and field datasets mapped to the PlantVillage classes (DR-03); the field test set is never used for training or for choosing the model. We compare the three models and select one by accuracy, macro-F1, calibration and CPU speed (verification plan, M1 to M7). The literature review (Benabbas et al. 2025) shows that CNNs lose accuracy in the field more than transformers do, so a ViT or a CLIP model is added as a fourth comparison only if time allows. This is an honest risk of the choice, not a claim that CNNs are best.</w:t>
      </w:r>
    </w:p>
    <w:p>
      <w:pPr>
        <w:pStyle w:val="Heading1"/>
      </w:pPr>
      <w:r>
        <w:rPr>
          <w:rFonts w:ascii="Calibri" w:cs="Calibri" w:eastAsia="Calibri" w:hAnsi="Calibri"/>
        </w:rPr>
        <w:t xml:space="preserve">4. Model serving</w:t>
      </w:r>
    </w:p>
    <w:p>
      <w:pPr>
        <w:spacing w:after="110" w:line="276"/>
      </w:pPr>
      <w:r>
        <w:rPr>
          <w:rFonts w:ascii="Calibri" w:cs="Calibri" w:eastAsia="Calibri" w:hAnsi="Calibri"/>
          <w:i/>
          <w:iCs/>
          <w:color w:val="555555"/>
          <w:sz w:val="22"/>
          <w:szCs w:val="22"/>
        </w:rPr>
        <w:t xml:space="preserve">Requirements behind the choice: FR-11, NFR-01, NFR-04</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900"/>
      </w:tblGrid>
      <w:tr>
        <w:trPr>
          <w:cantSplit/>
          <w:tblHeader/>
        </w:trPr>
        <w:tc>
          <w:tcPr>
            <w:tcW w:type="dxa" w:w="2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Advantages</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Disadvantages</w:t>
            </w:r>
          </w:p>
        </w:tc>
        <w:tc>
          <w:tcPr>
            <w:tcW w:type="dxa" w:w="1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Fits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ONNX Runtime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Fast on CPU, small dependency</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Needs model export; no gradients for Grad-CAM</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NFR-01 yes; FR-11 no</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PyTorch inside the backend</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conversion, Grad-CAM available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Large image, slower on CPU</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NFR-01 part; FR-11 yes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TensorFlow Lite or TorchServe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Used in production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Extra framework or service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NFR-14 part</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Choice: ONNX Runtime for predictions and PyTorch for the Grad-CAM heatmap of the selected model. A parity check compares ONNX and PyTorch outputs (M6). If this makes the backend too complicated, we use PyTorch for both and report the speed.</w:t>
      </w:r>
    </w:p>
    <w:p>
      <w:pPr>
        <w:pStyle w:val="Heading1"/>
      </w:pPr>
      <w:r>
        <w:rPr>
          <w:rFonts w:ascii="Calibri" w:cs="Calibri" w:eastAsia="Calibri" w:hAnsi="Calibri"/>
        </w:rPr>
        <w:t xml:space="preserve">5. Backend framework</w:t>
      </w:r>
    </w:p>
    <w:p>
      <w:pPr>
        <w:spacing w:after="110" w:line="276"/>
      </w:pPr>
      <w:r>
        <w:rPr>
          <w:rFonts w:ascii="Calibri" w:cs="Calibri" w:eastAsia="Calibri" w:hAnsi="Calibri"/>
          <w:i/>
          <w:iCs/>
          <w:color w:val="555555"/>
          <w:sz w:val="22"/>
          <w:szCs w:val="22"/>
        </w:rPr>
        <w:t xml:space="preserve">Requirements behind the choice: NFR-15, NFR-05, NFR-18</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900"/>
      </w:tblGrid>
      <w:tr>
        <w:trPr>
          <w:cantSplit/>
          <w:tblHeader/>
        </w:trPr>
        <w:tc>
          <w:tcPr>
            <w:tcW w:type="dxa" w:w="2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Advantages</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Disadvantages</w:t>
            </w:r>
          </w:p>
        </w:tc>
        <w:tc>
          <w:tcPr>
            <w:tcW w:type="dxa" w:w="1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Fits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FastAPI</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Automatic OpenAPI documentation, request validation, async</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built-in admin panel</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NFR-15 yes; NFR-05 yes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Django REST Framework</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Admin panel, authentication included</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Larger and slower to learn</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NFR-15 yes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Flask</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Simple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Many parts must be added by hand</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NFR-15 part</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Choice: FastAPI. The three repositories connect through API contracts, and the OpenAPI file is generated. An admin panel is not needed because W-03 (expert panel) is outside the MVP.</w:t>
      </w:r>
    </w:p>
    <w:p>
      <w:pPr>
        <w:pStyle w:val="Heading1"/>
      </w:pPr>
      <w:r>
        <w:rPr>
          <w:rFonts w:ascii="Calibri" w:cs="Calibri" w:eastAsia="Calibri" w:hAnsi="Calibri"/>
        </w:rPr>
        <w:t xml:space="preserve">6. Data storage</w:t>
      </w:r>
    </w:p>
    <w:p>
      <w:pPr>
        <w:spacing w:after="110" w:line="276"/>
      </w:pPr>
      <w:r>
        <w:rPr>
          <w:rFonts w:ascii="Calibri" w:cs="Calibri" w:eastAsia="Calibri" w:hAnsi="Calibri"/>
          <w:i/>
          <w:iCs/>
          <w:color w:val="555555"/>
          <w:sz w:val="22"/>
          <w:szCs w:val="22"/>
        </w:rPr>
        <w:t xml:space="preserve">Requirements behind the choice: FR-12, FR-23, FR-25, FR-35, NFR-08, NFR-14</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900"/>
      </w:tblGrid>
      <w:tr>
        <w:trPr>
          <w:cantSplit/>
          <w:tblHeader/>
        </w:trPr>
        <w:tc>
          <w:tcPr>
            <w:tcW w:type="dxa" w:w="2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Advantages</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Disadvantages</w:t>
            </w:r>
          </w:p>
        </w:tc>
        <w:tc>
          <w:tcPr>
            <w:tcW w:type="dxa" w:w="1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Fits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PostgreSQL with pgvector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One database for users, history and passages with embeddings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Less suited to a very large knowledge base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FR-35 yes; NFR-14 yes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PostgreSQL and a separate vector database (Qdrant, Chroma)</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Made for vector search</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Two services to keep consistent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NFR-14 part</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PostgreSQL and a FAISS index</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Fast search</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Index must be saved and rebuilt by hand</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FR-35 part</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MinIO for photos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Free, runs in Docker, S3 API, private bucket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One more service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FR-12 yes; NFR-08 yes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Local disk for photos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Simplest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Hard to move; harder to protect per user</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NFR-08 part</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Choice: PostgreSQL with pgvector, and MinIO for photos with a private bucket. The knowledge base is small, so one database keeps passages and their sources together. MinIO can be replaced by Amazon S3 without code changes.</w:t>
      </w:r>
    </w:p>
    <w:p>
      <w:pPr>
        <w:pStyle w:val="Heading1"/>
      </w:pPr>
      <w:r>
        <w:rPr>
          <w:rFonts w:ascii="Calibri" w:cs="Calibri" w:eastAsia="Calibri" w:hAnsi="Calibri"/>
        </w:rPr>
        <w:t xml:space="preserve">7. Recommendation method, embeddings and language model</w:t>
      </w:r>
    </w:p>
    <w:p>
      <w:pPr>
        <w:spacing w:after="110" w:line="276"/>
      </w:pPr>
      <w:r>
        <w:rPr>
          <w:rFonts w:ascii="Calibri" w:cs="Calibri" w:eastAsia="Calibri" w:hAnsi="Calibri"/>
          <w:i/>
          <w:iCs/>
          <w:color w:val="555555"/>
          <w:sz w:val="22"/>
          <w:szCs w:val="22"/>
        </w:rPr>
        <w:t xml:space="preserve">Requirements behind the choice: FR-13 to FR-16, FR-18, FR-21, FR-22, NFR-02, NFR-10, NFR-12, NFR-17, DR-11.</w:t>
      </w:r>
    </w:p>
    <w:p>
      <w:pPr>
        <w:pStyle w:val="Heading2"/>
      </w:pPr>
      <w:r>
        <w:rPr>
          <w:rFonts w:ascii="Calibri" w:cs="Calibri" w:eastAsia="Calibri" w:hAnsi="Calibri"/>
        </w:rPr>
        <w:t xml:space="preserve">7.1 Method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900"/>
      </w:tblGrid>
      <w:tr>
        <w:trPr>
          <w:cantSplit/>
          <w:tblHeader/>
        </w:trPr>
        <w:tc>
          <w:tcPr>
            <w:tcW w:type="dxa" w:w="2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Advantages</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Disadvantages</w:t>
            </w:r>
          </w:p>
        </w:tc>
        <w:tc>
          <w:tcPr>
            <w:tcW w:type="dxa" w:w="1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Fits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RAG: search the knowledge base, then an LLM writes from the passages found</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Advice has sources; easy to update; refuses when nothing is found</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Needs an LLM; can still make mistakes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FR-14, FR-15, FR-16 yes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Lookup table: disease to fixed text with a source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Simple, predictable, no LLM</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 flexible; one text per language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FR-21 yes; FR-13 part</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Fine-tuned LLM without search</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Fluent answers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Sources cannot be shown; advice cannot be checked</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FR-15 no; FR-18 no</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Choice: RAG as the main method. The lookup table is kept as the baseline and as the fallback when the LLM is not available (FR-21, FR-22). The comparison of both is part of the evaluation (DR-11).</w:t>
      </w:r>
    </w:p>
    <w:p>
      <w:pPr>
        <w:pStyle w:val="Heading2"/>
      </w:pPr>
      <w:r>
        <w:rPr>
          <w:rFonts w:ascii="Calibri" w:cs="Calibri" w:eastAsia="Calibri" w:hAnsi="Calibri"/>
        </w:rPr>
        <w:t xml:space="preserve">7.2 Embedding model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900"/>
      </w:tblGrid>
      <w:tr>
        <w:trPr>
          <w:cantSplit/>
          <w:tblHeader/>
        </w:trPr>
        <w:tc>
          <w:tcPr>
            <w:tcW w:type="dxa" w:w="2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Advantages</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Disadvantages</w:t>
            </w:r>
          </w:p>
        </w:tc>
        <w:tc>
          <w:tcPr>
            <w:tcW w:type="dxa" w:w="1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Fits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BGE-M3</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MIT licence; more than 100 working languages according to its model page; up to 8192 tokens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The model page does not name Kazakh explicitly, so Kazakh retrieval must be tested</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FR-03 part until tested</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 multilingual sentence-transformers model (for example a multilingual E5 model)</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Small and fast on CPU; many languages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Same: Kazakh must be tested; shorter inputs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FR-03 part until tested</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English-only model</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Best English quality</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Cannot retrieve Kazakh or Russian passages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FR-03 no</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Choice: BGE-M3 as the first candidate, the second option as the alternative. We do not claim Kazakh support. We test it: about 20 to 30 Kazakh questions are matched against passages in the knowledge base, and the share of correct passages in the top results (retrieval hit rate) is reported for each language (M9 and M10). The model with the better result for Kazakh is used. If neither retrieves Kazakh well, the Kazakh question is translated before the search, and this is reported as a limit.</w:t>
      </w:r>
    </w:p>
    <w:p>
      <w:pPr>
        <w:pStyle w:val="Heading2"/>
      </w:pPr>
      <w:r>
        <w:rPr>
          <w:rFonts w:ascii="Calibri" w:cs="Calibri" w:eastAsia="Calibri" w:hAnsi="Calibri"/>
        </w:rPr>
        <w:t xml:space="preserve">7.3 Language model (LLM)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900"/>
      </w:tblGrid>
      <w:tr>
        <w:trPr>
          <w:cantSplit/>
          <w:tblHeader/>
        </w:trPr>
        <w:tc>
          <w:tcPr>
            <w:tcW w:type="dxa" w:w="2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Advantages</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Disadvantages</w:t>
            </w:r>
          </w:p>
        </w:tc>
        <w:tc>
          <w:tcPr>
            <w:tcW w:type="dxa" w:w="1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Fits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Hosted general-purpose LLM through an API</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GPU needed; good Russian and English; quick to start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Costs money; limits; Kazakh quality must be tested; only text may be sent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NFR-14 part; NFR-10 yes; NFR-17 yes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Sherkala-Chat (8B, open weights, built for Kazakh, Russian, English and Turkish)</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Made for Kazakh; can run on own server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Needs a GPU or is slow on CPU; the model page used for this check does not state the model licence, so the licence must be read before use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NFR-14 no on CPU; NFR-12 possible</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Small open model on the CPU</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Free; private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Weak Kazakh; slow; lower faithfulness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NFR-12 no</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Choice: the application talks to the LLM through one interface and the provider is set in configuration (NFR-17). The first version uses a hosted LLM through an API, because the project has no GPU and must start with docker compose. The provider is chosen by a small test on the same 20 to 30 questions in Kazakh, Russian and English. It is scored on faithfulness to the sources (manual review, NFR-12), on the share of answers with a valid reference (FR-15), on price and limits, and on response time (NFR-02). Sherkala-Chat is tested as a Kazakh reference if a GPU is available and its licence allows the use. Only the crop, the disease, the retrieved passages and the language are sent (NFR-10). The result of the test is written into this document before the final defense.</w:t>
      </w:r>
    </w:p>
    <w:p>
      <w:pPr>
        <w:pStyle w:val="Heading1"/>
      </w:pPr>
      <w:r>
        <w:rPr>
          <w:rFonts w:ascii="Calibri" w:cs="Calibri" w:eastAsia="Calibri" w:hAnsi="Calibri"/>
        </w:rPr>
        <w:t xml:space="preserve">8. Client application</w:t>
      </w:r>
    </w:p>
    <w:p>
      <w:pPr>
        <w:spacing w:after="110" w:line="276"/>
      </w:pPr>
      <w:r>
        <w:rPr>
          <w:rFonts w:ascii="Calibri" w:cs="Calibri" w:eastAsia="Calibri" w:hAnsi="Calibri"/>
          <w:i/>
          <w:iCs/>
          <w:color w:val="555555"/>
          <w:sz w:val="22"/>
          <w:szCs w:val="22"/>
        </w:rPr>
        <w:t xml:space="preserve">Requirements behind the choice: FR-28, FR-29, FR-30, NFR-11, NFR-13</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900"/>
      </w:tblGrid>
      <w:tr>
        <w:trPr>
          <w:cantSplit/>
          <w:tblHeader/>
        </w:trPr>
        <w:tc>
          <w:tcPr>
            <w:tcW w:type="dxa" w:w="2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Advantages</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Disadvantages</w:t>
            </w:r>
          </w:p>
        </w:tc>
        <w:tc>
          <w:tcPr>
            <w:tcW w:type="dxa" w:w="1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Fits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React and TypeScript PWA</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Works in a phone browser; can be installed; no app store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Fewer native features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FR-28 yes; FR-29 yes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React Native or Flutter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Native look and camera</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Separate build per platform; new tools for the team</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FR-28 yes; time risk</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Server-rendered pages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Simple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Less suitable for interactive screens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FR-30 part</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Choice: React and TypeScript PWA. Texts are kept in language files for Kazakh, Russian and English (NFR-11). Native applications are outside the scope. Offline use is also outside the MVP (W-01), so no offline storage is built.</w:t>
      </w:r>
    </w:p>
    <w:p>
      <w:pPr>
        <w:pStyle w:val="Heading1"/>
      </w:pPr>
      <w:r>
        <w:rPr>
          <w:rFonts w:ascii="Calibri" w:cs="Calibri" w:eastAsia="Calibri" w:hAnsi="Calibri"/>
        </w:rPr>
        <w:t xml:space="preserve">9. Communication between components</w:t>
      </w:r>
    </w:p>
    <w:p>
      <w:pPr>
        <w:spacing w:after="110" w:line="276"/>
      </w:pPr>
      <w:r>
        <w:rPr>
          <w:rFonts w:ascii="Calibri" w:cs="Calibri" w:eastAsia="Calibri" w:hAnsi="Calibri"/>
          <w:i/>
          <w:iCs/>
          <w:color w:val="555555"/>
          <w:sz w:val="22"/>
          <w:szCs w:val="22"/>
        </w:rPr>
        <w:t xml:space="preserve">Requirements behind the choice: NFR-15, NFR-19</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900"/>
      </w:tblGrid>
      <w:tr>
        <w:trPr>
          <w:cantSplit/>
          <w:tblHeader/>
        </w:trPr>
        <w:tc>
          <w:tcPr>
            <w:tcW w:type="dxa" w:w="2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Advantages</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Disadvantages</w:t>
            </w:r>
          </w:p>
        </w:tc>
        <w:tc>
          <w:tcPr>
            <w:tcW w:type="dxa" w:w="1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Fits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REST with OpenAPI</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Works from a browser; easy to test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 suited to streaming</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NFR-15 yes; NFR-19 yes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gRPC</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Efficient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Needs a proxy for browsers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NFR-15 part</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WebSocket or message queue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Real-time messages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 needed for request and response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NFR-15 part</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Choice: REST with OpenAPI. The flow is short: send a photo, get a diagnosis, get advice (POST /diagnose, POST /recommend with the diagnosis_id). Diagnosis and recommendation are modules of one FastAPI application.</w:t>
      </w:r>
    </w:p>
    <w:p>
      <w:pPr>
        <w:pStyle w:val="Heading1"/>
      </w:pPr>
      <w:r>
        <w:rPr>
          <w:rFonts w:ascii="Calibri" w:cs="Calibri" w:eastAsia="Calibri" w:hAnsi="Calibri"/>
        </w:rPr>
        <w:t xml:space="preserve">10. Build, test and run</w:t>
      </w:r>
    </w:p>
    <w:p>
      <w:pPr>
        <w:spacing w:after="110" w:line="276"/>
      </w:pPr>
      <w:r>
        <w:rPr>
          <w:rFonts w:ascii="Calibri" w:cs="Calibri" w:eastAsia="Calibri" w:hAnsi="Calibri"/>
          <w:i/>
          <w:iCs/>
          <w:color w:val="555555"/>
          <w:sz w:val="22"/>
          <w:szCs w:val="22"/>
        </w:rPr>
        <w:t xml:space="preserve">Requirements behind the choice: NFR-14, NFR-18, NFR-19, NFR-20</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900"/>
      </w:tblGrid>
      <w:tr>
        <w:trPr>
          <w:cantSplit/>
          <w:tblHeader/>
        </w:trPr>
        <w:tc>
          <w:tcPr>
            <w:tcW w:type="dxa" w:w="2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Advantages</w:t>
            </w:r>
          </w:p>
        </w:tc>
        <w:tc>
          <w:tcPr>
            <w:tcW w:type="dxa" w:w="23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Disadvantages</w:t>
            </w:r>
          </w:p>
        </w:tc>
        <w:tc>
          <w:tcPr>
            <w:tcW w:type="dxa" w:w="1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Fits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Docker Compose, GitHub Actions, pytest, Vitest, Playwright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One command to start; checks on every pull request; end-to-end test of the main scenario</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Needs time to set up</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NFR-14 yes; NFR-18 yes; NFR-19 yes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Manual setup and manual tests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set-up time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 reproducible; errors found late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NFR-14 no; NFR-18 no</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Choice: Docker Compose with GitHub Actions, pytest for the backend and the ML code, Vitest for the frontend and Playwright for the end-to-end scenario. Training is reproducible with fixed seeds, a saved split file and fixed package versions (NFR-20).</w:t>
      </w:r>
    </w:p>
    <w:p>
      <w:pPr>
        <w:pStyle w:val="Heading1"/>
      </w:pPr>
      <w:r>
        <w:rPr>
          <w:rFonts w:ascii="Calibri" w:cs="Calibri" w:eastAsia="Calibri" w:hAnsi="Calibri"/>
        </w:rPr>
        <w:t xml:space="preserve">11. Decisions that depend on measurements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400"/>
      </w:tblGrid>
      <w:tr>
        <w:trPr>
          <w:cantSplit/>
          <w:tblHeader/>
        </w:trPr>
        <w:tc>
          <w:tcPr>
            <w:tcW w:type="dxa" w:w="25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Decision</w:t>
            </w:r>
          </w:p>
        </w:tc>
        <w:tc>
          <w:tcPr>
            <w:tcW w:type="dxa" w:w="37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What is measured</w:t>
            </w:r>
          </w:p>
        </w:tc>
        <w:tc>
          <w:tcPr>
            <w:tcW w:type="dxa" w:w="3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When it is final</w:t>
            </w:r>
          </w:p>
        </w:tc>
      </w:tr>
      <w:tr>
        <w:trPr>
          <w:cantSplit/>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Which CNN is used</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Accuracy, macro-F1, ECE and CPU time on the validation and field test sets (M1 to M7)</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After the first training runs</w:t>
            </w:r>
          </w:p>
        </w:tc>
      </w:tr>
      <w:tr>
        <w:trPr>
          <w:cantSplit/>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ONNX only or ONNX plus PyTorch</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Parity of outputs and time (M6, M7)</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After the export of the selected model</w:t>
            </w:r>
          </w:p>
        </w:tc>
      </w:tr>
      <w:tr>
        <w:trPr>
          <w:cantSplit/>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Embedding model</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Retrieval hit rate in Kazakh, Russian and English (M9, M10)</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After the knowledge base is indexed</w:t>
            </w:r>
          </w:p>
        </w:tc>
      </w:tr>
      <w:tr>
        <w:trPr>
          <w:cantSplit/>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LLM provider</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Faithfulness, valid references, price, time (M9, M10)</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Before the final defense</w:t>
            </w:r>
          </w:p>
        </w:tc>
      </w:tr>
    </w:tbl>
    <w:p>
      <w:pPr>
        <w:spacing w:after="110" w:line="276"/>
      </w:pPr>
      <w:r>
        <w:rPr>
          <w:rFonts w:ascii="Calibri" w:cs="Calibri" w:eastAsia="Calibri" w:hAnsi="Calibri"/>
          <w:sz w:val="22"/>
          <w:szCs w:val="22"/>
        </w:rPr>
        <w:t xml:space="preserve"/>
      </w:r>
    </w:p>
    <w:p>
      <w:pPr>
        <w:pStyle w:val="Heading1"/>
      </w:pPr>
      <w:r>
        <w:rPr>
          <w:rFonts w:ascii="Calibri" w:cs="Calibri" w:eastAsia="Calibri" w:hAnsi="Calibri"/>
        </w:rPr>
        <w:t xml:space="preserve">12.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cantSplit/>
          <w:tblHeader/>
        </w:trPr>
        <w:tc>
          <w:tcPr>
            <w:tcW w:type="dxa" w:w="28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Decision</w:t>
            </w:r>
          </w:p>
        </w:tc>
        <w:tc>
          <w:tcPr>
            <w:tcW w:type="dxa" w:w="68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Choice</w:t>
            </w:r>
          </w:p>
        </w:tc>
      </w:tr>
      <w:tr>
        <w:trPr>
          <w:cantSplit/>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Image model</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Three CNNs fine-tuned from ImageNet weights; one is selected by measurement</w:t>
            </w:r>
          </w:p>
        </w:tc>
      </w:tr>
      <w:tr>
        <w:trPr>
          <w:cantSplit/>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Serving</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ONNX Runtime; Grad-CAM with PyTorch</w:t>
            </w:r>
          </w:p>
        </w:tc>
      </w:tr>
      <w:tr>
        <w:trPr>
          <w:cantSplit/>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Backend</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FastAPI</w:t>
            </w:r>
          </w:p>
        </w:tc>
      </w:tr>
      <w:tr>
        <w:trPr>
          <w:cantSplit/>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Database and photos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PostgreSQL with pgvector; MinIO</w:t>
            </w:r>
          </w:p>
        </w:tc>
      </w:tr>
      <w:tr>
        <w:trPr>
          <w:cantSplit/>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Recommendations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RAG with a lookup-table baseline and fallback</w:t>
            </w:r>
          </w:p>
        </w:tc>
      </w:tr>
      <w:tr>
        <w:trPr>
          <w:cantSplit/>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Embeddings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BGE-M3, Kazakh retrieval tested; alternative multilingual model</w:t>
            </w:r>
          </w:p>
        </w:tc>
      </w:tr>
      <w:tr>
        <w:trPr>
          <w:cantSplit/>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LLM</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Hosted LLM behind a configurable interface; provider chosen by test</w:t>
            </w:r>
          </w:p>
        </w:tc>
      </w:tr>
      <w:tr>
        <w:trPr>
          <w:cantSplit/>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Client</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React and TypeScript PWA</w:t>
            </w:r>
          </w:p>
        </w:tc>
      </w:tr>
      <w:tr>
        <w:trPr>
          <w:cantSplit/>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Communication</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REST with OpenAPI</w:t>
            </w:r>
          </w:p>
        </w:tc>
      </w:tr>
      <w:tr>
        <w:trPr>
          <w:cantSplit/>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Build and test</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Docker Compose, GitHub Actions, pytest, Vitest, Playwright</w:t>
            </w:r>
          </w:p>
        </w:tc>
      </w:tr>
    </w:tbl>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6"/>
        <w:szCs w:val="16"/>
      </w:rPr>
      <w:t xml:space="preserve">Plant Disease AI, technology comparison,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4261C"/>
      <w:sz w:val="40"/>
      <w:szCs w:val="40"/>
    </w:rPr>
  </w:style>
  <w:style w:type="paragraph" w:styleId="Heading1">
    <w:name w:val="heading 1"/>
    <w:basedOn w:val="Normal"/>
    <w:next w:val="Normal"/>
    <w:qFormat/>
    <w:pPr>
      <w:spacing w:after="120" w:before="300"/>
      <w:outlineLvl w:val="0"/>
    </w:pPr>
    <w:rPr>
      <w:rFonts w:ascii="Calibri" w:cs="Calibri" w:eastAsia="Calibri" w:hAnsi="Calibri"/>
      <w:b/>
      <w:bCs/>
      <w:color w:val="1E8A5A"/>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14261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comparison</dc:title>
  <dc:creator>Plant Disease AI team</dc:creator>
  <cp:lastModifiedBy>Plant Disease AI team</cp:lastModifiedBy>
  <cp:revision>1</cp:revision>
  <dcterms:created xsi:type="dcterms:W3CDTF">2026-10-20T19:54:17.993Z</dcterms:created>
  <dcterms:modified xsi:type="dcterms:W3CDTF">2026-10-20T19:54:17.993Z</dcterms:modified>
</cp:coreProperties>
</file>

<file path=docProps/custom.xml><?xml version="1.0" encoding="utf-8"?>
<Properties xmlns="http://schemas.openxmlformats.org/officeDocument/2006/custom-properties" xmlns:vt="http://schemas.openxmlformats.org/officeDocument/2006/docPropsVTypes"/>
</file>