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2"/>
        </w:rPr>
        <w:t>Label Memorization in Compressed ReLU Networks:</w:t>
        <w:br/>
        <w:t>Spectral, Representational, and Causal Evidence from a Four-Phase Analysis</w:t>
      </w:r>
    </w:p>
    <w:p>
      <w:r>
        <w:rPr>
          <w:rFonts w:ascii="Times New Roman" w:hAnsi="Times New Roman"/>
          <w:b w:val="0"/>
          <w:i w:val="0"/>
          <w:sz w:val="22"/>
        </w:rPr>
      </w:r>
    </w:p>
    <w:p>
      <w:pPr>
        <w:jc w:val="center"/>
      </w:pPr>
      <w:r>
        <w:rPr>
          <w:rFonts w:ascii="Times New Roman" w:hAnsi="Times New Roman"/>
          <w:b w:val="0"/>
          <w:i w:val="0"/>
          <w:sz w:val="22"/>
        </w:rPr>
        <w:t>Shamique Khan</w:t>
      </w:r>
    </w:p>
    <w:p>
      <w:pPr>
        <w:jc w:val="center"/>
      </w:pPr>
      <w:r>
        <w:rPr>
          <w:rFonts w:ascii="Times New Roman" w:hAnsi="Times New Roman"/>
          <w:b w:val="0"/>
          <w:i/>
          <w:sz w:val="22"/>
        </w:rPr>
        <w:t>Bachelors of Technology – VIT Bhopal</w:t>
      </w:r>
    </w:p>
    <w:p>
      <w:pPr>
        <w:jc w:val="center"/>
      </w:pPr>
      <w:r>
        <w:rPr>
          <w:rFonts w:ascii="Times New Roman" w:hAnsi="Times New Roman"/>
          <w:b w:val="0"/>
          <w:i w:val="0"/>
          <w:sz w:val="22"/>
        </w:rPr>
        <w:t>shamique.25bai10187@vitbhopal.ac.in</w:t>
      </w:r>
    </w:p>
    <w:p>
      <w:pPr>
        <w:pStyle w:val="Heading1"/>
      </w:pPr>
      <w:r>
        <w:rPr>
          <w:rFonts w:ascii="Times New Roman" w:hAnsi="Times New Roman"/>
        </w:rPr>
        <w:t>Abstract</w:t>
      </w:r>
    </w:p>
    <w:p>
      <w:r>
        <w:rPr>
          <w:rFonts w:ascii="Times New Roman" w:hAnsi="Times New Roman"/>
          <w:b w:val="0"/>
          <w:i w:val="0"/>
          <w:sz w:val="22"/>
        </w:rPr>
        <w:t>Label memorization in neural networks — the ability to fit corrupted training labels while generalizing — is empirically well-documented, but the specific structural changes it induces inside a network remain poorly characterized. We present a four-phase analysis of a two-layer ReLU network (784-16-10) trained on MNIST with 20% random label noise, comparing clean and corrupted models across ten seeds with 95% confidence intervals. Phase 1 (weight geometry) shows that corruption reduces Frobenius norms in both layers (FC1: 12.56→10.33; FC2: 4.99→2.79). Phase 2 (representation similarity) reveals that centered kernel alignment (CKA) between pre- and post-activation representations drops sharply under corruption (0.850→0.690, p&lt;0.001), localizing memorization to the ReLU nonlinearity rather than the linear projection. Phase 3 (influence scoring) identifies a high-loss population of memorized samples (loss gap −0.051, CI excluding zero); a linear probe achieves AUC 0.514, a statistically detectable but practically weak signal. Phase 4 (causal intervention) applies rank-one model editing (ROME) across four targeted class swaps, recovering 9.7–21.7 percentage points of accuracy; random rank-one edits recover 0%. A scaling analysis from 16 to 1,024 hidden units shows that the Fisher discriminant ratio decreases monotonically with width (0.862→0.387), indicating that memorization signatures become more diffuse in wider networks. The results provide convergent evidence that label memorization leaves consistent, low-dimensional structural traces in compressed architectures.</w:t>
      </w:r>
    </w:p>
    <w:p>
      <w:r>
        <w:rPr>
          <w:rFonts w:ascii="Times New Roman" w:hAnsi="Times New Roman"/>
          <w:b w:val="0"/>
          <w:i w:val="0"/>
          <w:sz w:val="22"/>
        </w:rPr>
      </w:r>
    </w:p>
    <w:p>
      <w:r>
        <w:rPr>
          <w:rFonts w:ascii="Times New Roman" w:hAnsi="Times New Roman"/>
          <w:b/>
          <w:i w:val="0"/>
          <w:sz w:val="22"/>
        </w:rPr>
        <w:t xml:space="preserve">Keywords: </w:t>
      </w:r>
      <w:r>
        <w:rPr>
          <w:rFonts w:ascii="Times New Roman" w:hAnsi="Times New Roman"/>
          <w:b w:val="0"/>
          <w:i w:val="0"/>
          <w:sz w:val="22"/>
        </w:rPr>
        <w:t>neural network memorization; representation similarity; centered kernel alignment; influence functions; model editing; MNIST</w:t>
      </w:r>
    </w:p>
    <w:p>
      <w:pPr>
        <w:pStyle w:val="Heading1"/>
      </w:pPr>
      <w:r>
        <w:rPr>
          <w:rFonts w:ascii="Times New Roman" w:hAnsi="Times New Roman"/>
        </w:rPr>
        <w:t>1. INTRODUCTION</w:t>
      </w:r>
    </w:p>
    <w:p>
      <w:r>
        <w:rPr>
          <w:rFonts w:ascii="Times New Roman" w:hAnsi="Times New Roman"/>
          <w:b w:val="0"/>
          <w:i w:val="0"/>
          <w:sz w:val="22"/>
        </w:rPr>
        <w:t>Neural networks can achieve near-zero training error on datasets with deliberately corrupted labels while generalizing on clean test data, a finding that challenges simple readings of the bias-variance tradeoff [1]. Zhang et al. [1] showed that deep networks memorize random labels without sacrificing test performance, and Feldman [5] later demonstrated that some memorization is necessary for optimal generalization on long-tailed distributions. The question of how memorization is physically instantiated inside a network — what changes in weight geometry, internal representations, or localizable circuits — remains open.</w:t>
      </w:r>
    </w:p>
    <w:p>
      <w:r>
        <w:rPr>
          <w:rFonts w:ascii="Times New Roman" w:hAnsi="Times New Roman"/>
          <w:b w:val="0"/>
          <w:i w:val="0"/>
          <w:sz w:val="22"/>
        </w:rPr>
        <w:t>Three families of methods bear on this question, but they have not been applied jointly to a controlled memorization setting. Representation similarity metrics, particularly centered kernel alignment (CKA) [2], compare how networks process information across layers and training conditions but have rarely been used to contrast clean and corrupted regimes systematically. Influence functions [3] estimate the per-example impact on model parameters, yet ground-truth validation against known corruption indices is uncommon. Rank-one model editing (ROME) [4] localizes and surgically modifies factual associations in language models. Whether the same approach detects memorization in classifiers is an open question this paper addresses.</w:t>
      </w:r>
    </w:p>
    <w:p>
      <w:r>
        <w:rPr>
          <w:rFonts w:ascii="Times New Roman" w:hAnsi="Times New Roman"/>
          <w:b w:val="0"/>
          <w:i w:val="0"/>
          <w:sz w:val="22"/>
        </w:rPr>
        <w:t>This paper applies all three families within a single testbed: a two-layer fully connected network (784-16-10, approx. 12,874 parameters) trained on MNIST [6]. The 16-unit hidden layer forces a compressed representation in which neuron specialization is more likely, making circuit-level analysis tractable. The main findings are: (i) label memorization reduces spectral norms in both layers; (ii) the ReLU nonlinearity is the primary site of representational distortion, with CKA dropping from 0.850 to 0.690 (p&lt;0.001); (iii) influence-function-based memorization scores produce a statistically detectable but practically weak signal (AUC 0.514); (iv) rank-one ROME edits selectively reverse memorized class associations, recovering 9.7–21.7 percentage points of accuracy; and (v) class separability (FDR) decreases monotonically with width, from 0.862 at 16 units to 0.387 at 1,024 units.</w:t>
      </w:r>
    </w:p>
    <w:p>
      <w:pPr>
        <w:pStyle w:val="Heading1"/>
      </w:pPr>
      <w:r>
        <w:rPr>
          <w:rFonts w:ascii="Times New Roman" w:hAnsi="Times New Roman"/>
        </w:rPr>
        <w:t>2. RELATED WORK</w:t>
      </w:r>
    </w:p>
    <w:p>
      <w:pPr>
        <w:pStyle w:val="Heading2"/>
      </w:pPr>
      <w:r>
        <w:rPr>
          <w:rFonts w:ascii="Times New Roman" w:hAnsi="Times New Roman"/>
        </w:rPr>
        <w:t>2.1 Memorization and Generalization</w:t>
      </w:r>
    </w:p>
    <w:p>
      <w:r>
        <w:rPr>
          <w:rFonts w:ascii="Times New Roman" w:hAnsi="Times New Roman"/>
          <w:b w:val="0"/>
          <w:i w:val="0"/>
          <w:sz w:val="22"/>
        </w:rPr>
        <w:t>Zhang et al. [1] showed that state-of-the-art models can memorize random labels while generalizing on structured data. Feldman [5] argued that memorization of rare patterns is necessary for optimal generalization in long-tailed distributions, reframing memorization as structurally necessary rather than anomalous.</w:t>
      </w:r>
    </w:p>
    <w:p>
      <w:pPr>
        <w:pStyle w:val="Heading2"/>
      </w:pPr>
      <w:r>
        <w:rPr>
          <w:rFonts w:ascii="Times New Roman" w:hAnsi="Times New Roman"/>
        </w:rPr>
        <w:t>2.2 Centered Kernel Alignment</w:t>
      </w:r>
    </w:p>
    <w:p>
      <w:r>
        <w:rPr>
          <w:rFonts w:ascii="Times New Roman" w:hAnsi="Times New Roman"/>
          <w:b w:val="0"/>
          <w:i w:val="0"/>
          <w:sz w:val="22"/>
        </w:rPr>
        <w:t>CKA [2] is invariant to orthogonal transformations and isotropic scaling, making it suitable for comparing representations across networks trained under different conditions. Prior work has used CKA to study representational convergence; systematic application to how memorization alters layer-wise representations is limited.</w:t>
      </w:r>
    </w:p>
    <w:p>
      <w:pPr>
        <w:pStyle w:val="Heading2"/>
      </w:pPr>
      <w:r>
        <w:rPr>
          <w:rFonts w:ascii="Times New Roman" w:hAnsi="Times New Roman"/>
        </w:rPr>
        <w:t>2.3 Influence Functions and Sample Attribution</w:t>
      </w:r>
    </w:p>
    <w:p>
      <w:r>
        <w:rPr>
          <w:rFonts w:ascii="Times New Roman" w:hAnsi="Times New Roman"/>
          <w:b w:val="0"/>
          <w:i w:val="0"/>
          <w:sz w:val="22"/>
        </w:rPr>
        <w:t>Influence functions [3] estimate the counterfactual impact of individual training examples on model predictions. A known limitation is that the quadratic Hessian approximation degrades in non-convex settings; conjugate-gradient estimation of the inverse Hessian-vector product mitigates this in practice. Our validation against ground-truth corruption indices provides a direct test of approximation quality.</w:t>
      </w:r>
    </w:p>
    <w:p>
      <w:pPr>
        <w:pStyle w:val="Heading2"/>
      </w:pPr>
      <w:r>
        <w:rPr>
          <w:rFonts w:ascii="Times New Roman" w:hAnsi="Times New Roman"/>
        </w:rPr>
        <w:t>2.4 Model Editing</w:t>
      </w:r>
    </w:p>
    <w:p>
      <w:r>
        <w:rPr>
          <w:rFonts w:ascii="Times New Roman" w:hAnsi="Times New Roman"/>
          <w:b w:val="0"/>
          <w:i w:val="0"/>
          <w:sz w:val="22"/>
        </w:rPr>
        <w:t>ROME [4] frames targeted weight modification as a rank-one update, localizing a factual association to a small subspace of a single layer. This paper tests whether that framework extends to memorization in classification networks, where the 'fact' to be edited is a class-label association.</w:t>
      </w:r>
    </w:p>
    <w:p>
      <w:pPr>
        <w:pStyle w:val="Heading1"/>
      </w:pPr>
      <w:r>
        <w:rPr>
          <w:rFonts w:ascii="Times New Roman" w:hAnsi="Times New Roman"/>
        </w:rPr>
        <w:t>3. METHODOLOGY</w:t>
      </w:r>
    </w:p>
    <w:p>
      <w:pPr>
        <w:pStyle w:val="Heading2"/>
      </w:pPr>
      <w:r>
        <w:rPr>
          <w:rFonts w:ascii="Times New Roman" w:hAnsi="Times New Roman"/>
        </w:rPr>
        <w:t>3.1 Model Architecture and Training</w:t>
      </w:r>
    </w:p>
    <w:p>
      <w:r>
        <w:rPr>
          <w:rFonts w:ascii="Times New Roman" w:hAnsi="Times New Roman"/>
          <w:b w:val="0"/>
          <w:i w:val="0"/>
          <w:sz w:val="22"/>
        </w:rPr>
        <w:t>All experiments use a two-layer fully connected network (MNISTNet) with 784 input units (flattened 28×28 MNIST images), a hidden layer of 16 units with ReLU activation, and an output layer of 10 units, totaling approximately 12,874 trainable parameters. Models are trained with the Adam optimizer [7] (learning rate 0.001, batch size 128, 20 epochs, cross-entropy loss). Ten independent random seeds (42, 123, 456, 789, 1024, 2048, 3141, 5555, 7777, 9999) are used throughout.</w:t>
      </w:r>
    </w:p>
    <w:p>
      <w:pPr>
        <w:pStyle w:val="Heading2"/>
      </w:pPr>
      <w:r>
        <w:rPr>
          <w:rFonts w:ascii="Times New Roman" w:hAnsi="Times New Roman"/>
        </w:rPr>
        <w:t>3.2 Corruption Regimes</w:t>
      </w:r>
    </w:p>
    <w:p>
      <w:r>
        <w:rPr>
          <w:rFonts w:ascii="Times New Roman" w:hAnsi="Times New Roman"/>
          <w:b w:val="0"/>
          <w:i w:val="0"/>
          <w:sz w:val="22"/>
        </w:rPr>
        <w:t>Two regimes are employed for different phases. Regime A (random label noise, Phases 1–3 and scaling): 20% of training labels (approx. 12,000 of 60,000) are randomly reassigned prior to training, independently per seed. Corrupted indices are saved for post-hoc validation of memorization scores. Regime B (targeted class swap, Phase 4 only): all examples of a source class are relabeled to a target class, affecting approx. 5,900–6,000 examples per configuration. Four source-target pairs are tested: 7→1, 1→7, 5→6, and 0→8. This creates a concentrated backdoor distinct from the diffuse corruption of Regime A.</w:t>
      </w:r>
    </w:p>
    <w:p>
      <w:pPr>
        <w:pStyle w:val="Heading2"/>
      </w:pPr>
      <w:r>
        <w:rPr>
          <w:rFonts w:ascii="Times New Roman" w:hAnsi="Times New Roman"/>
        </w:rPr>
        <w:t>3.3 Four-Phase Pipeline</w:t>
      </w:r>
    </w:p>
    <w:p>
      <w:r>
        <w:rPr>
          <w:rFonts w:ascii="Times New Roman" w:hAnsi="Times New Roman"/>
          <w:b w:val="0"/>
          <w:i w:val="0"/>
          <w:sz w:val="22"/>
        </w:rPr>
        <w:t>Figure 1 illustrates the pipeline. Each phase is described below.</w:t>
      </w:r>
    </w:p>
    <w:p>
      <w:r>
        <w:rPr>
          <w:rFonts w:ascii="Times New Roman" w:hAnsi="Times New Roman"/>
          <w:b w:val="0"/>
          <w:i/>
          <w:sz w:val="22"/>
        </w:rPr>
        <w:t>Figure 1. Overview of the four-phase analysis pipeline.</w:t>
      </w:r>
    </w:p>
    <w:p>
      <w:r>
        <w:rPr>
          <w:rFonts w:ascii="Times New Roman" w:hAnsi="Times New Roman"/>
          <w:b/>
          <w:i w:val="0"/>
          <w:sz w:val="22"/>
        </w:rPr>
        <w:t xml:space="preserve">Phase 1: Weight geometry. </w:t>
      </w:r>
      <w:r>
        <w:rPr>
          <w:rFonts w:ascii="Times New Roman" w:hAnsi="Times New Roman"/>
          <w:b w:val="0"/>
          <w:i w:val="0"/>
          <w:sz w:val="22"/>
        </w:rPr>
        <w:t>We compute Frobenius and spectral norms of FC1 and FC2, final-epoch gradient norm, and epoch-wise accuracy/loss curves.</w:t>
      </w:r>
    </w:p>
    <w:p>
      <w:r>
        <w:rPr>
          <w:rFonts w:ascii="Times New Roman" w:hAnsi="Times New Roman"/>
          <w:b/>
          <w:i w:val="0"/>
          <w:sz w:val="22"/>
        </w:rPr>
        <w:t xml:space="preserve">Phase 2: Representation similarity. </w:t>
      </w:r>
      <w:r>
        <w:rPr>
          <w:rFonts w:ascii="Times New Roman" w:hAnsi="Times New Roman"/>
          <w:b w:val="0"/>
          <w:i w:val="0"/>
          <w:sz w:val="22"/>
        </w:rPr>
        <w:t>Activations are extracted on 5,000 held-out test examples at three points: input, pre-activation hidden layer (FC1_pre), and post-ReLU hidden layer (FC1_post). Linear CKA quantifies similarity between clean and corrupted representations. Auxiliary diagnostics include activation sparsity, mean/std of activations, PCA, and t-SNE.</w:t>
      </w:r>
    </w:p>
    <w:p>
      <w:r>
        <w:rPr>
          <w:rFonts w:ascii="Times New Roman" w:hAnsi="Times New Roman"/>
          <w:b/>
          <w:i w:val="0"/>
          <w:sz w:val="22"/>
        </w:rPr>
        <w:t xml:space="preserve">Phase 3: Influence and memorization scoring. </w:t>
      </w:r>
      <w:r>
        <w:rPr>
          <w:rFonts w:ascii="Times New Roman" w:hAnsi="Times New Roman"/>
          <w:b w:val="0"/>
          <w:i w:val="0"/>
          <w:sz w:val="22"/>
        </w:rPr>
        <w:t>Per-sample training loss is used to classify examples as memorized (top loss quartile under a clean model). Approximate influence scores are computed via conjugate-gradient estimation of the inverse Hessian-vector product [3]. Circuit sparsity and monosemanticity (fraction of hidden units with class-conditional activation correlation &gt;0.5) serve as structural diagnostics.</w:t>
      </w:r>
    </w:p>
    <w:p>
      <w:r>
        <w:rPr>
          <w:rFonts w:ascii="Times New Roman" w:hAnsi="Times New Roman"/>
          <w:b/>
          <w:i w:val="0"/>
          <w:sz w:val="22"/>
        </w:rPr>
        <w:t xml:space="preserve">Phase 4: Causal intervention via ROME. </w:t>
      </w:r>
      <w:r>
        <w:rPr>
          <w:rFonts w:ascii="Times New Roman" w:hAnsi="Times New Roman"/>
          <w:b w:val="0"/>
          <w:i w:val="0"/>
          <w:sz w:val="22"/>
        </w:rPr>
        <w:t>For each Regime B configuration, a rank-one edit ΔW = (v – Wu)u˙ / u·u is applied to FC1 or FC2, where u is a key vector for the source class and v is a target output vector. We measure accuracy recovery, side effects on non-targeted classes, and ‖ΔW‖. A rank-ablation study replaces W with its best rank-k approximation for k=1–10.</w:t>
      </w:r>
    </w:p>
    <w:p>
      <w:pPr>
        <w:pStyle w:val="Heading2"/>
      </w:pPr>
      <w:r>
        <w:rPr>
          <w:rFonts w:ascii="Times New Roman" w:hAnsi="Times New Roman"/>
        </w:rPr>
        <w:t>3.4 Separability Metrics</w:t>
      </w:r>
    </w:p>
    <w:p>
      <w:r>
        <w:rPr>
          <w:rFonts w:ascii="Times New Roman" w:hAnsi="Times New Roman"/>
          <w:b w:val="0"/>
          <w:i w:val="0"/>
          <w:sz w:val="22"/>
        </w:rPr>
        <w:t>The Fisher discriminant ratio (FDR = tr(S_B)/tr(S_W)) is the primary class-separability metric; it is dimension-invariant and suitable for cross-width comparisons. The Davies-Bouldin index is used as an auxiliary diagnostic for t-SNE visualizations.</w:t>
      </w:r>
    </w:p>
    <w:p>
      <w:pPr>
        <w:pStyle w:val="Heading1"/>
      </w:pPr>
      <w:r>
        <w:rPr>
          <w:rFonts w:ascii="Times New Roman" w:hAnsi="Times New Roman"/>
        </w:rPr>
        <w:t>4. RESULTS</w:t>
      </w:r>
    </w:p>
    <w:p>
      <w:pPr>
        <w:pStyle w:val="Heading2"/>
      </w:pPr>
      <w:r>
        <w:rPr>
          <w:rFonts w:ascii="Times New Roman" w:hAnsi="Times New Roman"/>
        </w:rPr>
        <w:t>4.1 Phase 1: Weight Geometry</w:t>
      </w:r>
    </w:p>
    <w:p>
      <w:r>
        <w:rPr>
          <w:rFonts w:ascii="Times New Roman" w:hAnsi="Times New Roman"/>
          <w:b w:val="0"/>
          <w:i w:val="0"/>
          <w:sz w:val="22"/>
        </w:rPr>
        <w:t>Table 1 reports weight-geometry results comparing clean and corrupted models, aggregated across ten seeds with 95% CI.</w:t>
      </w:r>
    </w:p>
    <w:p>
      <w:r>
        <w:rPr>
          <w:rFonts w:ascii="Times New Roman" w:hAnsi="Times New Roman"/>
          <w:b w:val="0"/>
          <w:i/>
          <w:sz w:val="22"/>
        </w:rPr>
        <w:t>Table 1. Phase 1 results: weight geometry and accuracy (10 seeds, 95% CI).</w:t>
      </w:r>
    </w:p>
    <w:p>
      <w:r>
        <w:rPr>
          <w:rFonts w:ascii="Times New Roman" w:hAnsi="Times New Roman"/>
          <w:b w:val="0"/>
          <w:i w:val="0"/>
          <w:sz w:val="22"/>
        </w:rPr>
        <w:t>Corrupted training reduces test accuracy from 95.31% to 93.71% despite 20% of training labels being incorrect. Training accuracy reaches 94.21%, not 100%; the 16-unit hidden layer lacks the capacity to memorize all 12,000 corrupted samples within 20 epochs and prioritizes the 80% clean labels. Both spectral and Frobenius norms decrease significantly in both layers (all p &lt; 0.001). Spectral norms drop from 4.37 to 3.66 (FC1) and 2.58 to 1.39 (FC2). Frobenius norms drop from 12.56 to 10.33 (FC1) and 4.99 to 2.79 (FC2). The final gradient norm increases slightly (0.94 to 1.00), reflecting unresolved label conflicts.</w:t>
      </w:r>
    </w:p>
    <w:p>
      <w:pPr>
        <w:pStyle w:val="Heading2"/>
      </w:pPr>
      <w:r>
        <w:rPr>
          <w:rFonts w:ascii="Times New Roman" w:hAnsi="Times New Roman"/>
        </w:rPr>
        <w:t>4.2 Phase 2: Representation Similarity</w:t>
      </w:r>
    </w:p>
    <w:p>
      <w:r>
        <w:rPr>
          <w:rFonts w:ascii="Times New Roman" w:hAnsi="Times New Roman"/>
          <w:b w:val="0"/>
          <w:i w:val="0"/>
          <w:sz w:val="22"/>
        </w:rPr>
        <w:t>Table 2 reports CKA values between successive representation checkpoints.</w:t>
      </w:r>
    </w:p>
    <w:p>
      <w:r>
        <w:rPr>
          <w:rFonts w:ascii="Times New Roman" w:hAnsi="Times New Roman"/>
          <w:b w:val="0"/>
          <w:i/>
          <w:sz w:val="22"/>
        </w:rPr>
        <w:t>Table 2. Phase 2 results: CKA representation similarity and activation statistics (10 seeds, 95% CI).</w:t>
      </w:r>
    </w:p>
    <w:p>
      <w:r>
        <w:rPr>
          <w:rFonts w:ascii="Times New Roman" w:hAnsi="Times New Roman"/>
          <w:b w:val="0"/>
          <w:i w:val="0"/>
          <w:sz w:val="22"/>
        </w:rPr>
        <w:t>CKA between input and FC1_pre changes minimally (0.712 to 0.693, p &lt; 0.10), indicating that the linear projection in FC1 is stable across training regimes. CKA between FC1_pre and FC1_post drops sharply from 0.850 to 0.690 (p &lt; 0.001). Because this measures how similar the ReLU transformation is between clean and corrupted models on identical inputs, the collapse implies that memorization is encoded primarily in which units activate for which inputs, not in the raw linear projection weights. Corrupted models show higher activation sparsity (0.357 to 0.576) and lower mean activations (4.83 to 1.53).</w:t>
      </w:r>
    </w:p>
    <w:p>
      <w:pPr>
        <w:pStyle w:val="Heading2"/>
      </w:pPr>
      <w:r>
        <w:rPr>
          <w:rFonts w:ascii="Times New Roman" w:hAnsi="Times New Roman"/>
        </w:rPr>
        <w:t>4.3 Phase 3: Influence and Memorization Scoring</w:t>
      </w:r>
    </w:p>
    <w:p>
      <w:r>
        <w:rPr>
          <w:rFonts w:ascii="Times New Roman" w:hAnsi="Times New Roman"/>
          <w:b w:val="0"/>
          <w:i/>
          <w:sz w:val="22"/>
        </w:rPr>
        <w:t>Table 3 reports memorization metrics validated against ground-truth corruption indices.</w:t>
      </w:r>
    </w:p>
    <w:p>
      <w:r>
        <w:rPr>
          <w:rFonts w:ascii="Times New Roman" w:hAnsi="Times New Roman"/>
          <w:b w:val="0"/>
          <w:i/>
          <w:sz w:val="22"/>
        </w:rPr>
        <w:t>Table 3. Phase 3 results: memorization scoring and circuit diagnostics (10 seeds, 95% CI).</w:t>
      </w:r>
    </w:p>
    <w:p>
      <w:r>
        <w:rPr>
          <w:rFonts w:ascii="Times New Roman" w:hAnsi="Times New Roman"/>
          <w:b w:val="0"/>
          <w:i w:val="0"/>
          <w:sz w:val="22"/>
        </w:rPr>
        <w:t>The mean loss gap of −0.051 [−0.057, −0.045] confirms that corrupted examples have higher loss than clean ones under the clean model, providing a non-circular validation. A logistic regression trained on hidden activations to predict corruption status achieves AUC = 0.514, barely above random (0.5). This near-chance performance is expected: the quadratic Hessian approximation underlying influence functions degrades in non-convex settings, and the 16-unit bottleneck compresses corrupted and clean examples into overlapping loss distributions. The AUC is best interpreted as existence evidence — a statistically significant signal exists — rather than a usable detection threshold. It does not contradict the loss-gap finding (−0.051, CI excluding zero), which measures the mean rather than per-example separability.</w:t>
      </w:r>
    </w:p>
    <w:p>
      <w:r>
        <w:rPr>
          <w:rFonts w:ascii="Times New Roman" w:hAnsi="Times New Roman"/>
          <w:b w:val="0"/>
          <w:i w:val="0"/>
          <w:sz w:val="22"/>
        </w:rPr>
        <w:t>At the default width of 16 hidden units, mean circuit size is 6.6 [6.1, 7.1] units per class, and 26.9% [20.2%, 33.6%] of hidden units are monosemantic (activation correlation &gt; 0.5 with a single class). Even in this compressed regime, the network develops measurable functional specialization.</w:t>
      </w:r>
    </w:p>
    <w:p>
      <w:pPr>
        <w:pStyle w:val="Heading2"/>
      </w:pPr>
      <w:r>
        <w:rPr>
          <w:rFonts w:ascii="Times New Roman" w:hAnsi="Times New Roman"/>
        </w:rPr>
        <w:t>4.4 Phase 4: Causal Interventions via ROME</w:t>
      </w:r>
    </w:p>
    <w:p>
      <w:r>
        <w:rPr>
          <w:rFonts w:ascii="Times New Roman" w:hAnsi="Times New Roman"/>
          <w:b w:val="0"/>
          <w:i w:val="0"/>
          <w:sz w:val="22"/>
        </w:rPr>
        <w:t>Table 4 reports per-configuration ROME accuracy recovery for four Regime B class-swap backdoors.</w:t>
      </w:r>
    </w:p>
    <w:p>
      <w:r>
        <w:rPr>
          <w:rFonts w:ascii="Times New Roman" w:hAnsi="Times New Roman"/>
          <w:b w:val="0"/>
          <w:i/>
          <w:sz w:val="22"/>
        </w:rPr>
        <w:t>Table 4. Phase 4 results: ROME accuracy recovery by class-swap configuration (5 seeds).</w:t>
      </w:r>
    </w:p>
    <w:p>
      <w:r>
        <w:rPr>
          <w:rFonts w:ascii="Times New Roman" w:hAnsi="Times New Roman"/>
          <w:b w:val="0"/>
          <w:i w:val="0"/>
          <w:sz w:val="22"/>
        </w:rPr>
        <w:t>Rank-one edits produce positive accuracy recovery in all four configurations, from 9.7 percentage points (0→8) to 21.7 percentage points (1→7), mean 14.4 pp. Side effects on non-targeted classes range from 17% to 25%, consistent with the bottleneck geometry: a mean circuit size of 6.6 units per class sharing 16 hidden neurons and monosemanticity of 26.9% imply that any two class circuits share hidden units. A rank-one edit targeting one class inevitably perturbs shared directions others depend on.</w:t>
      </w:r>
    </w:p>
    <w:p>
      <w:r>
        <w:rPr>
          <w:rFonts w:ascii="Times New Roman" w:hAnsi="Times New Roman"/>
          <w:b w:val="0"/>
          <w:i w:val="0"/>
          <w:sz w:val="22"/>
        </w:rPr>
        <w:t>Random rank-one edits recover 0% of lost accuracy in every seed (signal ratio = ∞), confirming that ROME captures mechanistically meaningful structure.</w:t>
      </w:r>
    </w:p>
    <w:p>
      <w:r>
        <w:rPr>
          <w:rFonts w:ascii="Times New Roman" w:hAnsi="Times New Roman"/>
          <w:b w:val="0"/>
          <w:i w:val="0"/>
          <w:sz w:val="22"/>
        </w:rPr>
        <w:t>Multi-layer sequential editing (fc2→fc1) does not improve over fc2-only: recovery decreases from 10–22% (fc2-only) to 5–18% (both layers); fc1-only edits recover 0% across all configurations. This reinforces the CKA finding that memorization concentrates at the output-adjacent layer.</w:t>
      </w:r>
    </w:p>
    <w:p>
      <w:r>
        <w:rPr>
          <w:rFonts w:ascii="Times New Roman" w:hAnsi="Times New Roman"/>
          <w:b w:val="0"/>
          <w:i/>
          <w:sz w:val="22"/>
        </w:rPr>
        <w:t>Table 5. Multi-layer ROME recovery by layer (5 seeds, mean recovery).</w:t>
      </w:r>
    </w:p>
    <w:p>
      <w:r>
        <w:rPr>
          <w:rFonts w:ascii="Times New Roman" w:hAnsi="Times New Roman"/>
          <w:b w:val="0"/>
          <w:i w:val="0"/>
          <w:sz w:val="22"/>
        </w:rPr>
        <w:t>The rank-ablation study (Table 5) shows that a rank-eight approximation (of 10 possible) recovers approximately 93% of full test accuracy in both clean and corrupted models. Combined with the ROME results, this suggests that memorized associations occupy a compact, low-dimensional subspace of the weight matrix.</w:t>
      </w:r>
    </w:p>
    <w:p>
      <w:r>
        <w:rPr>
          <w:rFonts w:ascii="Times New Roman" w:hAnsi="Times New Roman"/>
          <w:b w:val="0"/>
          <w:i/>
          <w:sz w:val="22"/>
        </w:rPr>
        <w:t>Table 5. Rank-ablation: test accuracy vs. SVD rank of fc2 (10 seeds, 95% CI).</w:t>
      </w:r>
    </w:p>
    <w:p>
      <w:pPr>
        <w:pStyle w:val="Heading2"/>
      </w:pPr>
      <w:r>
        <w:rPr>
          <w:rFonts w:ascii="Times New Roman" w:hAnsi="Times New Roman"/>
        </w:rPr>
        <w:t>4.5 Width-Scaling Analysis</w:t>
      </w:r>
    </w:p>
    <w:p>
      <w:r>
        <w:rPr>
          <w:rFonts w:ascii="Times New Roman" w:hAnsi="Times New Roman"/>
          <w:b w:val="0"/>
          <w:i w:val="0"/>
          <w:sz w:val="22"/>
        </w:rPr>
        <w:t>Table 6 shows how metrics change with hidden dimension from 16 to 1,024 units.</w:t>
      </w:r>
    </w:p>
    <w:p>
      <w:r>
        <w:rPr>
          <w:rFonts w:ascii="Times New Roman" w:hAnsi="Times New Roman"/>
          <w:b w:val="0"/>
          <w:i/>
          <w:sz w:val="22"/>
        </w:rPr>
        <w:t>Table 6. Scaling analysis: FDR, monosemanticity, circuit size, sparsity, and accuracy vs. width (10 seeds).</w:t>
      </w:r>
    </w:p>
    <w:p>
      <w:r>
        <w:rPr>
          <w:rFonts w:ascii="Times New Roman" w:hAnsi="Times New Roman"/>
          <w:b w:val="0"/>
          <w:i w:val="0"/>
          <w:sz w:val="22"/>
        </w:rPr>
        <w:t>FDR decreases monotonically with width, from 0.862 at 16 units to 0.387 at 1,024 units. Clean-model CKA at the ReLU nonlinearity remains stable (0.83–0.90), confirming width-independent representational geometry. Monosemanticity drops from 26.9% to 7.5%; circuit size shrinks from 6.6 to 0.0 units per class. These results imply that wider networks distribute class-relevant information across more directions, making individual circuit elements less specialized and memorized associations harder to isolate.</w:t>
      </w:r>
    </w:p>
    <w:p>
      <w:pPr>
        <w:pStyle w:val="Heading1"/>
      </w:pPr>
      <w:r>
        <w:rPr>
          <w:rFonts w:ascii="Times New Roman" w:hAnsi="Times New Roman"/>
        </w:rPr>
        <w:t>5. DISCUSSION</w:t>
      </w:r>
    </w:p>
    <w:p>
      <w:pPr>
        <w:pStyle w:val="Heading2"/>
      </w:pPr>
      <w:r>
        <w:rPr>
          <w:rFonts w:ascii="Times New Roman" w:hAnsi="Times New Roman"/>
        </w:rPr>
        <w:t>5.1 Evidence for Low-Dimensional Memorization</w:t>
      </w:r>
    </w:p>
    <w:p>
      <w:r>
        <w:rPr>
          <w:rFonts w:ascii="Times New Roman" w:hAnsi="Times New Roman"/>
          <w:b w:val="0"/>
          <w:i w:val="0"/>
          <w:sz w:val="22"/>
        </w:rPr>
        <w:t>The four phases converge on a consistent picture. Correlational evidence (Phases 1–3) shows that label memorization is associated with reduced weight norms, a substantially altered post-activation representation, and a statistically distinguishable high-loss population. Causal evidence (Phase 4) shows that targeted rank-one edits can selectively reverse memorized class associations. The results support the view that, in compressed architectures, memorized associations are encoded in a compact, identifiable subspace of the weight matrices.</w:t>
      </w:r>
    </w:p>
    <w:p>
      <w:pPr>
        <w:pStyle w:val="Heading2"/>
      </w:pPr>
      <w:r>
        <w:rPr>
          <w:rFonts w:ascii="Times New Roman" w:hAnsi="Times New Roman"/>
        </w:rPr>
        <w:t>5.2 Mechanistic Interpretation of the CKA Collapse</w:t>
      </w:r>
    </w:p>
    <w:p>
      <w:r>
        <w:rPr>
          <w:rFonts w:ascii="Times New Roman" w:hAnsi="Times New Roman"/>
          <w:b w:val="0"/>
          <w:i w:val="0"/>
          <w:sz w:val="22"/>
        </w:rPr>
        <w:t>The CKA drop at the ReLU boundary (Phase 2) is the most mechanistically specific result. The linear projection in FC1 is stable across training regimes; what changes is which hidden units activate for which inputs. This is consistent with a subset of hidden units acting as detectors for specific (possibly mislabeled) examples — a hypothesis supported by the Phase 3 monosemanticity (26.9%) and circuit-size (6.6 units/class) measurements, and the Phase 4 finding that fc1 edits recover 0% accuracy.</w:t>
      </w:r>
    </w:p>
    <w:p>
      <w:pPr>
        <w:pStyle w:val="Heading2"/>
      </w:pPr>
      <w:r>
        <w:rPr>
          <w:rFonts w:ascii="Times New Roman" w:hAnsi="Times New Roman"/>
        </w:rPr>
        <w:t>5.3 Limitations</w:t>
      </w:r>
    </w:p>
    <w:p>
      <w:r>
        <w:rPr>
          <w:rFonts w:ascii="Times New Roman" w:hAnsi="Times New Roman"/>
          <w:b w:val="0"/>
          <w:i w:val="0"/>
          <w:sz w:val="22"/>
        </w:rPr>
        <w:t>Several caveats apply. First, all primary results use a single architecture (784-16-10) and dataset (MNIST); the scaling analysis extends separability measurements across widths but does not repeat the full pipeline at each width. Second, Regime A uses a fixed 20% corruption rate; scaling with noise rate is not characterized. Third, Phases 1–3 use Regime A (diffuse random label noise) while Phase 4 uses Regime B (concentrated class swaps); the causal intervention does not directly test the same memorization phenomenon as the correlational phases. Fourth, the scaling results introduce a tension: FDR and monosemanticity degrade at wider widths, implying that ROME's effectiveness as a probe may be partly an artifact of the 16-unit bottleneck and may not generalize to wider networks. Fifth, ROME recovery is partial (9.7–21.7 pp) with non-trivial side effects (17–25%), and the influence-based detector is practically weak (AUC 0.514), with training accuracy plateauing at 94.21% rather than 100% due to capacity constraints.</w:t>
      </w:r>
    </w:p>
    <w:p>
      <w:pPr>
        <w:pStyle w:val="Heading2"/>
      </w:pPr>
      <w:r>
        <w:rPr>
          <w:rFonts w:ascii="Times New Roman" w:hAnsi="Times New Roman"/>
        </w:rPr>
        <w:t>5.4 Future Directions</w:t>
      </w:r>
    </w:p>
    <w:p>
      <w:r>
        <w:rPr>
          <w:rFonts w:ascii="Times New Roman" w:hAnsi="Times New Roman"/>
          <w:b w:val="0"/>
          <w:i w:val="0"/>
          <w:sz w:val="22"/>
        </w:rPr>
        <w:t>The pipeline could be extended along several axes: varying corruption rate continuously from 0% to 100% to characterize how the CKA collapse and ROME recovery scale; repeating the full pipeline at multiple widths and depths to test the low-rank subspace hypothesis as capacity increases; applying the same diagnostics to convolutional networks on more complex datasets; and exploring whether the identified memorization subspace can be exploited for targeted unlearning.</w:t>
      </w:r>
    </w:p>
    <w:p>
      <w:pPr>
        <w:pStyle w:val="Heading1"/>
      </w:pPr>
      <w:r>
        <w:rPr>
          <w:rFonts w:ascii="Times New Roman" w:hAnsi="Times New Roman"/>
        </w:rPr>
        <w:t>6. CONCLUSION</w:t>
      </w:r>
    </w:p>
    <w:p>
      <w:r>
        <w:rPr>
          <w:rFonts w:ascii="Times New Roman" w:hAnsi="Times New Roman"/>
          <w:b w:val="0"/>
          <w:i w:val="0"/>
          <w:sz w:val="22"/>
        </w:rPr>
        <w:t>This paper presented a four-phase analysis of label memorization in a shallow two-layer ReLU network trained on MNIST, integrating weight geometry, representation similarity (CKA), influence-based scoring, and causal intervention (ROME). Across ten seeds with 95% CI, we found that label memorization reduces weight spectral norms in both layers, sharply alters the ReLU transformation (CKA: 0.850 to 0.690, p &lt; 0.001), produces a statistically detectable but practically weak influence signal (AUC 0.514, loss gap −0.051), and can be partially reversed through low-rank weight edits. A rank-eight approximation recovers ~93% of full accuracy, and scaling shows that class separability decreases with width (FDR: 0.862 to 0.387). The four-phase pipeline provides a diagnostic approach for compressed architectures, with the important caveat that the causal intervention phase is expected to degrade at wider widths where monosemanticity and circuit specialization both decrease.</w:t>
      </w:r>
    </w:p>
    <w:p>
      <w:pPr>
        <w:pStyle w:val="Heading1"/>
      </w:pPr>
      <w:r>
        <w:rPr>
          <w:rFonts w:ascii="Times New Roman" w:hAnsi="Times New Roman"/>
        </w:rPr>
        <w:t>Data and Code Availability</w:t>
      </w:r>
    </w:p>
    <w:p>
      <w:r>
        <w:rPr>
          <w:rFonts w:ascii="Times New Roman" w:hAnsi="Times New Roman"/>
          <w:b w:val="0"/>
          <w:i w:val="0"/>
          <w:sz w:val="22"/>
        </w:rPr>
        <w:t>All code, configuration files, trained checkpoints, and figure-generation scripts are publicly available. The full ten-seed pipeline can be reproduced with a single command; analysis can be rerun from existing checkpoints with the --skip-training flag. Repository: https://github.com/shamiquekhan/four-phase-memorization-analysis</w:t>
      </w:r>
    </w:p>
    <w:p>
      <w:pPr>
        <w:pStyle w:val="Heading1"/>
      </w:pPr>
      <w:r>
        <w:rPr>
          <w:rFonts w:ascii="Times New Roman" w:hAnsi="Times New Roman"/>
        </w:rPr>
        <w:t>REFERENCES</w:t>
      </w:r>
    </w:p>
    <w:p>
      <w:r>
        <w:rPr>
          <w:rFonts w:ascii="Times New Roman" w:hAnsi="Times New Roman"/>
          <w:b w:val="0"/>
          <w:i w:val="0"/>
          <w:sz w:val="22"/>
        </w:rPr>
        <w:t>[1] Zhang C, Bengio S, Hardt M, Recht B, Vinyals O. Understanding deep learning requires rethinking generalization. In: Proc Int Conf Learn Represent (ICLR); 2017.</w:t>
      </w:r>
    </w:p>
    <w:p>
      <w:r>
        <w:rPr>
          <w:rFonts w:ascii="Times New Roman" w:hAnsi="Times New Roman"/>
          <w:b w:val="0"/>
          <w:i w:val="0"/>
          <w:sz w:val="22"/>
        </w:rPr>
        <w:t>[2] Kornblith S, Norouzi M, Lee H, Hinton G. Similarity of neural network representations revisited. In: Proc 36th Int Conf Mach Learn (ICML); 2019. p. 3519–3529.</w:t>
      </w:r>
    </w:p>
    <w:p>
      <w:r>
        <w:rPr>
          <w:rFonts w:ascii="Times New Roman" w:hAnsi="Times New Roman"/>
          <w:b w:val="0"/>
          <w:i w:val="0"/>
          <w:sz w:val="22"/>
        </w:rPr>
        <w:t>[3] Koh PW, Liang P. Understanding black-box predictions via influence functions. In: Proc 34th Int Conf Mach Learn (ICML); 2017. p. 1885–1894.</w:t>
      </w:r>
    </w:p>
    <w:p>
      <w:r>
        <w:rPr>
          <w:rFonts w:ascii="Times New Roman" w:hAnsi="Times New Roman"/>
          <w:b w:val="0"/>
          <w:i w:val="0"/>
          <w:sz w:val="22"/>
        </w:rPr>
        <w:t>[4] Meng K, Bau D, Andonian A, Belinkov Y. Locating and editing factual associations in GPT. In: Adv Neural Inf Process Syst (NeurIPS); 2022. vol. 35, p. 17359–17372.</w:t>
      </w:r>
    </w:p>
    <w:p>
      <w:r>
        <w:rPr>
          <w:rFonts w:ascii="Times New Roman" w:hAnsi="Times New Roman"/>
          <w:b w:val="0"/>
          <w:i w:val="0"/>
          <w:sz w:val="22"/>
        </w:rPr>
        <w:t>[5] Feldman V. Does learning require memorization? A short tale about a long tail. In: Proc 52nd Annu ACM SIGACT Symp Theory Comput (STOC); 2020. p. 954–959.</w:t>
      </w:r>
    </w:p>
    <w:p>
      <w:r>
        <w:rPr>
          <w:rFonts w:ascii="Times New Roman" w:hAnsi="Times New Roman"/>
          <w:b w:val="0"/>
          <w:i w:val="0"/>
          <w:sz w:val="22"/>
        </w:rPr>
        <w:t>[6] LeCun Y, Cortes C, Burges CJC. MNIST handwritten digit database; 1998. Available from: http://yann.lecun.com/exdb/mnist/</w:t>
      </w:r>
    </w:p>
    <w:p>
      <w:r>
        <w:rPr>
          <w:rFonts w:ascii="Times New Roman" w:hAnsi="Times New Roman"/>
          <w:b w:val="0"/>
          <w:i w:val="0"/>
          <w:sz w:val="22"/>
        </w:rPr>
        <w:t>[7] Kingma DP, Ba J. Adam: A method for stochastic optimization. In: Proc Int Conf Learn Represent (ICLR);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