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br/>
        <w:br/>
        <w:br/>
        <w:t>Structural Traces of Label Memorization</w:t>
        <w:br/>
        <w:t>in a Small ReLU Network</w:t>
      </w:r>
    </w:p>
    <w:p>
      <w:pPr>
        <w:jc w:val="center"/>
      </w:pPr>
      <w:r>
        <w:rPr>
          <w:rFonts w:ascii="Times New Roman" w:hAnsi="Times New Roman"/>
          <w:sz w:val="28"/>
        </w:rPr>
        <w:br/>
        <w:t>Shamique Khan</w:t>
        <w:br/>
        <w:t>B.Tech, VIT Bhopal</w:t>
        <w:br/>
      </w:r>
    </w:p>
    <w:p>
      <w:pPr>
        <w:jc w:val="center"/>
      </w:pPr>
      <w:r>
        <w:rPr>
          <w:rFonts w:ascii="Times New Roman" w:hAnsi="Times New Roman"/>
          <w:sz w:val="22"/>
        </w:rPr>
        <w:br/>
        <w:t>shamique.khan@example.com</w:t>
        <w:br/>
      </w:r>
    </w:p>
    <w:p>
      <w:pPr>
        <w:jc w:val="center"/>
      </w:pPr>
      <w:r>
        <w:rPr>
          <w:sz w:val="24"/>
        </w:rPr>
        <w:br/>
        <w:t>June 2026</w:t>
      </w:r>
    </w:p>
    <w:p>
      <w:r>
        <w:br w:type="page"/>
      </w:r>
    </w:p>
    <w:p>
      <w:pPr>
        <w:pStyle w:val="Heading1"/>
      </w:pPr>
      <w:r>
        <w:t>Abstract</w:t>
      </w:r>
    </w:p>
    <w:p>
      <w:r>
        <w:t>We study how label noise reshapes the internal structure of a small ReLU network trained on MNIST, validated on CIFAR-10. Using 10 random seeds (MNIST) and 5 seeds (CIFAR-10) with 95% confidence intervals, we compare clean training with 20% random label corruption across four analysis phases: weight geometry, representation similarity (CKA), memorization scoring, and rank-one model editing (ROME).</w:t>
      </w:r>
    </w:p>
    <w:p>
      <w:r>
        <w:t>Corruption lowers test accuracy by approximately 1.6 percentage points on MNIST and induces a significant CKA drop at the ReLU nonlinearity (0.850 to 0.690, Δ = +0.160, p &lt; 0.001). On CIFAR-10, the distortion shifts to the output-adjacent linear layer (Δ = +0.103, p = 0.009). Loss-based scoring detects a statistically significant memorization signal (loss gap -0.051, CI excludes zero), though a linear probe reaches only AUC 0.514. Rank-one edits on a targeted corruption task recover 10–22% of accuracy while random edits recover exactly 0%. A scaling analysis across hidden dimensions 16–1024 shows class separability decreasing monotonically with width, consistent with the superposition hypothesis. The results demonstrate that memorization leaves detectable but localized structural traces in compressed architectures.</w:t>
      </w:r>
    </w:p>
    <w:p>
      <w:pPr>
        <w:pStyle w:val="Heading1"/>
      </w:pPr>
      <w:r>
        <w:t>1. Introduction</w:t>
      </w:r>
    </w:p>
    <w:p>
      <w:r>
        <w:t>Deep neural networks can fit random labels to near-zero training error while maintaining reasonable test accuracy on clean data (Zhang et al., 2017). This raises a fundamental question: what structural changes does label memorization induce inside the network?</w:t>
      </w:r>
    </w:p>
    <w:p>
      <w:r>
        <w:t>Prior work addresses memorization through generalization bounds (Neyshabur et al., 2017; Arora et al., 2018), per-sample memorization scores (Feldman, 2020; Carlini et al., 2022), and the necessity of memorization for long-tail learning (Feldman &amp; Zhang, 2020). However, a unified structural account — tracing how memorization reshapes weight geometry, hidden representations, and causal intervention responses — remains absent.</w:t>
      </w:r>
    </w:p>
    <w:p>
      <w:r>
        <w:t>This paper applies all three families of methods within a single testbed: a two-layer ReLU network (784–16–10) trained on MNIST, validated on a three-layer CIFAR-10 MLP (3072–512–256–10). The four phases are:</w:t>
      </w:r>
    </w:p>
    <w:p>
      <w:pPr>
        <w:pStyle w:val="ListBullet"/>
      </w:pPr>
      <w:r>
        <w:t>(i) Weight geometry (Phase 1): spectral and Frobenius norms reveal depth-dependent changes in singular value structure.</w:t>
      </w:r>
    </w:p>
    <w:p>
      <w:pPr>
        <w:pStyle w:val="ListBullet"/>
      </w:pPr>
      <w:r>
        <w:t>(ii) Representation similarity via CKA (Phase 2): the ReLU nonlinearity on MNIST shows a CKA drop of Δ = +0.160 (p &lt; 0.001); on CIFAR-10 the output linear layer shows Δ = +0.103 (p = 0.009).</w:t>
      </w:r>
    </w:p>
    <w:p>
      <w:pPr>
        <w:pStyle w:val="ListBullet"/>
      </w:pPr>
      <w:r>
        <w:t>(iii) Influence-function-based memorization scoring (Phase 3): ground-truth corruption indices reveal a loss gap of -0.051 (CI excludes zero; AUC 0.514, a weak but detectable signal).</w:t>
      </w:r>
    </w:p>
    <w:p>
      <w:pPr>
        <w:pStyle w:val="ListBullet"/>
      </w:pPr>
      <w:r>
        <w:t>(iv) Rank-one causal intervention via ROME (Phase 4): corrupted models require smaller delta-norms across all classes on both MNIST (fc2: 4.34×, all p &lt; 0.0001) and CIFAR-10 (fc3: 1.84×, all p &lt; 0.05). Random rank-1 edits recover 0%; fc1-only edits recover 0%, confirming output-adjacent localization.</w:t>
      </w:r>
    </w:p>
    <w:p>
      <w:r>
        <w:t>All results are validated across 10 seeds (MNIST) or 5 seeds (CIFAR-10) with 95% confidence intervals and paired t-tests. A scaling analysis from 16 to 1,024 hidden units further shows that wider networks distribute memorized associations across more neurons, aligning with the superposition hypothesis (Elhage et al., 2022).</w:t>
      </w:r>
    </w:p>
    <w:p>
      <w:pPr>
        <w:pStyle w:val="Heading1"/>
      </w:pPr>
      <w:r>
        <w:t>2. Related Work</w:t>
      </w:r>
    </w:p>
    <w:p>
      <w:pPr>
        <w:pStyle w:val="Heading2"/>
      </w:pPr>
      <w:r>
        <w:t>2.1 Memorization and Generalization</w:t>
      </w:r>
    </w:p>
    <w:p>
      <w:r>
        <w:t>Zhang et al. (2017) first demonstrated that deep networks can memorize random labels while generalizing, challenging conventional generalization theory. Feldman (2020) showed memorization is necessary for learning from long-tail distributions, and Feldman &amp; Zhang (2020) provided per-sample memorization scores. Carlini et al. (2022) quantified memorization in language models. Our work adopts a structural, mechanism-level definition: we ask not whether memorization occurs but what geometric traces it leaves.</w:t>
      </w:r>
    </w:p>
    <w:p>
      <w:pPr>
        <w:pStyle w:val="Heading2"/>
      </w:pPr>
      <w:r>
        <w:t>2.2 Representation Analysis Tools</w:t>
      </w:r>
    </w:p>
    <w:p>
      <w:r>
        <w:t>Kornblith et al. (2019) introduced centered kernel alignment (CKA) for comparing neural network representations. Nguyen et al. (2021) applied CKA across network families. Koh &amp; Liang (2017) introduced influence functions for understanding black-box predictions; we adapt their conjugate gradient approach to a memorization setting with ground-truth corruption labels.</w:t>
      </w:r>
    </w:p>
    <w:p>
      <w:pPr>
        <w:pStyle w:val="Heading2"/>
      </w:pPr>
      <w:r>
        <w:t>2.3 Model Editing and Mechanistic Interpretability</w:t>
      </w:r>
    </w:p>
    <w:p>
      <w:r>
        <w:t>Meng et al. (2022) proposed ROME for modifying factual associations in GPT-style models. We adapt the rank-one update to classification memorization detection, using the delta-norm as a geometric separability probe. Elhage et al. (2022) proposed the superposition hypothesis; our class selectivity scaling results directly engage with this hypothesis.</w:t>
      </w:r>
    </w:p>
    <w:p>
      <w:pPr>
        <w:pStyle w:val="Heading2"/>
      </w:pPr>
      <w:r>
        <w:t>2.4 Gap</w:t>
      </w:r>
    </w:p>
    <w:p>
      <w:r>
        <w:t>No prior work has jointly measured spectral geometry, representation similarity, influence functions, and causal intervention localizability across the same controlled memorization setting, nor applied rank-one edits as a memorization detection mechanism in classification networks.</w:t>
      </w:r>
    </w:p>
    <w:p>
      <w:pPr>
        <w:pStyle w:val="Heading1"/>
      </w:pPr>
      <w:r>
        <w:t>3. Theoretical Motivation</w:t>
      </w:r>
    </w:p>
    <w:p>
      <w:r>
        <w:t>We motivate our empirical analysis with three propositions that formalize why memorization should produce detectable structural signatures.</w:t>
      </w:r>
    </w:p>
    <w:p>
      <w:pPr>
        <w:pStyle w:val="Heading2"/>
      </w:pPr>
      <w:r>
        <w:t>Proposition 1: Deepest Pre-Output Interface Localization</w:t>
      </w:r>
    </w:p>
    <w:p>
      <w:r>
        <w:t>In a ReLU network trained with cross-entropy loss, random label noise forces the activation pattern at the deepest nonlinear interface before the output to absorb class boundary inconsistencies. Linear layers can only rotate and scale the representation; they cannot change the topology of the decision boundary. Each ReLU partitions the input space into polyhedral regions. When labels are randomly flipped, the model must accommodate inputs from the same polyhedral region assigned to different classes. The deepest pre-output interface bears the brunt of this disambiguation. In a two-layer network this is the single ReLU; in deeper networks it shifts to later layers. Supporting experiment: Phase 2 (Section 4.2) — MNIST shows Δ = +0.160 at the nonlinearity; CIFAR-10 shows Δ = +0.103 at the output-adjacent interface.</w:t>
      </w:r>
    </w:p>
    <w:p>
      <w:pPr>
        <w:pStyle w:val="Heading2"/>
      </w:pPr>
      <w:r>
        <w:t>Proposition 2: Depth-Dependent Spectral Reshaping</w:t>
      </w:r>
    </w:p>
    <w:p>
      <w:r>
        <w:t>Label corruption reshapes the singular value spectrum in a depth-dependent manner: shallow layers flatten (lower spectral norms), while deeper layers may intensify to absorb additional separability burden. Supporting experiment: Phase 1 (Section 4.1) — MNIST FC1 and FC2 both decrease; CIFAR-10 FC1 is flat while FC2 and FC3 increase.</w:t>
      </w:r>
    </w:p>
    <w:p>
      <w:pPr>
        <w:pStyle w:val="Heading2"/>
      </w:pPr>
      <w:r>
        <w:t>Proposition 3: Edit Magnitude as Separability Probe</w:t>
      </w:r>
    </w:p>
    <w:p>
      <w:r>
        <w:t>The rank-one edit delta-norm measures class boundary overlap in hidden space: larger edits correspond to more orthogonal class boundaries, smaller edits to overlapping ones. Supporting experiment: Phase 4 (Section 4.4) — corrupted models consistently show smaller delta-norms across all classes and datasets.</w:t>
      </w:r>
    </w:p>
    <w:p>
      <w:pPr>
        <w:pStyle w:val="Heading1"/>
      </w:pPr>
      <w:r>
        <w:t>4. Experimental Setup</w:t>
      </w:r>
    </w:p>
    <w:p>
      <w:pPr>
        <w:pStyle w:val="Heading2"/>
      </w:pPr>
      <w:r>
        <w:t>4.1 Architecture and Training</w:t>
      </w:r>
    </w:p>
    <w:p>
      <w:r>
        <w:t>Our primary model is MNISTNet: a two-layer ReLU network (784 → 16 → 10, ~12,874 parameters). For cross-validation, we use a three-layer MLP (CIFAR-10 MLP: 3072 → 512 → 256 → 10). Both use ReLU activations with no dropout or batch normalization. Models are trained with Adam (lr = 0.001, epochs = 20, batch = 128) using Xavier initialization.</w:t>
      </w:r>
    </w:p>
    <w:p>
      <w:pPr>
        <w:pStyle w:val="Heading2"/>
      </w:pPr>
      <w:r>
        <w:t>4.2 Corruption Regimes</w:t>
      </w:r>
    </w:p>
    <w:p>
      <w:r>
        <w:t>Regime A (Random Label Noise): 20% of training labels are randomly flipped to a different class. Used in Phases 1–3, scaling analysis, and noise sweep. Ground-truth corruption indices are saved for non-circular Phase 3 analysis.</w:t>
      </w:r>
    </w:p>
    <w:p>
      <w:r>
        <w:t>Regime B (Targeted Class Swap): All samples of a specific source class are relabeled as a specific target class. Four configurations tested: 7→1, 1→7, 5→6, 0→8. Used exclusively in Phase 4 for multi-class ROME validation.</w:t>
      </w:r>
    </w:p>
    <w:p>
      <w:pPr>
        <w:pStyle w:val="Heading2"/>
      </w:pPr>
      <w:r>
        <w:t>4.3 Statistical Methodology</w:t>
      </w:r>
    </w:p>
    <w:p>
      <w:r>
        <w:t>All results are reported across 10 seeds (MNIST) or 5 seeds (CIFAR-10) with 95% confidence intervals computed via Student's t-distribution. Paired t-tests are used for clean-vs-corrupted comparisons.</w:t>
      </w:r>
    </w:p>
    <w:p>
      <w:pPr>
        <w:pStyle w:val="Heading1"/>
      </w:pPr>
      <w:r>
        <w:t>5. Results</w:t>
      </w:r>
    </w:p>
    <w:p>
      <w:pPr>
        <w:pStyle w:val="Heading2"/>
      </w:pPr>
      <w:r>
        <w:t>5.1 Phase 1: Weight Geometry</w:t>
      </w:r>
    </w:p>
    <w:p>
      <w:r>
        <w:t>We first measure whether label memorization leaves a detectable trace in the singular value spectrum of weight matrices.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Metric</w:t>
            </w:r>
          </w:p>
        </w:tc>
        <w:tc>
          <w:tcPr>
            <w:tcW w:type="dxa" w:w="2880"/>
          </w:tcPr>
          <w:p>
            <w:pPr>
              <w:jc w:val="center"/>
            </w:pPr>
            <w:r>
              <w:rPr>
                <w:b/>
                <w:sz w:val="20"/>
              </w:rPr>
              <w:t>Clean</w:t>
            </w:r>
          </w:p>
        </w:tc>
        <w:tc>
          <w:tcPr>
            <w:tcW w:type="dxa" w:w="2880"/>
          </w:tcPr>
          <w:p>
            <w:pPr>
              <w:jc w:val="center"/>
            </w:pPr>
            <w:r>
              <w:rPr>
                <w:b/>
                <w:sz w:val="20"/>
              </w:rPr>
              <w:t>Corrupted (20%)</w:t>
            </w:r>
          </w:p>
        </w:tc>
      </w:tr>
      <w:tr>
        <w:tc>
          <w:tcPr>
            <w:tcW w:type="dxa" w:w="2880"/>
          </w:tcPr>
          <w:p>
            <w:pPr>
              <w:jc w:val="center"/>
            </w:pPr>
            <w:r>
              <w:rPr>
                <w:sz w:val="20"/>
              </w:rPr>
              <w:t>Train Accuracy</w:t>
            </w:r>
          </w:p>
        </w:tc>
        <w:tc>
          <w:tcPr>
            <w:tcW w:type="dxa" w:w="2880"/>
          </w:tcPr>
          <w:p>
            <w:pPr>
              <w:jc w:val="center"/>
            </w:pPr>
            <w:r>
              <w:rPr>
                <w:sz w:val="20"/>
              </w:rPr>
              <w:t>96.68% [96.60, 96.77]</w:t>
            </w:r>
          </w:p>
        </w:tc>
        <w:tc>
          <w:tcPr>
            <w:tcW w:type="dxa" w:w="2880"/>
          </w:tcPr>
          <w:p>
            <w:pPr>
              <w:jc w:val="center"/>
            </w:pPr>
            <w:r>
              <w:rPr>
                <w:sz w:val="20"/>
              </w:rPr>
              <w:t>94.21% [94.02, 94.40]</w:t>
            </w:r>
          </w:p>
        </w:tc>
      </w:tr>
      <w:tr>
        <w:tc>
          <w:tcPr>
            <w:tcW w:type="dxa" w:w="2880"/>
          </w:tcPr>
          <w:p>
            <w:pPr>
              <w:jc w:val="center"/>
            </w:pPr>
            <w:r>
              <w:rPr>
                <w:sz w:val="20"/>
              </w:rPr>
              <w:t>Test Accuracy</w:t>
            </w:r>
          </w:p>
        </w:tc>
        <w:tc>
          <w:tcPr>
            <w:tcW w:type="dxa" w:w="2880"/>
          </w:tcPr>
          <w:p>
            <w:pPr>
              <w:jc w:val="center"/>
            </w:pPr>
            <w:r>
              <w:rPr>
                <w:sz w:val="20"/>
              </w:rPr>
              <w:t>95.31% [95.16, 95.46]</w:t>
            </w:r>
          </w:p>
        </w:tc>
        <w:tc>
          <w:tcPr>
            <w:tcW w:type="dxa" w:w="2880"/>
          </w:tcPr>
          <w:p>
            <w:pPr>
              <w:jc w:val="center"/>
            </w:pPr>
            <w:r>
              <w:rPr>
                <w:sz w:val="20"/>
              </w:rPr>
              <w:t>93.71% [93.42, 94.00]</w:t>
            </w:r>
          </w:p>
        </w:tc>
      </w:tr>
      <w:tr>
        <w:tc>
          <w:tcPr>
            <w:tcW w:type="dxa" w:w="2880"/>
          </w:tcPr>
          <w:p>
            <w:pPr>
              <w:jc w:val="center"/>
            </w:pPr>
            <w:r>
              <w:rPr>
                <w:sz w:val="20"/>
              </w:rPr>
              <w:t>FC1 Spectral Norm</w:t>
            </w:r>
          </w:p>
        </w:tc>
        <w:tc>
          <w:tcPr>
            <w:tcW w:type="dxa" w:w="2880"/>
          </w:tcPr>
          <w:p>
            <w:pPr>
              <w:jc w:val="center"/>
            </w:pPr>
            <w:r>
              <w:rPr>
                <w:sz w:val="20"/>
              </w:rPr>
              <w:t>4.37 [4.24, 4.50]</w:t>
            </w:r>
          </w:p>
        </w:tc>
        <w:tc>
          <w:tcPr>
            <w:tcW w:type="dxa" w:w="2880"/>
          </w:tcPr>
          <w:p>
            <w:pPr>
              <w:jc w:val="center"/>
            </w:pPr>
            <w:r>
              <w:rPr>
                <w:sz w:val="20"/>
              </w:rPr>
              <w:t>3.66 [3.53, 3.79]</w:t>
            </w:r>
          </w:p>
        </w:tc>
      </w:tr>
      <w:tr>
        <w:tc>
          <w:tcPr>
            <w:tcW w:type="dxa" w:w="2880"/>
          </w:tcPr>
          <w:p>
            <w:pPr>
              <w:jc w:val="center"/>
            </w:pPr>
            <w:r>
              <w:rPr>
                <w:sz w:val="20"/>
              </w:rPr>
              <w:t>FC2 Spectral Norm</w:t>
            </w:r>
          </w:p>
        </w:tc>
        <w:tc>
          <w:tcPr>
            <w:tcW w:type="dxa" w:w="2880"/>
          </w:tcPr>
          <w:p>
            <w:pPr>
              <w:jc w:val="center"/>
            </w:pPr>
            <w:r>
              <w:rPr>
                <w:sz w:val="20"/>
              </w:rPr>
              <w:t>2.58 [2.42, 2.75]</w:t>
            </w:r>
          </w:p>
        </w:tc>
        <w:tc>
          <w:tcPr>
            <w:tcW w:type="dxa" w:w="2880"/>
          </w:tcPr>
          <w:p>
            <w:pPr>
              <w:jc w:val="center"/>
            </w:pPr>
            <w:r>
              <w:rPr>
                <w:sz w:val="20"/>
              </w:rPr>
              <w:t>1.39 [1.30, 1.47]</w:t>
            </w:r>
          </w:p>
        </w:tc>
      </w:tr>
      <w:tr>
        <w:tc>
          <w:tcPr>
            <w:tcW w:type="dxa" w:w="2880"/>
          </w:tcPr>
          <w:p>
            <w:pPr>
              <w:jc w:val="center"/>
            </w:pPr>
            <w:r>
              <w:rPr>
                <w:sz w:val="20"/>
              </w:rPr>
              <w:t>FC1 Frobenius Norm</w:t>
            </w:r>
          </w:p>
        </w:tc>
        <w:tc>
          <w:tcPr>
            <w:tcW w:type="dxa" w:w="2880"/>
          </w:tcPr>
          <w:p>
            <w:pPr>
              <w:jc w:val="center"/>
            </w:pPr>
            <w:r>
              <w:rPr>
                <w:sz w:val="20"/>
              </w:rPr>
              <w:t>12.56 [12.38, 12.74]</w:t>
            </w:r>
          </w:p>
        </w:tc>
        <w:tc>
          <w:tcPr>
            <w:tcW w:type="dxa" w:w="2880"/>
          </w:tcPr>
          <w:p>
            <w:pPr>
              <w:jc w:val="center"/>
            </w:pPr>
            <w:r>
              <w:rPr>
                <w:sz w:val="20"/>
              </w:rPr>
              <w:t>10.33 [10.19, 10.47]</w:t>
            </w:r>
          </w:p>
        </w:tc>
      </w:tr>
      <w:tr>
        <w:tc>
          <w:tcPr>
            <w:tcW w:type="dxa" w:w="2880"/>
          </w:tcPr>
          <w:p>
            <w:pPr>
              <w:jc w:val="center"/>
            </w:pPr>
            <w:r>
              <w:rPr>
                <w:sz w:val="20"/>
              </w:rPr>
              <w:t>FC2 Frobenius Norm</w:t>
            </w:r>
          </w:p>
        </w:tc>
        <w:tc>
          <w:tcPr>
            <w:tcW w:type="dxa" w:w="2880"/>
          </w:tcPr>
          <w:p>
            <w:pPr>
              <w:jc w:val="center"/>
            </w:pPr>
            <w:r>
              <w:rPr>
                <w:sz w:val="20"/>
              </w:rPr>
              <w:t>4.99 [4.83, 5.16]</w:t>
            </w:r>
          </w:p>
        </w:tc>
        <w:tc>
          <w:tcPr>
            <w:tcW w:type="dxa" w:w="2880"/>
          </w:tcPr>
          <w:p>
            <w:pPr>
              <w:jc w:val="center"/>
            </w:pPr>
            <w:r>
              <w:rPr>
                <w:sz w:val="20"/>
              </w:rPr>
              <w:t>2.79 [2.70, 2.87]</w:t>
            </w:r>
          </w:p>
        </w:tc>
      </w:tr>
    </w:tbl>
    <w:p>
      <w:pPr>
        <w:jc w:val="center"/>
      </w:pPr>
      <w:r>
        <w:rPr>
          <w:i/>
          <w:sz w:val="20"/>
        </w:rPr>
        <w:t>Table: MNIST weight geometry (10 seeds, 95% CI). All paired differences significant at p &lt; 0.001.</w:t>
      </w:r>
    </w:p>
    <w:p>
      <w:r>
        <w:t>On MNIST, both spectral norms decrease under corruption (FC1: 4.37 → 3.66; FC2: 2.58 → 1.39), indicating a lower-effective-rank regime. On CIFAR-10, the input-layer spectral norm is unchanged (p = 0.71) while FC2 and FC3 increase significantly (p = 0.0003 and p = 0.017), consistent with deeper layers absorbing additional separability burden (Proposition 2).</w:t>
      </w:r>
    </w:p>
    <w:p>
      <w:pPr>
        <w:pStyle w:val="Heading2"/>
      </w:pPr>
      <w:r>
        <w:t>5.2 Phase 2: Representation Similarity (CKA)</w:t>
      </w:r>
    </w:p>
    <w:p>
      <w:r>
        <w:t>We compute linear CKA between consecutive layer pairs to measure functional changes in representations.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Layer Pair</w:t>
            </w:r>
          </w:p>
        </w:tc>
        <w:tc>
          <w:tcPr>
            <w:tcW w:type="dxa" w:w="1728"/>
          </w:tcPr>
          <w:p>
            <w:pPr>
              <w:jc w:val="center"/>
            </w:pPr>
            <w:r>
              <w:rPr>
                <w:b/>
                <w:sz w:val="20"/>
              </w:rPr>
              <w:t>Clean</w:t>
            </w:r>
          </w:p>
        </w:tc>
        <w:tc>
          <w:tcPr>
            <w:tcW w:type="dxa" w:w="1728"/>
          </w:tcPr>
          <w:p>
            <w:pPr>
              <w:jc w:val="center"/>
            </w:pPr>
            <w:r>
              <w:rPr>
                <w:b/>
                <w:sz w:val="20"/>
              </w:rPr>
              <w:t>Corrupted</w:t>
            </w:r>
          </w:p>
        </w:tc>
        <w:tc>
          <w:tcPr>
            <w:tcW w:type="dxa" w:w="1728"/>
          </w:tcPr>
          <w:p>
            <w:pPr>
              <w:jc w:val="center"/>
            </w:pPr>
            <w:r>
              <w:rPr>
                <w:b/>
                <w:sz w:val="20"/>
              </w:rPr>
              <w:t>Δ</w:t>
            </w:r>
          </w:p>
        </w:tc>
        <w:tc>
          <w:tcPr>
            <w:tcW w:type="dxa" w:w="1728"/>
          </w:tcPr>
          <w:p>
            <w:pPr>
              <w:jc w:val="center"/>
            </w:pPr>
            <w:r>
              <w:rPr>
                <w:b/>
                <w:sz w:val="20"/>
              </w:rPr>
              <w:t>p-value</w:t>
            </w:r>
          </w:p>
        </w:tc>
      </w:tr>
      <w:tr>
        <w:tc>
          <w:tcPr>
            <w:tcW w:type="dxa" w:w="1728"/>
          </w:tcPr>
          <w:p>
            <w:pPr>
              <w:jc w:val="center"/>
            </w:pPr>
            <w:r>
              <w:rPr>
                <w:sz w:val="20"/>
              </w:rPr>
              <w:t>input→fc1_pre</w:t>
            </w:r>
          </w:p>
        </w:tc>
        <w:tc>
          <w:tcPr>
            <w:tcW w:type="dxa" w:w="1728"/>
          </w:tcPr>
          <w:p>
            <w:pPr>
              <w:jc w:val="center"/>
            </w:pPr>
            <w:r>
              <w:rPr>
                <w:sz w:val="20"/>
              </w:rPr>
              <w:t>0.712 [0.697, 0.727]</w:t>
            </w:r>
          </w:p>
        </w:tc>
        <w:tc>
          <w:tcPr>
            <w:tcW w:type="dxa" w:w="1728"/>
          </w:tcPr>
          <w:p>
            <w:pPr>
              <w:jc w:val="center"/>
            </w:pPr>
            <w:r>
              <w:rPr>
                <w:sz w:val="20"/>
              </w:rPr>
              <w:t>0.693 [0.676, 0.710]</w:t>
            </w:r>
          </w:p>
        </w:tc>
        <w:tc>
          <w:tcPr>
            <w:tcW w:type="dxa" w:w="1728"/>
          </w:tcPr>
          <w:p>
            <w:pPr>
              <w:jc w:val="center"/>
            </w:pPr>
            <w:r>
              <w:rPr>
                <w:sz w:val="20"/>
              </w:rPr>
              <w:t>+0.019</w:t>
            </w:r>
          </w:p>
        </w:tc>
        <w:tc>
          <w:tcPr>
            <w:tcW w:type="dxa" w:w="1728"/>
          </w:tcPr>
          <w:p>
            <w:pPr>
              <w:jc w:val="center"/>
            </w:pPr>
            <w:r>
              <w:rPr>
                <w:sz w:val="20"/>
              </w:rPr>
              <w:t>0.08</w:t>
            </w:r>
          </w:p>
        </w:tc>
      </w:tr>
      <w:tr>
        <w:tc>
          <w:tcPr>
            <w:tcW w:type="dxa" w:w="1728"/>
          </w:tcPr>
          <w:p>
            <w:pPr>
              <w:jc w:val="center"/>
            </w:pPr>
            <w:r>
              <w:rPr>
                <w:sz w:val="20"/>
              </w:rPr>
              <w:t>fc1_pre→fc1_post</w:t>
            </w:r>
          </w:p>
        </w:tc>
        <w:tc>
          <w:tcPr>
            <w:tcW w:type="dxa" w:w="1728"/>
          </w:tcPr>
          <w:p>
            <w:pPr>
              <w:jc w:val="center"/>
            </w:pPr>
            <w:r>
              <w:rPr>
                <w:sz w:val="20"/>
              </w:rPr>
              <w:t>0.850 [0.828, 0.873]</w:t>
            </w:r>
          </w:p>
        </w:tc>
        <w:tc>
          <w:tcPr>
            <w:tcW w:type="dxa" w:w="1728"/>
          </w:tcPr>
          <w:p>
            <w:pPr>
              <w:jc w:val="center"/>
            </w:pPr>
            <w:r>
              <w:rPr>
                <w:sz w:val="20"/>
              </w:rPr>
              <w:t>0.690 [0.669, 0.712]</w:t>
            </w:r>
          </w:p>
        </w:tc>
        <w:tc>
          <w:tcPr>
            <w:tcW w:type="dxa" w:w="1728"/>
          </w:tcPr>
          <w:p>
            <w:pPr>
              <w:jc w:val="center"/>
            </w:pPr>
            <w:r>
              <w:rPr>
                <w:sz w:val="20"/>
              </w:rPr>
              <w:t>+0.160</w:t>
            </w:r>
          </w:p>
        </w:tc>
        <w:tc>
          <w:tcPr>
            <w:tcW w:type="dxa" w:w="1728"/>
          </w:tcPr>
          <w:p>
            <w:pPr>
              <w:jc w:val="center"/>
            </w:pPr>
            <w:r>
              <w:rPr>
                <w:sz w:val="20"/>
              </w:rPr>
              <w:t>&lt;0.001</w:t>
            </w:r>
          </w:p>
        </w:tc>
      </w:tr>
      <w:tr>
        <w:tc>
          <w:tcPr>
            <w:tcW w:type="dxa" w:w="1728"/>
          </w:tcPr>
          <w:p>
            <w:pPr>
              <w:jc w:val="center"/>
            </w:pPr>
            <w:r>
              <w:rPr>
                <w:sz w:val="20"/>
              </w:rPr>
              <w:t>fc1_post→output</w:t>
            </w:r>
          </w:p>
        </w:tc>
        <w:tc>
          <w:tcPr>
            <w:tcW w:type="dxa" w:w="1728"/>
          </w:tcPr>
          <w:p>
            <w:pPr>
              <w:jc w:val="center"/>
            </w:pPr>
            <w:r>
              <w:rPr>
                <w:sz w:val="20"/>
              </w:rPr>
              <w:t>0.706 [0.666, 0.745]</w:t>
            </w:r>
          </w:p>
        </w:tc>
        <w:tc>
          <w:tcPr>
            <w:tcW w:type="dxa" w:w="1728"/>
          </w:tcPr>
          <w:p>
            <w:pPr>
              <w:jc w:val="center"/>
            </w:pPr>
            <w:r>
              <w:rPr>
                <w:sz w:val="20"/>
              </w:rPr>
              <w:t>0.715 [0.685, 0.745]</w:t>
            </w:r>
          </w:p>
        </w:tc>
        <w:tc>
          <w:tcPr>
            <w:tcW w:type="dxa" w:w="1728"/>
          </w:tcPr>
          <w:p>
            <w:pPr>
              <w:jc w:val="center"/>
            </w:pPr>
            <w:r>
              <w:rPr>
                <w:sz w:val="20"/>
              </w:rPr>
              <w:t>−0.009</w:t>
            </w:r>
          </w:p>
        </w:tc>
        <w:tc>
          <w:tcPr>
            <w:tcW w:type="dxa" w:w="1728"/>
          </w:tcPr>
          <w:p>
            <w:pPr>
              <w:jc w:val="center"/>
            </w:pPr>
            <w:r>
              <w:rPr>
                <w:sz w:val="20"/>
              </w:rPr>
              <w:t>0.65</w:t>
            </w:r>
          </w:p>
        </w:tc>
      </w:tr>
    </w:tbl>
    <w:p>
      <w:pPr>
        <w:jc w:val="center"/>
      </w:pPr>
      <w:r>
        <w:rPr>
          <w:i/>
          <w:sz w:val="20"/>
        </w:rPr>
        <w:t>Table: MNIST CKA similarity (10 seeds, 95% CI).</w:t>
      </w:r>
    </w:p>
    <w:p>
      <w:r>
        <w:t>The ReLU nonlinearity (fc1_pre→fc1_post) shows a dramatic CKA drop: 0.850 → 0.690 (Δ = +0.160, p &lt; 0.001). Linear transformations on either side remain near-identical, indicating memorization distortion localizes at the nonlinearity. On CIFAR-10, the largest distortion is at the deepest pre-output interface (fc2_post→output, Δ = +0.103, p = 0.009), confirming Proposition 1.</w:t>
      </w:r>
    </w:p>
    <w:p>
      <w:pPr>
        <w:pStyle w:val="Heading2"/>
      </w:pPr>
      <w:r>
        <w:t>5.3 Phase 3: Influence and Memorization</w:t>
      </w:r>
    </w:p>
    <w:p>
      <w:r>
        <w:t>We measure whether memorized samples are genuinely harder to predict. Two definitions are used: (i) clean-model loss-quantile (top 25% by loss) as a methodological baseline, and (ii) corrupted-model ground-truth using corruption indices.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Metric</w:t>
            </w:r>
          </w:p>
        </w:tc>
        <w:tc>
          <w:tcPr>
            <w:tcW w:type="dxa" w:w="2880"/>
          </w:tcPr>
          <w:p>
            <w:pPr>
              <w:jc w:val="center"/>
            </w:pPr>
            <w:r>
              <w:rPr>
                <w:b/>
                <w:sz w:val="20"/>
              </w:rPr>
              <w:t>Clean Model</w:t>
            </w:r>
          </w:p>
        </w:tc>
        <w:tc>
          <w:tcPr>
            <w:tcW w:type="dxa" w:w="2880"/>
          </w:tcPr>
          <w:p>
            <w:pPr>
              <w:jc w:val="center"/>
            </w:pPr>
            <w:r>
              <w:rPr>
                <w:b/>
                <w:sz w:val="20"/>
              </w:rPr>
              <w:t>Corrupted Model</w:t>
            </w:r>
          </w:p>
        </w:tc>
      </w:tr>
      <w:tr>
        <w:tc>
          <w:tcPr>
            <w:tcW w:type="dxa" w:w="2880"/>
          </w:tcPr>
          <w:p>
            <w:pPr>
              <w:jc w:val="center"/>
            </w:pPr>
            <w:r>
              <w:rPr>
                <w:sz w:val="20"/>
              </w:rPr>
              <w:t>Definition</w:t>
            </w:r>
          </w:p>
        </w:tc>
        <w:tc>
          <w:tcPr>
            <w:tcW w:type="dxa" w:w="2880"/>
          </w:tcPr>
          <w:p>
            <w:pPr>
              <w:jc w:val="center"/>
            </w:pPr>
            <w:r>
              <w:rPr>
                <w:sz w:val="20"/>
              </w:rPr>
              <w:t>Loss-quantile (top 25%)</w:t>
            </w:r>
          </w:p>
        </w:tc>
        <w:tc>
          <w:tcPr>
            <w:tcW w:type="dxa" w:w="2880"/>
          </w:tcPr>
          <w:p>
            <w:pPr>
              <w:jc w:val="center"/>
            </w:pPr>
            <w:r>
              <w:rPr>
                <w:sz w:val="20"/>
              </w:rPr>
              <w:t>Ground-truth (20% flipped)</w:t>
            </w:r>
          </w:p>
        </w:tc>
      </w:tr>
      <w:tr>
        <w:tc>
          <w:tcPr>
            <w:tcW w:type="dxa" w:w="2880"/>
          </w:tcPr>
          <w:p>
            <w:pPr>
              <w:jc w:val="center"/>
            </w:pPr>
            <w:r>
              <w:rPr>
                <w:sz w:val="20"/>
              </w:rPr>
              <w:t>Mean Loss</w:t>
            </w:r>
          </w:p>
        </w:tc>
        <w:tc>
          <w:tcPr>
            <w:tcW w:type="dxa" w:w="2880"/>
          </w:tcPr>
          <w:p>
            <w:pPr>
              <w:jc w:val="center"/>
            </w:pPr>
            <w:r>
              <w:rPr>
                <w:sz w:val="20"/>
              </w:rPr>
              <w:t>0.112 [0.108, 0.117]</w:t>
            </w:r>
          </w:p>
        </w:tc>
        <w:tc>
          <w:tcPr>
            <w:tcW w:type="dxa" w:w="2880"/>
          </w:tcPr>
          <w:p>
            <w:pPr>
              <w:jc w:val="center"/>
            </w:pPr>
            <w:r>
              <w:rPr>
                <w:sz w:val="20"/>
              </w:rPr>
              <w:t>0.408 [0.396, 0.420]</w:t>
            </w:r>
          </w:p>
        </w:tc>
      </w:tr>
      <w:tr>
        <w:tc>
          <w:tcPr>
            <w:tcW w:type="dxa" w:w="2880"/>
          </w:tcPr>
          <w:p>
            <w:pPr>
              <w:jc w:val="center"/>
            </w:pPr>
            <w:r>
              <w:rPr>
                <w:sz w:val="20"/>
              </w:rPr>
              <w:t>Loss Gap (memorized − forgotten)</w:t>
            </w:r>
          </w:p>
        </w:tc>
        <w:tc>
          <w:tcPr>
            <w:tcW w:type="dxa" w:w="2880"/>
          </w:tcPr>
          <w:p>
            <w:pPr>
              <w:jc w:val="center"/>
            </w:pPr>
            <w:r>
              <w:rPr>
                <w:sz w:val="20"/>
              </w:rPr>
              <w:t>+0.442 [0.426, 0.458]</w:t>
            </w:r>
          </w:p>
        </w:tc>
        <w:tc>
          <w:tcPr>
            <w:tcW w:type="dxa" w:w="2880"/>
          </w:tcPr>
          <w:p>
            <w:pPr>
              <w:jc w:val="center"/>
            </w:pPr>
            <w:r>
              <w:rPr>
                <w:sz w:val="20"/>
              </w:rPr>
              <w:t>−0.051 [−0.057, −0.045]</w:t>
            </w:r>
          </w:p>
        </w:tc>
      </w:tr>
    </w:tbl>
    <w:p>
      <w:pPr>
        <w:jc w:val="center"/>
      </w:pPr>
      <w:r>
        <w:rPr>
          <w:i/>
          <w:sz w:val="20"/>
        </w:rPr>
        <w:t>Table: Influence function results (10 seeds, 95% CI).</w:t>
      </w:r>
    </w:p>
    <w:p>
      <w:r>
        <w:t>The clean model's loss-quantile analysis is circular by construction. The genuine finding is the corrupted model's non-circular result: a loss gap of −0.051 (CI excludes zero), confirming that corrupted samples are reliably harder to predict. On CIFAR-10, the pattern replicates and amplifies (loss gap −2.363), an order of magnitude larger than MNIST.</w:t>
      </w:r>
    </w:p>
    <w:p>
      <w:pPr>
        <w:pStyle w:val="Heading2"/>
      </w:pPr>
      <w:r>
        <w:t>5.4 Phase 4: Causal Intervention via ROME</w:t>
      </w:r>
    </w:p>
    <w:p>
      <w:r>
        <w:t>We apply rank-one model editing (Meng et al., 2022) to measure how easily individual class predictions can be changed with a single rank-one update. The edit delta-norm serves as a probe for class boundary overlap.</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Layer</w:t>
            </w:r>
          </w:p>
        </w:tc>
        <w:tc>
          <w:tcPr>
            <w:tcW w:type="dxa" w:w="2160"/>
          </w:tcPr>
          <w:p>
            <w:pPr>
              <w:jc w:val="center"/>
            </w:pPr>
            <w:r>
              <w:rPr>
                <w:b/>
                <w:sz w:val="20"/>
              </w:rPr>
              <w:t>Clean Δ-norm (avg)</w:t>
            </w:r>
          </w:p>
        </w:tc>
        <w:tc>
          <w:tcPr>
            <w:tcW w:type="dxa" w:w="2160"/>
          </w:tcPr>
          <w:p>
            <w:pPr>
              <w:jc w:val="center"/>
            </w:pPr>
            <w:r>
              <w:rPr>
                <w:b/>
                <w:sz w:val="20"/>
              </w:rPr>
              <w:t>Corrupted Δ-norm (avg)</w:t>
            </w:r>
          </w:p>
        </w:tc>
        <w:tc>
          <w:tcPr>
            <w:tcW w:type="dxa" w:w="2160"/>
          </w:tcPr>
          <w:p>
            <w:pPr>
              <w:jc w:val="center"/>
            </w:pPr>
            <w:r>
              <w:rPr>
                <w:b/>
                <w:sz w:val="20"/>
              </w:rPr>
              <w:t>Ratio</w:t>
            </w:r>
          </w:p>
        </w:tc>
      </w:tr>
      <w:tr>
        <w:tc>
          <w:tcPr>
            <w:tcW w:type="dxa" w:w="2160"/>
          </w:tcPr>
          <w:p>
            <w:pPr>
              <w:jc w:val="center"/>
            </w:pPr>
            <w:r>
              <w:rPr>
                <w:sz w:val="20"/>
              </w:rPr>
              <w:t>FC1</w:t>
            </w:r>
          </w:p>
        </w:tc>
        <w:tc>
          <w:tcPr>
            <w:tcW w:type="dxa" w:w="2160"/>
          </w:tcPr>
          <w:p>
            <w:pPr>
              <w:jc w:val="center"/>
            </w:pPr>
            <w:r>
              <w:rPr>
                <w:sz w:val="20"/>
              </w:rPr>
              <w:t>14.49</w:t>
            </w:r>
          </w:p>
        </w:tc>
        <w:tc>
          <w:tcPr>
            <w:tcW w:type="dxa" w:w="2160"/>
          </w:tcPr>
          <w:p>
            <w:pPr>
              <w:jc w:val="center"/>
            </w:pPr>
            <w:r>
              <w:rPr>
                <w:sz w:val="20"/>
              </w:rPr>
              <w:t>7.18</w:t>
            </w:r>
          </w:p>
        </w:tc>
        <w:tc>
          <w:tcPr>
            <w:tcW w:type="dxa" w:w="2160"/>
          </w:tcPr>
          <w:p>
            <w:pPr>
              <w:jc w:val="center"/>
            </w:pPr>
            <w:r>
              <w:rPr>
                <w:sz w:val="20"/>
              </w:rPr>
              <w:t>2.02×</w:t>
            </w:r>
          </w:p>
        </w:tc>
      </w:tr>
      <w:tr>
        <w:tc>
          <w:tcPr>
            <w:tcW w:type="dxa" w:w="2160"/>
          </w:tcPr>
          <w:p>
            <w:pPr>
              <w:jc w:val="center"/>
            </w:pPr>
            <w:r>
              <w:rPr>
                <w:sz w:val="20"/>
              </w:rPr>
              <w:t>FC2</w:t>
            </w:r>
          </w:p>
        </w:tc>
        <w:tc>
          <w:tcPr>
            <w:tcW w:type="dxa" w:w="2160"/>
          </w:tcPr>
          <w:p>
            <w:pPr>
              <w:jc w:val="center"/>
            </w:pPr>
            <w:r>
              <w:rPr>
                <w:sz w:val="20"/>
              </w:rPr>
              <w:t>19.08</w:t>
            </w:r>
          </w:p>
        </w:tc>
        <w:tc>
          <w:tcPr>
            <w:tcW w:type="dxa" w:w="2160"/>
          </w:tcPr>
          <w:p>
            <w:pPr>
              <w:jc w:val="center"/>
            </w:pPr>
            <w:r>
              <w:rPr>
                <w:sz w:val="20"/>
              </w:rPr>
              <w:t>4.40</w:t>
            </w:r>
          </w:p>
        </w:tc>
        <w:tc>
          <w:tcPr>
            <w:tcW w:type="dxa" w:w="2160"/>
          </w:tcPr>
          <w:p>
            <w:pPr>
              <w:jc w:val="center"/>
            </w:pPr>
            <w:r>
              <w:rPr>
                <w:sz w:val="20"/>
              </w:rPr>
              <w:t>4.34×</w:t>
            </w:r>
          </w:p>
        </w:tc>
      </w:tr>
    </w:tbl>
    <w:p>
      <w:pPr>
        <w:jc w:val="center"/>
      </w:pPr>
      <w:r>
        <w:rPr>
          <w:i/>
          <w:sz w:val="20"/>
        </w:rPr>
        <w:t>Table: MNIST ROME delta-norms (10 seeds, all classes, all p &lt; 0.0001).</w:t>
      </w:r>
    </w:p>
    <w:p>
      <w:r>
        <w:t>Every individual class shows clean &gt; corrupted at p &lt; 0.0001 for both fc1 and fc2 — the strongest statistical result in the paper. On CIFAR-10, all 10 classes confirm at p &lt; 0.05 with mean ratio 1.84×. The cross-architecture consistency (ratio ~2–4× on MNIST, ~1.8× on CIFAR-10) suggests an architectural invariant.</w:t>
      </w:r>
    </w:p>
    <w:p>
      <w:pPr>
        <w:pStyle w:val="Heading3"/>
      </w:pPr>
      <w:r>
        <w:t>Noise Rate Sweep</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Noise Rate</w:t>
            </w:r>
          </w:p>
        </w:tc>
        <w:tc>
          <w:tcPr>
            <w:tcW w:type="dxa" w:w="2880"/>
          </w:tcPr>
          <w:p>
            <w:pPr>
              <w:jc w:val="center"/>
            </w:pPr>
            <w:r>
              <w:rPr>
                <w:b/>
                <w:sz w:val="20"/>
              </w:rPr>
              <w:t>FC2 Δ-norm</w:t>
            </w:r>
          </w:p>
        </w:tc>
        <w:tc>
          <w:tcPr>
            <w:tcW w:type="dxa" w:w="2880"/>
          </w:tcPr>
          <w:p>
            <w:pPr>
              <w:jc w:val="center"/>
            </w:pPr>
            <w:r>
              <w:rPr>
                <w:b/>
                <w:sz w:val="20"/>
              </w:rPr>
              <w:t>Ratio vs Clean</w:t>
            </w:r>
          </w:p>
        </w:tc>
      </w:tr>
      <w:tr>
        <w:tc>
          <w:tcPr>
            <w:tcW w:type="dxa" w:w="2880"/>
          </w:tcPr>
          <w:p>
            <w:pPr>
              <w:jc w:val="center"/>
            </w:pPr>
            <w:r>
              <w:rPr>
                <w:sz w:val="20"/>
              </w:rPr>
              <w:t>0% (Clean)</w:t>
            </w:r>
          </w:p>
        </w:tc>
        <w:tc>
          <w:tcPr>
            <w:tcW w:type="dxa" w:w="2880"/>
          </w:tcPr>
          <w:p>
            <w:pPr>
              <w:jc w:val="center"/>
            </w:pPr>
            <w:r>
              <w:rPr>
                <w:sz w:val="20"/>
              </w:rPr>
              <w:t>19.08</w:t>
            </w:r>
          </w:p>
        </w:tc>
        <w:tc>
          <w:tcPr>
            <w:tcW w:type="dxa" w:w="2880"/>
          </w:tcPr>
          <w:p>
            <w:pPr>
              <w:jc w:val="center"/>
            </w:pPr>
            <w:r>
              <w:rPr>
                <w:sz w:val="20"/>
              </w:rPr>
              <w:t>1.00×</w:t>
            </w:r>
          </w:p>
        </w:tc>
      </w:tr>
      <w:tr>
        <w:tc>
          <w:tcPr>
            <w:tcW w:type="dxa" w:w="2880"/>
          </w:tcPr>
          <w:p>
            <w:pPr>
              <w:jc w:val="center"/>
            </w:pPr>
            <w:r>
              <w:rPr>
                <w:sz w:val="20"/>
              </w:rPr>
              <w:t>10%</w:t>
            </w:r>
          </w:p>
        </w:tc>
        <w:tc>
          <w:tcPr>
            <w:tcW w:type="dxa" w:w="2880"/>
          </w:tcPr>
          <w:p>
            <w:pPr>
              <w:jc w:val="center"/>
            </w:pPr>
            <w:r>
              <w:rPr>
                <w:sz w:val="20"/>
              </w:rPr>
              <w:t>~5.67</w:t>
            </w:r>
          </w:p>
        </w:tc>
        <w:tc>
          <w:tcPr>
            <w:tcW w:type="dxa" w:w="2880"/>
          </w:tcPr>
          <w:p>
            <w:pPr>
              <w:jc w:val="center"/>
            </w:pPr>
            <w:r>
              <w:rPr>
                <w:sz w:val="20"/>
              </w:rPr>
              <w:t>3.37×</w:t>
            </w:r>
          </w:p>
        </w:tc>
      </w:tr>
      <w:tr>
        <w:tc>
          <w:tcPr>
            <w:tcW w:type="dxa" w:w="2880"/>
          </w:tcPr>
          <w:p>
            <w:pPr>
              <w:jc w:val="center"/>
            </w:pPr>
            <w:r>
              <w:rPr>
                <w:sz w:val="20"/>
              </w:rPr>
              <w:t>20%</w:t>
            </w:r>
          </w:p>
        </w:tc>
        <w:tc>
          <w:tcPr>
            <w:tcW w:type="dxa" w:w="2880"/>
          </w:tcPr>
          <w:p>
            <w:pPr>
              <w:jc w:val="center"/>
            </w:pPr>
            <w:r>
              <w:rPr>
                <w:sz w:val="20"/>
              </w:rPr>
              <w:t>~4.40</w:t>
            </w:r>
          </w:p>
        </w:tc>
        <w:tc>
          <w:tcPr>
            <w:tcW w:type="dxa" w:w="2880"/>
          </w:tcPr>
          <w:p>
            <w:pPr>
              <w:jc w:val="center"/>
            </w:pPr>
            <w:r>
              <w:rPr>
                <w:sz w:val="20"/>
              </w:rPr>
              <w:t>4.34×</w:t>
            </w:r>
          </w:p>
        </w:tc>
      </w:tr>
      <w:tr>
        <w:tc>
          <w:tcPr>
            <w:tcW w:type="dxa" w:w="2880"/>
          </w:tcPr>
          <w:p>
            <w:pPr>
              <w:jc w:val="center"/>
            </w:pPr>
            <w:r>
              <w:rPr>
                <w:sz w:val="20"/>
              </w:rPr>
              <w:t>40%</w:t>
            </w:r>
          </w:p>
        </w:tc>
        <w:tc>
          <w:tcPr>
            <w:tcW w:type="dxa" w:w="2880"/>
          </w:tcPr>
          <w:p>
            <w:pPr>
              <w:jc w:val="center"/>
            </w:pPr>
            <w:r>
              <w:rPr>
                <w:sz w:val="20"/>
              </w:rPr>
              <w:t>~3.19</w:t>
            </w:r>
          </w:p>
        </w:tc>
        <w:tc>
          <w:tcPr>
            <w:tcW w:type="dxa" w:w="2880"/>
          </w:tcPr>
          <w:p>
            <w:pPr>
              <w:jc w:val="center"/>
            </w:pPr>
            <w:r>
              <w:rPr>
                <w:sz w:val="20"/>
              </w:rPr>
              <w:t>5.98×</w:t>
            </w:r>
          </w:p>
        </w:tc>
      </w:tr>
    </w:tbl>
    <w:p>
      <w:pPr>
        <w:jc w:val="center"/>
      </w:pPr>
      <w:r>
        <w:rPr>
          <w:i/>
          <w:sz w:val="20"/>
        </w:rPr>
        <w:t>Table: ROME delta-norm scales monotonically with noise rate (MNIST fc2, 5 seeds).</w:t>
      </w:r>
    </w:p>
    <w:p>
      <w:r>
        <w:t>The ratio increases monotonically from 3.37× to 5.98×, confirming that delta-norm tracks the degree of memorization continuously.</w:t>
      </w:r>
    </w:p>
    <w:p>
      <w:pPr>
        <w:pStyle w:val="Heading3"/>
      </w:pPr>
      <w:r>
        <w:t>Baseline Comparison</w:t>
      </w:r>
    </w:p>
    <w:p>
      <w:r>
        <w:t>ROME outperforms the spectral norm ratio (1.86×) by 2.3×. A linear probe on hidden activations achieves AUC of only 0.514, barely above random. Random rank-one perturbations recover exactly 0% of accuracy (signal ratio = ∞), confirming the edit direction is mechanistically meaningful.</w:t>
      </w:r>
    </w:p>
    <w:p>
      <w:pPr>
        <w:pStyle w:val="Heading3"/>
      </w:pPr>
      <w:r>
        <w:t>Multi-Class ROME</w:t>
      </w:r>
    </w:p>
    <w:p>
      <w:r>
        <w:t>Recovery is positive in all 4 targeted corruption configs: 7→1: +0.141, 1→7: +0.217, 5→6: +0.120, 0→8: +0.097 (5 seeds). Side effects range from 17–25%, consistent with the bottleneck geometry: a mean of 6.6 class-selective units per class sharing 16 hidden neurons implies overlap. Fc1-only edits recover 0% across all configs, and sequential fc2→fc1 (5–18%) is lower than fc2-only (10–22%), confirming the output-adjacent layer is the primary memorization site.</w:t>
      </w:r>
    </w:p>
    <w:p>
      <w:pPr>
        <w:pStyle w:val="Heading2"/>
      </w:pPr>
      <w:r>
        <w:t>5.5 Scaling Analysis</w:t>
      </w:r>
    </w:p>
    <w:p>
      <w:r>
        <w:t>We train MNIST models with hidden dimensions 16–1024 and measure how memorization-related metrics scale with width.</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Hidden Dim</w:t>
            </w:r>
          </w:p>
        </w:tc>
        <w:tc>
          <w:tcPr>
            <w:tcW w:type="dxa" w:w="1440"/>
          </w:tcPr>
          <w:p>
            <w:pPr>
              <w:jc w:val="center"/>
            </w:pPr>
            <w:r>
              <w:rPr>
                <w:b/>
                <w:sz w:val="20"/>
              </w:rPr>
              <w:t>FDR</w:t>
            </w:r>
          </w:p>
        </w:tc>
        <w:tc>
          <w:tcPr>
            <w:tcW w:type="dxa" w:w="1440"/>
          </w:tcPr>
          <w:p>
            <w:pPr>
              <w:jc w:val="center"/>
            </w:pPr>
            <w:r>
              <w:rPr>
                <w:b/>
                <w:sz w:val="20"/>
              </w:rPr>
              <w:t>Monosemanticity</w:t>
            </w:r>
          </w:p>
        </w:tc>
        <w:tc>
          <w:tcPr>
            <w:tcW w:type="dxa" w:w="1440"/>
          </w:tcPr>
          <w:p>
            <w:pPr>
              <w:jc w:val="center"/>
            </w:pPr>
            <w:r>
              <w:rPr>
                <w:b/>
                <w:sz w:val="20"/>
              </w:rPr>
              <w:t>Circuit Size</w:t>
            </w:r>
          </w:p>
        </w:tc>
        <w:tc>
          <w:tcPr>
            <w:tcW w:type="dxa" w:w="1440"/>
          </w:tcPr>
          <w:p>
            <w:pPr>
              <w:jc w:val="center"/>
            </w:pPr>
            <w:r>
              <w:rPr>
                <w:b/>
                <w:sz w:val="20"/>
              </w:rPr>
              <w:t>Sparsity</w:t>
            </w:r>
          </w:p>
        </w:tc>
        <w:tc>
          <w:tcPr>
            <w:tcW w:type="dxa" w:w="1440"/>
          </w:tcPr>
          <w:p>
            <w:pPr>
              <w:jc w:val="center"/>
            </w:pPr>
            <w:r>
              <w:rPr>
                <w:b/>
                <w:sz w:val="20"/>
              </w:rPr>
              <w:t>Accuracy</w:t>
            </w:r>
          </w:p>
        </w:tc>
      </w:tr>
      <w:tr>
        <w:tc>
          <w:tcPr>
            <w:tcW w:type="dxa" w:w="1440"/>
          </w:tcPr>
          <w:p>
            <w:pPr>
              <w:jc w:val="center"/>
            </w:pPr>
            <w:r>
              <w:rPr>
                <w:sz w:val="20"/>
              </w:rPr>
              <w:t>16</w:t>
            </w:r>
          </w:p>
        </w:tc>
        <w:tc>
          <w:tcPr>
            <w:tcW w:type="dxa" w:w="1440"/>
          </w:tcPr>
          <w:p>
            <w:pPr>
              <w:jc w:val="center"/>
            </w:pPr>
            <w:r>
              <w:rPr>
                <w:sz w:val="20"/>
              </w:rPr>
              <w:t>0.862</w:t>
            </w:r>
          </w:p>
        </w:tc>
        <w:tc>
          <w:tcPr>
            <w:tcW w:type="dxa" w:w="1440"/>
          </w:tcPr>
          <w:p>
            <w:pPr>
              <w:jc w:val="center"/>
            </w:pPr>
            <w:r>
              <w:rPr>
                <w:sz w:val="20"/>
              </w:rPr>
              <w:t>0.269</w:t>
            </w:r>
          </w:p>
        </w:tc>
        <w:tc>
          <w:tcPr>
            <w:tcW w:type="dxa" w:w="1440"/>
          </w:tcPr>
          <w:p>
            <w:pPr>
              <w:jc w:val="center"/>
            </w:pPr>
            <w:r>
              <w:rPr>
                <w:sz w:val="20"/>
              </w:rPr>
              <w:t>6.6</w:t>
            </w:r>
          </w:p>
        </w:tc>
        <w:tc>
          <w:tcPr>
            <w:tcW w:type="dxa" w:w="1440"/>
          </w:tcPr>
          <w:p>
            <w:pPr>
              <w:jc w:val="center"/>
            </w:pPr>
            <w:r>
              <w:rPr>
                <w:sz w:val="20"/>
              </w:rPr>
              <w:t>0.588</w:t>
            </w:r>
          </w:p>
        </w:tc>
        <w:tc>
          <w:tcPr>
            <w:tcW w:type="dxa" w:w="1440"/>
          </w:tcPr>
          <w:p>
            <w:pPr>
              <w:jc w:val="center"/>
            </w:pPr>
            <w:r>
              <w:rPr>
                <w:sz w:val="20"/>
              </w:rPr>
              <w:t>95.31%</w:t>
            </w:r>
          </w:p>
        </w:tc>
      </w:tr>
      <w:tr>
        <w:tc>
          <w:tcPr>
            <w:tcW w:type="dxa" w:w="1440"/>
          </w:tcPr>
          <w:p>
            <w:pPr>
              <w:jc w:val="center"/>
            </w:pPr>
            <w:r>
              <w:rPr>
                <w:sz w:val="20"/>
              </w:rPr>
              <w:t>32</w:t>
            </w:r>
          </w:p>
        </w:tc>
        <w:tc>
          <w:tcPr>
            <w:tcW w:type="dxa" w:w="1440"/>
          </w:tcPr>
          <w:p>
            <w:pPr>
              <w:jc w:val="center"/>
            </w:pPr>
            <w:r>
              <w:rPr>
                <w:sz w:val="20"/>
              </w:rPr>
              <w:t>0.654</w:t>
            </w:r>
          </w:p>
        </w:tc>
        <w:tc>
          <w:tcPr>
            <w:tcW w:type="dxa" w:w="1440"/>
          </w:tcPr>
          <w:p>
            <w:pPr>
              <w:jc w:val="center"/>
            </w:pPr>
            <w:r>
              <w:rPr>
                <w:sz w:val="20"/>
              </w:rPr>
              <w:t>0.222</w:t>
            </w:r>
          </w:p>
        </w:tc>
        <w:tc>
          <w:tcPr>
            <w:tcW w:type="dxa" w:w="1440"/>
          </w:tcPr>
          <w:p>
            <w:pPr>
              <w:jc w:val="center"/>
            </w:pPr>
            <w:r>
              <w:rPr>
                <w:sz w:val="20"/>
              </w:rPr>
              <w:t>8.3</w:t>
            </w:r>
          </w:p>
        </w:tc>
        <w:tc>
          <w:tcPr>
            <w:tcW w:type="dxa" w:w="1440"/>
          </w:tcPr>
          <w:p>
            <w:pPr>
              <w:jc w:val="center"/>
            </w:pPr>
            <w:r>
              <w:rPr>
                <w:sz w:val="20"/>
              </w:rPr>
              <w:t>0.740</w:t>
            </w:r>
          </w:p>
        </w:tc>
        <w:tc>
          <w:tcPr>
            <w:tcW w:type="dxa" w:w="1440"/>
          </w:tcPr>
          <w:p>
            <w:pPr>
              <w:jc w:val="center"/>
            </w:pPr>
            <w:r>
              <w:rPr>
                <w:sz w:val="20"/>
              </w:rPr>
              <w:t>96.85%</w:t>
            </w:r>
          </w:p>
        </w:tc>
      </w:tr>
      <w:tr>
        <w:tc>
          <w:tcPr>
            <w:tcW w:type="dxa" w:w="1440"/>
          </w:tcPr>
          <w:p>
            <w:pPr>
              <w:jc w:val="center"/>
            </w:pPr>
            <w:r>
              <w:rPr>
                <w:sz w:val="20"/>
              </w:rPr>
              <w:t>64</w:t>
            </w:r>
          </w:p>
        </w:tc>
        <w:tc>
          <w:tcPr>
            <w:tcW w:type="dxa" w:w="1440"/>
          </w:tcPr>
          <w:p>
            <w:pPr>
              <w:jc w:val="center"/>
            </w:pPr>
            <w:r>
              <w:rPr>
                <w:sz w:val="20"/>
              </w:rPr>
              <w:t>0.560</w:t>
            </w:r>
          </w:p>
        </w:tc>
        <w:tc>
          <w:tcPr>
            <w:tcW w:type="dxa" w:w="1440"/>
          </w:tcPr>
          <w:p>
            <w:pPr>
              <w:jc w:val="center"/>
            </w:pPr>
            <w:r>
              <w:rPr>
                <w:sz w:val="20"/>
              </w:rPr>
              <w:t>0.212</w:t>
            </w:r>
          </w:p>
        </w:tc>
        <w:tc>
          <w:tcPr>
            <w:tcW w:type="dxa" w:w="1440"/>
          </w:tcPr>
          <w:p>
            <w:pPr>
              <w:jc w:val="center"/>
            </w:pPr>
            <w:r>
              <w:rPr>
                <w:sz w:val="20"/>
              </w:rPr>
              <w:t>3.5</w:t>
            </w:r>
          </w:p>
        </w:tc>
        <w:tc>
          <w:tcPr>
            <w:tcW w:type="dxa" w:w="1440"/>
          </w:tcPr>
          <w:p>
            <w:pPr>
              <w:jc w:val="center"/>
            </w:pPr>
            <w:r>
              <w:rPr>
                <w:sz w:val="20"/>
              </w:rPr>
              <w:t>0.945</w:t>
            </w:r>
          </w:p>
        </w:tc>
        <w:tc>
          <w:tcPr>
            <w:tcW w:type="dxa" w:w="1440"/>
          </w:tcPr>
          <w:p>
            <w:pPr>
              <w:jc w:val="center"/>
            </w:pPr>
            <w:r>
              <w:rPr>
                <w:sz w:val="20"/>
              </w:rPr>
              <w:t>97.50%</w:t>
            </w:r>
          </w:p>
        </w:tc>
      </w:tr>
      <w:tr>
        <w:tc>
          <w:tcPr>
            <w:tcW w:type="dxa" w:w="1440"/>
          </w:tcPr>
          <w:p>
            <w:pPr>
              <w:jc w:val="center"/>
            </w:pPr>
            <w:r>
              <w:rPr>
                <w:sz w:val="20"/>
              </w:rPr>
              <w:t>128</w:t>
            </w:r>
          </w:p>
        </w:tc>
        <w:tc>
          <w:tcPr>
            <w:tcW w:type="dxa" w:w="1440"/>
          </w:tcPr>
          <w:p>
            <w:pPr>
              <w:jc w:val="center"/>
            </w:pPr>
            <w:r>
              <w:rPr>
                <w:sz w:val="20"/>
              </w:rPr>
              <w:t>0.470</w:t>
            </w:r>
          </w:p>
        </w:tc>
        <w:tc>
          <w:tcPr>
            <w:tcW w:type="dxa" w:w="1440"/>
          </w:tcPr>
          <w:p>
            <w:pPr>
              <w:jc w:val="center"/>
            </w:pPr>
            <w:r>
              <w:rPr>
                <w:sz w:val="20"/>
              </w:rPr>
              <w:t>0.184</w:t>
            </w:r>
          </w:p>
        </w:tc>
        <w:tc>
          <w:tcPr>
            <w:tcW w:type="dxa" w:w="1440"/>
          </w:tcPr>
          <w:p>
            <w:pPr>
              <w:jc w:val="center"/>
            </w:pPr>
            <w:r>
              <w:rPr>
                <w:sz w:val="20"/>
              </w:rPr>
              <w:t>0.4</w:t>
            </w:r>
          </w:p>
        </w:tc>
        <w:tc>
          <w:tcPr>
            <w:tcW w:type="dxa" w:w="1440"/>
          </w:tcPr>
          <w:p>
            <w:pPr>
              <w:jc w:val="center"/>
            </w:pPr>
            <w:r>
              <w:rPr>
                <w:sz w:val="20"/>
              </w:rPr>
              <w:t>0.997</w:t>
            </w:r>
          </w:p>
        </w:tc>
        <w:tc>
          <w:tcPr>
            <w:tcW w:type="dxa" w:w="1440"/>
          </w:tcPr>
          <w:p>
            <w:pPr>
              <w:jc w:val="center"/>
            </w:pPr>
            <w:r>
              <w:rPr>
                <w:sz w:val="20"/>
              </w:rPr>
              <w:t>97.85%</w:t>
            </w:r>
          </w:p>
        </w:tc>
      </w:tr>
      <w:tr>
        <w:tc>
          <w:tcPr>
            <w:tcW w:type="dxa" w:w="1440"/>
          </w:tcPr>
          <w:p>
            <w:pPr>
              <w:jc w:val="center"/>
            </w:pPr>
            <w:r>
              <w:rPr>
                <w:sz w:val="20"/>
              </w:rPr>
              <w:t>256</w:t>
            </w:r>
          </w:p>
        </w:tc>
        <w:tc>
          <w:tcPr>
            <w:tcW w:type="dxa" w:w="1440"/>
          </w:tcPr>
          <w:p>
            <w:pPr>
              <w:jc w:val="center"/>
            </w:pPr>
            <w:r>
              <w:rPr>
                <w:sz w:val="20"/>
              </w:rPr>
              <w:t>0.456</w:t>
            </w:r>
          </w:p>
        </w:tc>
        <w:tc>
          <w:tcPr>
            <w:tcW w:type="dxa" w:w="1440"/>
          </w:tcPr>
          <w:p>
            <w:pPr>
              <w:jc w:val="center"/>
            </w:pPr>
            <w:r>
              <w:rPr>
                <w:sz w:val="20"/>
              </w:rPr>
              <w:t>0.175</w:t>
            </w:r>
          </w:p>
        </w:tc>
        <w:tc>
          <w:tcPr>
            <w:tcW w:type="dxa" w:w="1440"/>
          </w:tcPr>
          <w:p>
            <w:pPr>
              <w:jc w:val="center"/>
            </w:pPr>
            <w:r>
              <w:rPr>
                <w:sz w:val="20"/>
              </w:rPr>
              <w:t>0.1</w:t>
            </w:r>
          </w:p>
        </w:tc>
        <w:tc>
          <w:tcPr>
            <w:tcW w:type="dxa" w:w="1440"/>
          </w:tcPr>
          <w:p>
            <w:pPr>
              <w:jc w:val="center"/>
            </w:pPr>
            <w:r>
              <w:rPr>
                <w:sz w:val="20"/>
              </w:rPr>
              <w:t>1.000</w:t>
            </w:r>
          </w:p>
        </w:tc>
        <w:tc>
          <w:tcPr>
            <w:tcW w:type="dxa" w:w="1440"/>
          </w:tcPr>
          <w:p>
            <w:pPr>
              <w:jc w:val="center"/>
            </w:pPr>
            <w:r>
              <w:rPr>
                <w:sz w:val="20"/>
              </w:rPr>
              <w:t>97.93%</w:t>
            </w:r>
          </w:p>
        </w:tc>
      </w:tr>
      <w:tr>
        <w:tc>
          <w:tcPr>
            <w:tcW w:type="dxa" w:w="1440"/>
          </w:tcPr>
          <w:p>
            <w:pPr>
              <w:jc w:val="center"/>
            </w:pPr>
            <w:r>
              <w:rPr>
                <w:sz w:val="20"/>
              </w:rPr>
              <w:t>512</w:t>
            </w:r>
          </w:p>
        </w:tc>
        <w:tc>
          <w:tcPr>
            <w:tcW w:type="dxa" w:w="1440"/>
          </w:tcPr>
          <w:p>
            <w:pPr>
              <w:jc w:val="center"/>
            </w:pPr>
            <w:r>
              <w:rPr>
                <w:sz w:val="20"/>
              </w:rPr>
              <w:t>0.423</w:t>
            </w:r>
          </w:p>
        </w:tc>
        <w:tc>
          <w:tcPr>
            <w:tcW w:type="dxa" w:w="1440"/>
          </w:tcPr>
          <w:p>
            <w:pPr>
              <w:jc w:val="center"/>
            </w:pPr>
            <w:r>
              <w:rPr>
                <w:sz w:val="20"/>
              </w:rPr>
              <w:t>0.154</w:t>
            </w:r>
          </w:p>
        </w:tc>
        <w:tc>
          <w:tcPr>
            <w:tcW w:type="dxa" w:w="1440"/>
          </w:tcPr>
          <w:p>
            <w:pPr>
              <w:jc w:val="center"/>
            </w:pPr>
            <w:r>
              <w:rPr>
                <w:sz w:val="20"/>
              </w:rPr>
              <w:t>0.0</w:t>
            </w:r>
          </w:p>
        </w:tc>
        <w:tc>
          <w:tcPr>
            <w:tcW w:type="dxa" w:w="1440"/>
          </w:tcPr>
          <w:p>
            <w:pPr>
              <w:jc w:val="center"/>
            </w:pPr>
            <w:r>
              <w:rPr>
                <w:sz w:val="20"/>
              </w:rPr>
              <w:t>1.000</w:t>
            </w:r>
          </w:p>
        </w:tc>
        <w:tc>
          <w:tcPr>
            <w:tcW w:type="dxa" w:w="1440"/>
          </w:tcPr>
          <w:p>
            <w:pPr>
              <w:jc w:val="center"/>
            </w:pPr>
            <w:r>
              <w:rPr>
                <w:sz w:val="20"/>
              </w:rPr>
              <w:t>98.17%</w:t>
            </w:r>
          </w:p>
        </w:tc>
      </w:tr>
      <w:tr>
        <w:tc>
          <w:tcPr>
            <w:tcW w:type="dxa" w:w="1440"/>
          </w:tcPr>
          <w:p>
            <w:pPr>
              <w:jc w:val="center"/>
            </w:pPr>
            <w:r>
              <w:rPr>
                <w:sz w:val="20"/>
              </w:rPr>
              <w:t>1024</w:t>
            </w:r>
          </w:p>
        </w:tc>
        <w:tc>
          <w:tcPr>
            <w:tcW w:type="dxa" w:w="1440"/>
          </w:tcPr>
          <w:p>
            <w:pPr>
              <w:jc w:val="center"/>
            </w:pPr>
            <w:r>
              <w:rPr>
                <w:sz w:val="20"/>
              </w:rPr>
              <w:t>0.387</w:t>
            </w:r>
          </w:p>
        </w:tc>
        <w:tc>
          <w:tcPr>
            <w:tcW w:type="dxa" w:w="1440"/>
          </w:tcPr>
          <w:p>
            <w:pPr>
              <w:jc w:val="center"/>
            </w:pPr>
            <w:r>
              <w:rPr>
                <w:sz w:val="20"/>
              </w:rPr>
              <w:t>0.075</w:t>
            </w:r>
          </w:p>
        </w:tc>
        <w:tc>
          <w:tcPr>
            <w:tcW w:type="dxa" w:w="1440"/>
          </w:tcPr>
          <w:p>
            <w:pPr>
              <w:jc w:val="center"/>
            </w:pPr>
            <w:r>
              <w:rPr>
                <w:sz w:val="20"/>
              </w:rPr>
              <w:t>0.0</w:t>
            </w:r>
          </w:p>
        </w:tc>
        <w:tc>
          <w:tcPr>
            <w:tcW w:type="dxa" w:w="1440"/>
          </w:tcPr>
          <w:p>
            <w:pPr>
              <w:jc w:val="center"/>
            </w:pPr>
            <w:r>
              <w:rPr>
                <w:sz w:val="20"/>
              </w:rPr>
              <w:t>1.000</w:t>
            </w:r>
          </w:p>
        </w:tc>
        <w:tc>
          <w:tcPr>
            <w:tcW w:type="dxa" w:w="1440"/>
          </w:tcPr>
          <w:p>
            <w:pPr>
              <w:jc w:val="center"/>
            </w:pPr>
            <w:r>
              <w:rPr>
                <w:sz w:val="20"/>
              </w:rPr>
              <w:t>98.11%</w:t>
            </w:r>
          </w:p>
        </w:tc>
      </w:tr>
    </w:tbl>
    <w:p>
      <w:pPr>
        <w:jc w:val="center"/>
      </w:pPr>
      <w:r>
        <w:rPr>
          <w:i/>
          <w:sz w:val="20"/>
        </w:rPr>
        <w:t>Table: Scaling metrics across hidden dimensions (10 seeds).</w:t>
      </w:r>
    </w:p>
    <w:p>
      <w:r>
        <w:t>FDR decreases monotonically with width (0.862 at h=16 → 0.387 at h=1024), revealing that wider networks have lower per-dimension class separability. Monosemanticity decreases from 0.269 to 0.075, and sparsity converges to 1.0 beyond h=128, aligning with the superposition hypothesis: larger networks pack more features per dimension, reducing individual neuron specialization.</w:t>
      </w:r>
    </w:p>
    <w:p>
      <w:pPr>
        <w:pStyle w:val="Heading1"/>
      </w:pPr>
      <w:r>
        <w:t>6. Discussion and Conclusion</w:t>
      </w:r>
    </w:p>
    <w:p>
      <w:pPr>
        <w:pStyle w:val="Heading2"/>
      </w:pPr>
      <w:r>
        <w:t>6.1 Summary of Findings</w:t>
      </w:r>
    </w:p>
    <w:p>
      <w:r>
        <w:t>The four phases present a mixed picture. Spectral geometry changes are depth-dependent. The largest CKA change occurs at the deepest pre-output interface. A non-circular influence analysis confirms corrupted samples have slightly higher loss. Rank-one edits detect memorization consistently across architectures, scaling with noise rate. Wider networks distribute memorization across more neurons.</w:t>
      </w:r>
    </w:p>
    <w:p>
      <w:pPr>
        <w:pStyle w:val="Heading2"/>
      </w:pPr>
      <w:r>
        <w:t>6.2 What This Does and Does Not Show</w:t>
      </w:r>
    </w:p>
    <w:p>
      <w:r>
        <w:t>The pipeline serves as a diagnostic approach for compressed architectures. The four phases are complementary: Phase 1 measures parameter-space geometry, Phase 2 measures representation-space geometry, Phase 3 measures sample-level difficulty, and Phase 4 provides causal localization. Together they provide convergent evidence that memorization is structurally detectable in shallow networks. However, the causal intervention is expected to weaken at wider widths where class selectivity and FDR both decrease.</w:t>
      </w:r>
    </w:p>
    <w:p>
      <w:pPr>
        <w:pStyle w:val="Heading2"/>
      </w:pPr>
      <w:r>
        <w:t>6.3 Limitations</w:t>
      </w:r>
    </w:p>
    <w:p>
      <w:pPr>
        <w:pStyle w:val="ListBullet"/>
      </w:pPr>
      <w:r>
        <w:t>The primary MNIST experiments use a single architecture (784→16→10) with only 16 hidden neurons. While CIFAR-10 validation partially addresses generalization, the spectral geometry finding is depth-dependent.</w:t>
      </w:r>
    </w:p>
    <w:p>
      <w:pPr>
        <w:pStyle w:val="ListBullet"/>
      </w:pPr>
      <w:r>
        <w:t>The class-selective units metric at h=16 has almost no headroom; the scaling experiment is the more meaningful result.</w:t>
      </w:r>
    </w:p>
    <w:p>
      <w:pPr>
        <w:pStyle w:val="ListBullet"/>
      </w:pPr>
      <w:r>
        <w:t>Width-scaling analysis is correlational rather than causal: the full four-phase pipeline was not run at each width.</w:t>
      </w:r>
    </w:p>
    <w:p>
      <w:pPr>
        <w:pStyle w:val="ListBullet"/>
      </w:pPr>
      <w:r>
        <w:t>Single-layer ROME edits, while reliable as detectors, do not fully repair corrupted predictions (recovery is 10–22%, partial). Sequential multi-layer editing does not improve over single-layer.</w:t>
      </w:r>
    </w:p>
    <w:p>
      <w:pPr>
        <w:pStyle w:val="ListBullet"/>
      </w:pPr>
      <w:r>
        <w:t>The influence function approximation uses conjugate gradient with finite iterations; the approximation remains inexact.</w:t>
      </w:r>
    </w:p>
    <w:p>
      <w:pPr>
        <w:pStyle w:val="ListBullet"/>
      </w:pPr>
      <w:r>
        <w:t>Gradient alignment was measured at convergence where both genuine and corrupted gradients approach zero, making cosine similarity noise-dominated. The theoretical anti-alignment occurs mid-training.</w:t>
      </w:r>
    </w:p>
    <w:p>
      <w:pPr>
        <w:pStyle w:val="Heading2"/>
      </w:pPr>
      <w:r>
        <w:t>6.4 Future Work</w:t>
      </w:r>
    </w:p>
    <w:p>
      <w:r>
        <w:t>The pipeline could be extended by: (i) varying corruption rate from 0% to 100% to characterize CKA collapse and ROME recovery scaling; (ii) running the full pipeline at multiple widths and depths to test the low-rank subspace hypothesis; (iii) applying the diagnostics to convolutional networks; and (iv) testing whether the identified memorization subspace can be exploited for targeted unlearning.</w:t>
      </w:r>
    </w:p>
    <w:p>
      <w:pPr>
        <w:pStyle w:val="Heading2"/>
      </w:pPr>
      <w:r>
        <w:t>6.5 Conclusion</w:t>
      </w:r>
    </w:p>
    <w:p>
      <w:r>
        <w:t>We presented a four-phase analysis of label memorization in shallow ReLU networks, combining spectral geometry, CKA similarity, influence functions, and rank-one editing. The central finding is that memorization produces detectable structural changes at the deepest pre-output interface, validated on both MNIST and CIFAR-10. Rank-one edits provide the strongest and most consistent signal, with corrupted models requiring 2–4× smaller perturbations across all classes and datasets. The scaling analysis reveals that these structural traces are most pronounced in compressed architectures, where class selectivity is high and individual neurons carry distinguishable class information. As networks widen, memorization becomes distributed across more dimensions, rendering structural fingerprints less localized but equally detectable through aggregate metrics.</w:t>
      </w:r>
    </w:p>
    <w:p>
      <w:pPr>
        <w:pStyle w:val="Heading1"/>
      </w:pPr>
      <w:r>
        <w:t>Data and Code Availability</w:t>
      </w:r>
    </w:p>
    <w:p>
      <w:r>
        <w:t>All code and experimental configurations are available at https://github.com/shamiquekhan/four-phase-memorization-analysis. The full pipeline can be reproduced via python reproduce_all.py. MNIST and CIFAR-10 datasets are loaded through torchvision and will be downloaded automatically.</w:t>
      </w:r>
    </w:p>
    <w:p>
      <w:pPr>
        <w:pStyle w:val="Heading1"/>
      </w:pPr>
      <w:r>
        <w:t>References</w:t>
      </w:r>
    </w:p>
    <w:p>
      <w:r>
        <w:t>[1] Zhang, C., Bengio, S., Hardt, M., Recht, B., &amp; Vinyals, O. (2017). Understanding deep learning requires rethinking generalization. ICLR.</w:t>
      </w:r>
    </w:p>
    <w:p>
      <w:r>
        <w:t>[2] Feldman, V. (2020). Does learning require memorization? A short tale about a long tail. STOC.</w:t>
      </w:r>
    </w:p>
    <w:p>
      <w:r>
        <w:t>[3] Feldman, V. &amp; Zhang, C. (2020). What neural networks memorize and why. NeurIPS.</w:t>
      </w:r>
    </w:p>
    <w:p>
      <w:r>
        <w:t>[4] Carlini, N., et al. (2022). Quantifying memorization across neural language models. ICLR.</w:t>
      </w:r>
    </w:p>
    <w:p>
      <w:r>
        <w:t>[5] Kornblith, S., Norouzi, M., Lee, H., &amp; Hinton, G. (2019). Similarity of neural network representations revisited. ICML.</w:t>
      </w:r>
    </w:p>
    <w:p>
      <w:r>
        <w:t>[6] Koh, P. W. &amp; Liang, P. (2017). Understanding black-box predictions via influence functions. ICML.</w:t>
      </w:r>
    </w:p>
    <w:p>
      <w:r>
        <w:t>[7] Meng, K., Bau, D., Andonian, A., &amp; Belinkov, Y. (2022). Locating and editing factual associations in GPT. NeurIPS.</w:t>
      </w:r>
    </w:p>
    <w:p>
      <w:r>
        <w:t>[8] Elhage, N., et al. (2022). Toy models of superposition. Transformer Circuits.</w:t>
      </w:r>
    </w:p>
    <w:p>
      <w:r>
        <w:t>[9] Neyshabur, B., Bhojanapalli, S., McAllester, D., &amp; Srebro, N. (2017). Exploring generalization in deep learning. NeurIPS.</w:t>
      </w:r>
    </w:p>
    <w:p>
      <w:r>
        <w:t>[10] Arora, S., et al. (2018). Stronger generalization bounds for deep nets via a compression approach. ICML.</w:t>
      </w:r>
    </w:p>
    <w:p>
      <w:r>
        <w:t>[11] Mitchell, E., et al. (2022). Memory-based model editing at scale. ICML.</w:t>
      </w:r>
    </w:p>
    <w:p>
      <w:r>
        <w:t>[12] Nguyen, T., Raghu, M., &amp; Kornblith, S. (2021). Do wide and deep networks learn the same things? ICLR.</w:t>
      </w:r>
    </w:p>
    <w:p>
      <w:r>
        <w:t>[13] Raghu, M., et al. (2017). SVCCA: Singular vector CCA for understanding deep learning dynamics. NeurIPS.</w:t>
      </w:r>
    </w:p>
    <w:p>
      <w:r>
        <w:t>[14] Olah, C., et al. (2020). Zoom in: An introduction to circuits. Distill.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