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Structural Traces of Label Memorization in a Small ReLU Network</w:t>
      </w:r>
    </w:p>
    <w:p>
      <w:r>
        <w:rPr>
          <w:rFonts w:ascii="Times New Roman" w:hAnsi="Times New Roman"/>
          <w:b w:val="0"/>
          <w:i w:val="0"/>
          <w:sz w:val="22"/>
        </w:rPr>
      </w:r>
    </w:p>
    <w:p>
      <w:pPr>
        <w:jc w:val="center"/>
      </w:pPr>
      <w:r>
        <w:rPr>
          <w:rFonts w:ascii="Times New Roman" w:hAnsi="Times New Roman"/>
          <w:b w:val="0"/>
          <w:i w:val="0"/>
          <w:sz w:val="22"/>
        </w:rPr>
        <w:t>Shamique Khan</w:t>
      </w:r>
    </w:p>
    <w:p>
      <w:pPr>
        <w:jc w:val="center"/>
      </w:pPr>
      <w:r>
        <w:rPr>
          <w:rFonts w:ascii="Times New Roman" w:hAnsi="Times New Roman"/>
          <w:b w:val="0"/>
          <w:i/>
          <w:sz w:val="22"/>
        </w:rPr>
        <w:t>Bachelors of Technology – VIT Bhopal</w:t>
      </w:r>
    </w:p>
    <w:p>
      <w:pPr>
        <w:jc w:val="center"/>
      </w:pPr>
      <w:r>
        <w:rPr>
          <w:rFonts w:ascii="Times New Roman" w:hAnsi="Times New Roman"/>
          <w:b w:val="0"/>
          <w:i w:val="0"/>
          <w:sz w:val="22"/>
        </w:rPr>
        <w:t>shamique.25bai10187@vitbhopal.ac.in</w:t>
      </w:r>
    </w:p>
    <w:p>
      <w:pPr>
        <w:pStyle w:val="Heading1"/>
      </w:pPr>
      <w:r>
        <w:rPr>
          <w:rFonts w:ascii="Times New Roman" w:hAnsi="Times New Roman"/>
        </w:rPr>
        <w:t>Abstract</w:t>
      </w:r>
    </w:p>
    <w:p>
      <w:r>
        <w:rPr>
          <w:rFonts w:ascii="Times New Roman" w:hAnsi="Times New Roman"/>
          <w:b w:val="0"/>
          <w:i w:val="0"/>
          <w:sz w:val="22"/>
        </w:rPr>
        <w:t>We study how label noise changes a small ReLU network trained on MNIST. Using 10 random seeds, we compare clean training with 20% random label corruption and analyze the model from four angles: weight geometry, representation similarity, memorization scoring, and targeted rank-one editing.</w:t>
        <w:br/>
        <w:br/>
        <w:t>Corruption lowers test accuracy by about 1.6 percentage points and changes the hidden representation mainly after the ReLU nonlinearity (CKA drops from 0.850 to 0.690, p&lt;0.001). Loss-based memorization scores show a measurable difference between clean and corrupted samples (loss gap −0.051, CI excludes zero), but a linear probe trained on hidden activations reaches only AUC 0.514 — barely above chance and not a practical detector. In a separate targeted class-swap setting, rank-one edits recover 10–22% of lost source-class accuracy, while random edits recover 0%.</w:t>
        <w:br/>
        <w:br/>
        <w:t>A scaling analysis from 16 to 1,024 hidden units shows that class separability (FDR) drops as networks grow wider. The results suggest that memorization leaves detectable but limited structural changes in this compressed architecture.</w:t>
      </w:r>
    </w:p>
    <w:p>
      <w:r>
        <w:rPr>
          <w:rFonts w:ascii="Times New Roman" w:hAnsi="Times New Roman"/>
          <w:b w:val="0"/>
          <w:i w:val="0"/>
          <w:sz w:val="22"/>
        </w:rPr>
      </w:r>
    </w:p>
    <w:p>
      <w:r>
        <w:rPr>
          <w:rFonts w:ascii="Times New Roman" w:hAnsi="Times New Roman"/>
          <w:b/>
          <w:i w:val="0"/>
          <w:sz w:val="22"/>
        </w:rPr>
        <w:t xml:space="preserve">Keywords: </w:t>
      </w:r>
      <w:r>
        <w:rPr>
          <w:rFonts w:ascii="Times New Roman" w:hAnsi="Times New Roman"/>
          <w:b w:val="0"/>
          <w:i w:val="0"/>
          <w:sz w:val="22"/>
        </w:rPr>
        <w:t>neural network memorization; representation similarity; centered kernel alignment; influence functions; model editing; MNIST</w:t>
      </w:r>
    </w:p>
    <w:p>
      <w:pPr>
        <w:pStyle w:val="Heading1"/>
      </w:pPr>
      <w:r>
        <w:rPr>
          <w:rFonts w:ascii="Times New Roman" w:hAnsi="Times New Roman"/>
        </w:rPr>
        <w:t>1. INTRODUCTION</w:t>
      </w:r>
    </w:p>
    <w:p>
      <w:r>
        <w:rPr>
          <w:rFonts w:ascii="Times New Roman" w:hAnsi="Times New Roman"/>
          <w:b w:val="0"/>
          <w:i w:val="0"/>
          <w:sz w:val="22"/>
        </w:rPr>
        <w:t>Neural networks can fit random labels while still generalizing on clean test data [1]. Zhang et al. [1] demonstrated this for deep networks, and Feldman [5] later argued that some memorization is needed for long-tail generalization. What structural changes does memorization cause inside the network? This paper examines that question in a controlled setting.</w:t>
      </w:r>
    </w:p>
    <w:p>
      <w:r>
        <w:rPr>
          <w:rFonts w:ascii="Times New Roman" w:hAnsi="Times New Roman"/>
          <w:b w:val="0"/>
          <w:i w:val="0"/>
          <w:sz w:val="22"/>
        </w:rPr>
        <w:t>Three families of methods are relevant. Representation similarity metrics, particularly CKA [2], compare how networks process information across layers and training conditions. Influence functions [3] estimate per-example impact on model parameters. Rank-one model editing (ROME) [4] localizes factual associations in language models by modifying a single weight direction. These approaches have not been applied together to a controlled memorization setting.</w:t>
      </w:r>
    </w:p>
    <w:p>
      <w:r>
        <w:rPr>
          <w:rFonts w:ascii="Times New Roman" w:hAnsi="Times New Roman"/>
          <w:b w:val="0"/>
          <w:i w:val="0"/>
          <w:sz w:val="22"/>
        </w:rPr>
        <w:t>We use a two-layer fully connected network (784-16-10, ~12,874 parameters) trained on MNIST [6]. The 16-unit hidden layer creates a compressed representation that makes hidden-unit analysis easier. Our main findings are: (i) label memorization reduces spectral norms in both layers; (ii) CKA drops from 0.850 to 0.690 after the ReLU, suggesting that corruption primarily alters activation patterns rather than the preceding linear projection; (iii) influence scores show a statistically detectable but practically weak memorization signal (AUC 0.514); (iv) rank-one edits recover partial accuracy in a targeted class-swap setting, while random edits recover 0%; and (v) class separability (FDR) decreases monotonically with width, from 0.862 at 16 units to 0.387 at 1,024 units.</w:t>
      </w:r>
    </w:p>
    <w:p>
      <w:pPr>
        <w:pStyle w:val="Heading1"/>
      </w:pPr>
      <w:r>
        <w:rPr>
          <w:rFonts w:ascii="Times New Roman" w:hAnsi="Times New Roman"/>
        </w:rPr>
        <w:t>2. RELATED WORK</w:t>
      </w:r>
    </w:p>
    <w:p>
      <w:pPr>
        <w:pStyle w:val="Heading2"/>
      </w:pPr>
      <w:r>
        <w:rPr>
          <w:rFonts w:ascii="Times New Roman" w:hAnsi="Times New Roman"/>
        </w:rPr>
        <w:t>2.1 Memorization and Generalization</w:t>
      </w:r>
    </w:p>
    <w:p>
      <w:r>
        <w:rPr>
          <w:rFonts w:ascii="Times New Roman" w:hAnsi="Times New Roman"/>
          <w:b w:val="0"/>
          <w:i w:val="0"/>
          <w:sz w:val="22"/>
        </w:rPr>
        <w:t>Zhang et al. [1] showed that deep networks memorize random labels while generalizing on structured data. Feldman [5] argued that memorization of rare patterns is necessary for optimal generalization on long-tailed distributions.</w:t>
      </w:r>
    </w:p>
    <w:p>
      <w:pPr>
        <w:pStyle w:val="Heading2"/>
      </w:pPr>
      <w:r>
        <w:rPr>
          <w:rFonts w:ascii="Times New Roman" w:hAnsi="Times New Roman"/>
        </w:rPr>
        <w:t>2.2 Centered Kernel Alignment</w:t>
      </w:r>
    </w:p>
    <w:p>
      <w:r>
        <w:rPr>
          <w:rFonts w:ascii="Times New Roman" w:hAnsi="Times New Roman"/>
          <w:b w:val="0"/>
          <w:i w:val="0"/>
          <w:sz w:val="22"/>
        </w:rPr>
        <w:t>CKA [2] is invariant to orthogonal transformations and isotropic scaling, making it useful for comparing representations across networks trained under different conditions. Prior work has studied representational convergence; systematic application to memorization is limited.</w:t>
      </w:r>
    </w:p>
    <w:p>
      <w:pPr>
        <w:pStyle w:val="Heading2"/>
      </w:pPr>
      <w:r>
        <w:rPr>
          <w:rFonts w:ascii="Times New Roman" w:hAnsi="Times New Roman"/>
        </w:rPr>
        <w:t>2.3 Influence Functions</w:t>
      </w:r>
    </w:p>
    <w:p>
      <w:r>
        <w:rPr>
          <w:rFonts w:ascii="Times New Roman" w:hAnsi="Times New Roman"/>
          <w:b w:val="0"/>
          <w:i w:val="0"/>
          <w:sz w:val="22"/>
        </w:rPr>
        <w:t>Influence functions [3] estimate how individual training examples affect model predictions. A known limitation is that the quadratic Hessian approximation degrades in non-convex settings. Conjugate-gradient estimation of the inverse Hessian-vector product mitigates this. Our validation against ground-truth corruption tests the approximation directly.</w:t>
      </w:r>
    </w:p>
    <w:p>
      <w:pPr>
        <w:pStyle w:val="Heading2"/>
      </w:pPr>
      <w:r>
        <w:rPr>
          <w:rFonts w:ascii="Times New Roman" w:hAnsi="Times New Roman"/>
        </w:rPr>
        <w:t>2.4 Model Editing</w:t>
      </w:r>
    </w:p>
    <w:p>
      <w:r>
        <w:rPr>
          <w:rFonts w:ascii="Times New Roman" w:hAnsi="Times New Roman"/>
          <w:b w:val="0"/>
          <w:i w:val="0"/>
          <w:sz w:val="22"/>
        </w:rPr>
        <w:t>ROME [4] modifies factual associations in language models with a rank-one update to a single layer's weight matrix. This paper tests whether that framework extends to memorization in classification networks, where the 'fact' to be edited is a class-label association.</w:t>
      </w:r>
    </w:p>
    <w:p>
      <w:pPr>
        <w:pStyle w:val="Heading1"/>
      </w:pPr>
      <w:r>
        <w:rPr>
          <w:rFonts w:ascii="Times New Roman" w:hAnsi="Times New Roman"/>
        </w:rPr>
        <w:t>3. METHODOLOGY</w:t>
      </w:r>
    </w:p>
    <w:p>
      <w:pPr>
        <w:pStyle w:val="Heading2"/>
      </w:pPr>
      <w:r>
        <w:rPr>
          <w:rFonts w:ascii="Times New Roman" w:hAnsi="Times New Roman"/>
        </w:rPr>
        <w:t>3.1 Architecture and Training</w:t>
      </w:r>
    </w:p>
    <w:p>
      <w:r>
        <w:rPr>
          <w:rFonts w:ascii="Times New Roman" w:hAnsi="Times New Roman"/>
          <w:b w:val="0"/>
          <w:i w:val="0"/>
          <w:sz w:val="22"/>
        </w:rPr>
        <w:t>All experiments use a two-layer fully connected network (784 input units, 16 hidden units with ReLU, 10 output units). Models are trained with Adam [7] (lr=0.001, batch size 128, 20 epochs, cross-entropy loss). Ten independent random seeds are used throughout.</w:t>
      </w:r>
    </w:p>
    <w:p>
      <w:pPr>
        <w:pStyle w:val="Heading2"/>
      </w:pPr>
      <w:r>
        <w:rPr>
          <w:rFonts w:ascii="Times New Roman" w:hAnsi="Times New Roman"/>
        </w:rPr>
        <w:t>3.2 Corruption Regimes</w:t>
      </w:r>
    </w:p>
    <w:p>
      <w:r>
        <w:rPr>
          <w:rFonts w:ascii="Times New Roman" w:hAnsi="Times New Roman"/>
          <w:b w:val="0"/>
          <w:i w:val="0"/>
          <w:sz w:val="22"/>
        </w:rPr>
        <w:t>Two regimes are used. Regime A (Phases 1–3 and scaling): 20% of training labels are randomly reassigned before training, independently per seed. Corrupted indices are saved for post-hoc validation. Regime B (Phase 4 only): all examples of a source class are relabeled to a target class (configurations: 7→1, 1→7, 5→6, 0→8). This creates a concentrated backdoor. Regime B tests a different memorization setting from Regime A (targeted vs. diffuse), and results from the two should not be directly compared.</w:t>
      </w:r>
    </w:p>
    <w:p>
      <w:pPr>
        <w:pStyle w:val="Heading2"/>
      </w:pPr>
      <w:r>
        <w:rPr>
          <w:rFonts w:ascii="Times New Roman" w:hAnsi="Times New Roman"/>
        </w:rPr>
        <w:t>3.3 Four-Phase Pipeline</w:t>
      </w:r>
    </w:p>
    <w:p>
      <w:r>
        <w:rPr>
          <w:rFonts w:ascii="Times New Roman" w:hAnsi="Times New Roman"/>
          <w:b w:val="0"/>
          <w:i w:val="0"/>
          <w:sz w:val="22"/>
        </w:rPr>
        <w:t>Figure 1 shows the pipeline.</w:t>
      </w:r>
    </w:p>
    <w:p>
      <w:r>
        <w:rPr>
          <w:rFonts w:ascii="Times New Roman" w:hAnsi="Times New Roman"/>
          <w:b w:val="0"/>
          <w:i/>
          <w:sz w:val="22"/>
        </w:rPr>
        <w:t>Figure 1. Four-phase analysis pipeline.</w:t>
      </w:r>
    </w:p>
    <w:p>
      <w:r>
        <w:rPr>
          <w:rFonts w:ascii="Times New Roman" w:hAnsi="Times New Roman"/>
          <w:b/>
          <w:i w:val="0"/>
          <w:sz w:val="22"/>
        </w:rPr>
        <w:t xml:space="preserve">Phase 1 (weight geometry): </w:t>
      </w:r>
      <w:r>
        <w:rPr>
          <w:rFonts w:ascii="Times New Roman" w:hAnsi="Times New Roman"/>
          <w:b w:val="0"/>
          <w:i w:val="0"/>
          <w:sz w:val="22"/>
        </w:rPr>
        <w:t>Frobenius and spectral norms of FC1 and FC2, final gradient norm, and accuracy curves.</w:t>
      </w:r>
    </w:p>
    <w:p>
      <w:r>
        <w:rPr>
          <w:rFonts w:ascii="Times New Roman" w:hAnsi="Times New Roman"/>
          <w:b/>
          <w:i w:val="0"/>
          <w:sz w:val="22"/>
        </w:rPr>
        <w:t xml:space="preserve">Phase 2 (representation similarity): </w:t>
      </w:r>
      <w:r>
        <w:rPr>
          <w:rFonts w:ascii="Times New Roman" w:hAnsi="Times New Roman"/>
          <w:b w:val="0"/>
          <w:i w:val="0"/>
          <w:sz w:val="22"/>
        </w:rPr>
        <w:t>Linear CKA on 5,000 test examples at three points: input, pre-activation (FC1_pre), and post-ReLU (FC1_post). Auxiliary: sparsity, PCA, t-SNE.</w:t>
      </w:r>
    </w:p>
    <w:p>
      <w:r>
        <w:rPr>
          <w:rFonts w:ascii="Times New Roman" w:hAnsi="Times New Roman"/>
          <w:b/>
          <w:i w:val="0"/>
          <w:sz w:val="22"/>
        </w:rPr>
        <w:t>Phase 3 (memorization scoring): Per-sample loss on clean model to identify high-loss examples. Conjugate-gradient influence scores. Hidden-unit sparsity and class selectivity as structural diagnostics.</w:t>
      </w:r>
      <w:r>
        <w:rPr>
          <w:rFonts w:ascii="Times New Roman" w:hAnsi="Times New Roman"/>
          <w:b w:val="0"/>
          <w:i w:val="0"/>
          <w:sz w:val="22"/>
        </w:rPr>
      </w:r>
    </w:p>
    <w:p>
      <w:r>
        <w:rPr>
          <w:rFonts w:ascii="Times New Roman" w:hAnsi="Times New Roman"/>
          <w:b/>
          <w:i w:val="0"/>
          <w:sz w:val="22"/>
        </w:rPr>
        <w:t xml:space="preserve">Phase 4 (causal intervention): </w:t>
      </w:r>
      <w:r>
        <w:rPr>
          <w:rFonts w:ascii="Times New Roman" w:hAnsi="Times New Roman"/>
          <w:b w:val="0"/>
          <w:i w:val="0"/>
          <w:sz w:val="22"/>
        </w:rPr>
        <w:t>For each Regime B configuration, a rank-one edit ΔW = (v – Wu)u˙ / u·u is applied to FC1 or FC2. We measure accuracy recovery on the source class and side effects on other classes. A rank-ablation study replaces W with its best rank-k approximation for k=1–10.</w:t>
      </w:r>
    </w:p>
    <w:p>
      <w:pPr>
        <w:pStyle w:val="Heading2"/>
      </w:pPr>
      <w:r>
        <w:rPr>
          <w:rFonts w:ascii="Times New Roman" w:hAnsi="Times New Roman"/>
        </w:rPr>
        <w:t>3.4 Separability Metrics</w:t>
      </w:r>
    </w:p>
    <w:p>
      <w:r>
        <w:rPr>
          <w:rFonts w:ascii="Times New Roman" w:hAnsi="Times New Roman"/>
          <w:b w:val="0"/>
          <w:i w:val="0"/>
          <w:sz w:val="22"/>
        </w:rPr>
        <w:t>The Fisher discriminant ratio (FDR = tr(S_B)/tr(S_W)) is the main class-separability metric. It is dimension-invariant, making it suitable for cross-width comparisons. The Davies-Bouldin index is an auxiliary diagnostic for t-SNE visualizations.</w:t>
      </w:r>
    </w:p>
    <w:p>
      <w:pPr>
        <w:pStyle w:val="Heading1"/>
      </w:pPr>
      <w:r>
        <w:rPr>
          <w:rFonts w:ascii="Times New Roman" w:hAnsi="Times New Roman"/>
        </w:rPr>
        <w:t>4. RESULTS</w:t>
      </w:r>
    </w:p>
    <w:p>
      <w:pPr>
        <w:pStyle w:val="Heading2"/>
      </w:pPr>
      <w:r>
        <w:rPr>
          <w:rFonts w:ascii="Times New Roman" w:hAnsi="Times New Roman"/>
        </w:rPr>
        <w:t>4.1 Phase 1: Weight Geometry</w:t>
      </w:r>
    </w:p>
    <w:p>
      <w:r>
        <w:rPr>
          <w:rFonts w:ascii="Times New Roman" w:hAnsi="Times New Roman"/>
          <w:b w:val="0"/>
          <w:i/>
          <w:sz w:val="22"/>
        </w:rPr>
        <w:t>Table 1. Phase 1 results: weight geometry and accuracy (10 seeds, 95% CI).</w:t>
      </w:r>
    </w:p>
    <w:p>
      <w:r>
        <w:rPr>
          <w:rFonts w:ascii="Times New Roman" w:hAnsi="Times New Roman"/>
          <w:b w:val="0"/>
          <w:i w:val="0"/>
          <w:sz w:val="22"/>
        </w:rPr>
        <w:t>Corrupted training reduces test accuracy from 95.31% to 93.71%. Training accuracy reaches 94.21% rather than 100%; the 16-unit layer lacks capacity to memorize all 12,000 corrupted samples within 20 epochs and prioritizes clean labels. Both spectral norms decrease significantly (FC1: 4.37 to 3.66; FC2: 2.58 to 1.39; all p&lt;0.001). Frobenius norms also drop (FC1: 12.56 to 10.33; FC2: 4.99 to 2.79). The final gradient norm rises slightly (0.94 to 1.00), suggesting unresolved label conflicts.</w:t>
      </w:r>
    </w:p>
    <w:p>
      <w:pPr>
        <w:pStyle w:val="Heading2"/>
      </w:pPr>
      <w:r>
        <w:rPr>
          <w:rFonts w:ascii="Times New Roman" w:hAnsi="Times New Roman"/>
        </w:rPr>
        <w:t>4.2 Phase 2: Representation Similarity</w:t>
      </w:r>
    </w:p>
    <w:p>
      <w:r>
        <w:rPr>
          <w:rFonts w:ascii="Times New Roman" w:hAnsi="Times New Roman"/>
          <w:b w:val="0"/>
          <w:i/>
          <w:sz w:val="22"/>
        </w:rPr>
        <w:t>Table 2. Phase 2 results: CKA representation similarity (10 seeds, 95% CI).</w:t>
      </w:r>
    </w:p>
    <w:p>
      <w:r>
        <w:rPr>
          <w:rFonts w:ascii="Times New Roman" w:hAnsi="Times New Roman"/>
          <w:b w:val="0"/>
          <w:i w:val="0"/>
          <w:sz w:val="22"/>
        </w:rPr>
        <w:t>CKA between input and FC1_pre changes little (0.712 to 0.693, p&lt;0.10). The linear projection in FC1 is stable across training regimes. CKA between FC1_pre and FC1_post drops from 0.850 to 0.690 (p&lt;0.001). This means the ReLU transformation changes substantially under corruption, while the linear projection does not. Corrupted models show higher activation sparsity (0.357 to 0.576) and lower mean activations (4.83 to 1.53).</w:t>
      </w:r>
    </w:p>
    <w:p>
      <w:pPr>
        <w:pStyle w:val="Heading2"/>
      </w:pPr>
      <w:r>
        <w:rPr>
          <w:rFonts w:ascii="Times New Roman" w:hAnsi="Times New Roman"/>
        </w:rPr>
        <w:t>4.3 Phase 3: Memorization Scoring</w:t>
      </w:r>
    </w:p>
    <w:p>
      <w:r>
        <w:rPr>
          <w:rFonts w:ascii="Times New Roman" w:hAnsi="Times New Roman"/>
          <w:b w:val="0"/>
          <w:i/>
          <w:sz w:val="22"/>
        </w:rPr>
        <w:t>Table 3. Phase 3 results: memorization scoring and hidden-unit diagnostics (10 seeds, 95% CI).</w:t>
      </w:r>
    </w:p>
    <w:p>
      <w:r>
        <w:rPr>
          <w:rFonts w:ascii="Times New Roman" w:hAnsi="Times New Roman"/>
          <w:b w:val="0"/>
          <w:i w:val="0"/>
          <w:sz w:val="22"/>
        </w:rPr>
        <w:t>The mean loss gap is −0.051 [−0.057, −0.045]: corrupted examples have slightly higher loss than clean ones under the clean model. A logistic regression trained on hidden activations to predict corruption achieves AUC = 0.514, barely above random (0.5). This is expected: the quadratic Hessian approximation degrades in non-convex settings, and the 16-unit bottleneck compresses examples into overlapping loss distributions. The probe is not useful as a detector; it only indicates that the corruption signal exists weakly in the hidden representations. This does not contradict the loss-gap finding, which measures mean rather than per-example separability.</w:t>
      </w:r>
    </w:p>
    <w:p>
      <w:r>
        <w:rPr>
          <w:rFonts w:ascii="Times New Roman" w:hAnsi="Times New Roman"/>
          <w:b w:val="0"/>
          <w:i w:val="0"/>
          <w:sz w:val="22"/>
        </w:rPr>
        <w:t>At 16 hidden units, mean of 6.6 class-selective units per class [6.1, 7.1], and 26.9% [20.2%, 33.6%] of hidden units are class-selective (activation correlation &gt; 0.5 with a single class). Even at this width, the network develops measurable functional specialization.</w:t>
      </w:r>
    </w:p>
    <w:p>
      <w:pPr>
        <w:pStyle w:val="Heading2"/>
      </w:pPr>
      <w:r>
        <w:rPr>
          <w:rFonts w:ascii="Times New Roman" w:hAnsi="Times New Roman"/>
        </w:rPr>
        <w:t>4.4 Phase 4: Causal Intervention via Rank-One Editing</w:t>
      </w:r>
    </w:p>
    <w:p>
      <w:r>
        <w:rPr>
          <w:rFonts w:ascii="Times New Roman" w:hAnsi="Times New Roman"/>
          <w:b w:val="0"/>
          <w:i w:val="0"/>
          <w:sz w:val="22"/>
        </w:rPr>
        <w:t>Phase 4 is a separate targeted-intervention experiment, not a direct continuation of the random-noise setting used in Phases 1–3. This phase uses Regime B (targeted class swaps), which is a different memorization setting from the random noise used in Phases 1–3. Results should be interpreted as a separate causal experiment, not a direct extension of the correlational findings.</w:t>
      </w:r>
    </w:p>
    <w:p>
      <w:r>
        <w:rPr>
          <w:rFonts w:ascii="Times New Roman" w:hAnsi="Times New Roman"/>
          <w:b w:val="0"/>
          <w:i/>
          <w:sz w:val="22"/>
        </w:rPr>
        <w:t>Table 4. Phase 4 results: accuracy recovery by class-swap configuration (5 seeds).</w:t>
      </w:r>
    </w:p>
    <w:p>
      <w:r>
        <w:rPr>
          <w:rFonts w:ascii="Times New Roman" w:hAnsi="Times New Roman"/>
          <w:b w:val="0"/>
          <w:i w:val="0"/>
          <w:sz w:val="22"/>
        </w:rPr>
        <w:t>Rank-one edits recover source-class accuracy in all four configurations: 9.7 percentage points (0→8) to 21.7 pp (1→7), mean 14.4 pp. Side effects on non-targeted classes range from 17% to 25%. This is consistent with the neuron measurements from Phase 3: a mean of 6.6 units per class sharing 16 neurons, and 26.9% class selectivity, mean class-associated units necessarily overlap. A rank-one edit targeting one class perturbs shared directions others depend on.</w:t>
      </w:r>
    </w:p>
    <w:p>
      <w:r>
        <w:rPr>
          <w:rFonts w:ascii="Times New Roman" w:hAnsi="Times New Roman"/>
          <w:b w:val="0"/>
          <w:i w:val="0"/>
          <w:sz w:val="22"/>
        </w:rPr>
        <w:t>Random rank-one edits of equal norm recover 0% of accuracy in every seed. This confirms the edit direction matters, not just the magnitude.</w:t>
      </w:r>
    </w:p>
    <w:p>
      <w:r>
        <w:rPr>
          <w:rFonts w:ascii="Times New Roman" w:hAnsi="Times New Roman"/>
          <w:b w:val="0"/>
          <w:i w:val="0"/>
          <w:sz w:val="22"/>
        </w:rPr>
        <w:t>Editing both layers sequentially (fc2→fc1) does not improve over fc2 alone: recovery drops from 10–22% (fc2 only) to 5–18% (both layers). Edits to fc1 alone recover 0%. This matches the CKA result: memorization concentrates at the output-adjacent layer.</w:t>
      </w:r>
    </w:p>
    <w:p>
      <w:r>
        <w:rPr>
          <w:rFonts w:ascii="Times New Roman" w:hAnsi="Times New Roman"/>
          <w:b w:val="0"/>
          <w:i/>
          <w:sz w:val="22"/>
        </w:rPr>
        <w:t>Table 5. Rank-ablation: test accuracy vs. SVD rank of fc2 (10 seeds, 95% CI).</w:t>
      </w:r>
    </w:p>
    <w:p>
      <w:r>
        <w:rPr>
          <w:rFonts w:ascii="Times New Roman" w:hAnsi="Times New Roman"/>
          <w:b w:val="0"/>
          <w:i w:val="0"/>
          <w:sz w:val="22"/>
        </w:rPr>
        <w:t>A rank-eight approximation (of 10 possible) recovers about 93% of full test accuracy in both clean and corrupted models. Rank-8 preserves most predictive performance, indicating that much of the model's behavior is captured by a relatively low-rank structure.</w:t>
      </w:r>
    </w:p>
    <w:p>
      <w:pPr>
        <w:pStyle w:val="Heading2"/>
      </w:pPr>
      <w:r>
        <w:rPr>
          <w:rFonts w:ascii="Times New Roman" w:hAnsi="Times New Roman"/>
        </w:rPr>
        <w:t>4.5 Width-Scaling Analysis</w:t>
      </w:r>
    </w:p>
    <w:p>
      <w:r>
        <w:rPr>
          <w:rFonts w:ascii="Times New Roman" w:hAnsi="Times New Roman"/>
          <w:b w:val="0"/>
          <w:i/>
          <w:sz w:val="22"/>
        </w:rPr>
        <w:t>Table 6. Scaling: FDR, class selectivity, class-selective unit count, sparsity, accuracy vs. width (10 seeds).</w:t>
      </w:r>
    </w:p>
    <w:p>
      <w:r>
        <w:rPr>
          <w:rFonts w:ascii="Times New Roman" w:hAnsi="Times New Roman"/>
          <w:b w:val="0"/>
          <w:i w:val="0"/>
          <w:sz w:val="22"/>
        </w:rPr>
        <w:t>FDR drops from 0.862 at 16 units to 0.387 at 1,024 units. Clean-model CKA at the ReLU stays stable (0.83–0.90). Class selectivity falls from 26.9% to 7.5%. Class-selective unit count shrinks from 6.6 to 0.0 units per class. Wider networks distribute class information across more directions. Individual hidden units become less specialized, and memorized associations become harder to isolate.</w:t>
      </w:r>
    </w:p>
    <w:p>
      <w:pPr>
        <w:pStyle w:val="Heading1"/>
      </w:pPr>
      <w:r>
        <w:rPr>
          <w:rFonts w:ascii="Times New Roman" w:hAnsi="Times New Roman"/>
        </w:rPr>
        <w:t>5. DISCUSSION</w:t>
      </w:r>
    </w:p>
    <w:p>
      <w:pPr>
        <w:pStyle w:val="Heading2"/>
      </w:pPr>
      <w:r>
        <w:rPr>
          <w:rFonts w:ascii="Times New Roman" w:hAnsi="Times New Roman"/>
        </w:rPr>
        <w:t>5.1 Summary of Findings</w:t>
      </w:r>
    </w:p>
    <w:p>
      <w:r>
        <w:rPr>
          <w:rFonts w:ascii="Times New Roman" w:hAnsi="Times New Roman"/>
          <w:b w:val="0"/>
          <w:i w:val="0"/>
          <w:sz w:val="22"/>
        </w:rPr>
        <w:t>The four phases give a mixed picture. Phases 1–3 show that random label noise correlates with measurable changes in weight norms, post-activation representations, and loss distributions. Phase 4 shows that targeted rank-one edits can partially reverse memorized associations in a different corruption setting. The strongest single result is the CKA drop at the ReLU: it appears after the ReLU nonlinearity rather than the linear projection. The rank-one intervention confirms that edit direction carries meaningful information. The weakest result is the influence classifier (AUC 0.514), which is statistically detectable but practically useless as a detector.</w:t>
      </w:r>
    </w:p>
    <w:p>
      <w:pPr>
        <w:pStyle w:val="Heading2"/>
      </w:pPr>
      <w:r>
        <w:rPr>
          <w:rFonts w:ascii="Times New Roman" w:hAnsi="Times New Roman"/>
        </w:rPr>
        <w:t>5.2 What This Does and Does Not Show</w:t>
      </w:r>
    </w:p>
    <w:p>
      <w:r>
        <w:rPr>
          <w:rFonts w:ascii="Times New Roman" w:hAnsi="Times New Roman"/>
          <w:b w:val="0"/>
          <w:i w:val="0"/>
          <w:sz w:val="22"/>
        </w:rPr>
        <w:t>This paper does not claim to have found a general "memorization fingerprint" usable across architectures. The results show that in a 16-unit network trained on MNIST, label corruption leaves detectable traces in weight norms, post-activation geometry, and loss distribution. Rank-one interventions can partially reverse the effect of targeted class swaps. These findings are specific to the compressed architecture tested. The scaling analysis suggests they become weaker in wider networks.</w:t>
      </w:r>
    </w:p>
    <w:p>
      <w:pPr>
        <w:pStyle w:val="Heading2"/>
      </w:pPr>
      <w:r>
        <w:rPr>
          <w:rFonts w:ascii="Times New Roman" w:hAnsi="Times New Roman"/>
        </w:rPr>
        <w:t>5.3 Limitations</w:t>
      </w:r>
    </w:p>
    <w:p>
      <w:r>
        <w:rPr>
          <w:rFonts w:ascii="Times New Roman" w:hAnsi="Times New Roman"/>
          <w:b w:val="0"/>
          <w:i w:val="0"/>
          <w:sz w:val="22"/>
        </w:rPr>
        <w:t>First, all primary results use a single architecture (784-16-10) and dataset (MNIST). The scaling analysis extends separability metrics across widths but does not repeat the full pipeline at each width.</w:t>
      </w:r>
    </w:p>
    <w:p>
      <w:r>
        <w:rPr>
          <w:rFonts w:ascii="Times New Roman" w:hAnsi="Times New Roman"/>
          <w:b w:val="0"/>
          <w:i w:val="0"/>
          <w:sz w:val="22"/>
        </w:rPr>
        <w:t>Second, Phases 1–3 use Regime A (random label noise) while Phase 4 uses Regime B (targeted class swaps). These are different memorization settings. The causal intervention does not test the same phenomenon as the correlational phases.</w:t>
      </w:r>
    </w:p>
    <w:p>
      <w:r>
        <w:rPr>
          <w:rFonts w:ascii="Times New Roman" w:hAnsi="Times New Roman"/>
          <w:b w:val="0"/>
          <w:i w:val="0"/>
          <w:sz w:val="22"/>
        </w:rPr>
        <w:t>Third, FDR and class selectivity degrade at wider widths. The rank-one editing approach may be an artifact of the 16-unit bottleneck and may not transfer to wider networks.</w:t>
      </w:r>
    </w:p>
    <w:p>
      <w:r>
        <w:rPr>
          <w:rFonts w:ascii="Times New Roman" w:hAnsi="Times New Roman"/>
          <w:b w:val="0"/>
          <w:i w:val="0"/>
          <w:sz w:val="22"/>
        </w:rPr>
        <w:t>Fourth, ROME recovery is partial (10–22%) and has non-trivial side effects (17–25%). The influence detector is practically weak (AUC 0.514). Training accuracy plateaus at 94.21% because the 16-unit layer cannot memorize all 12,000 corrupted samples.</w:t>
      </w:r>
    </w:p>
    <w:p>
      <w:pPr>
        <w:pStyle w:val="Heading2"/>
      </w:pPr>
      <w:r>
        <w:rPr>
          <w:rFonts w:ascii="Times New Roman" w:hAnsi="Times New Roman"/>
        </w:rPr>
        <w:t>5.4 Future Directions</w:t>
      </w:r>
    </w:p>
    <w:p>
      <w:r>
        <w:rPr>
          <w:rFonts w:ascii="Times New Roman" w:hAnsi="Times New Roman"/>
          <w:b w:val="0"/>
          <w:i w:val="0"/>
          <w:sz w:val="22"/>
        </w:rPr>
        <w:t>The pipeline could be extended by: varying corruption rate from 0% to 100%; repeating the full pipeline at multiple widths to test whether the low-rank subspace hypothesis holds as capacity increases; applying the same diagnostics to convolutional networks on harder datasets; and testing whether the identified memorization subspace can be exploited for targeted unlearning.</w:t>
      </w:r>
    </w:p>
    <w:p>
      <w:pPr>
        <w:pStyle w:val="Heading1"/>
      </w:pPr>
      <w:r>
        <w:rPr>
          <w:rFonts w:ascii="Times New Roman" w:hAnsi="Times New Roman"/>
        </w:rPr>
        <w:t>6. CONCLUSION</w:t>
      </w:r>
    </w:p>
    <w:p>
      <w:r>
        <w:rPr>
          <w:rFonts w:ascii="Times New Roman" w:hAnsi="Times New Roman"/>
          <w:b w:val="0"/>
          <w:i w:val="0"/>
          <w:sz w:val="22"/>
        </w:rPr>
        <w:t>We presented a four-phase analysis of label memorization in a two-layer ReLU network trained on MNIST. Across 10 seeds with 95% CI, we observed that label corruption reduces weight norms in both layers, alters the ReLU transformation (CKA: 0.850 to 0.690, p&lt;0.001), and produces a statistically detectable but practically weak influence signal (AUC 0.514, loss gap −0.051). In a separate targeted-corruption setting, rank-one edits recover partial accuracy (10–22%), while random edits recover 0%. A rank-eight SVD approximation recovers about 93% of full accuracy. Scaling shows class separability decreases with width (FDR: 0.862 to 0.387). These results suggest that memorization leaves detectable structural traces in compressed architectures, but these traces weaken as networks grow wider.</w:t>
      </w:r>
    </w:p>
    <w:p>
      <w:pPr>
        <w:pStyle w:val="Heading1"/>
      </w:pPr>
      <w:r>
        <w:rPr>
          <w:rFonts w:ascii="Times New Roman" w:hAnsi="Times New Roman"/>
        </w:rPr>
        <w:t>Data and Code Availability</w:t>
      </w:r>
    </w:p>
    <w:p>
      <w:r>
        <w:rPr>
          <w:rFonts w:ascii="Times New Roman" w:hAnsi="Times New Roman"/>
          <w:b w:val="0"/>
          <w:i w:val="0"/>
          <w:sz w:val="22"/>
        </w:rPr>
        <w:t>All code, configurations, trained checkpoints, and figure scripts are publicly available. The full pipeline can be reproduced with a single command. Repository: https://github.com/shamiquekhan/four-phase-memorization-analysis</w:t>
      </w:r>
    </w:p>
    <w:p>
      <w:pPr>
        <w:pStyle w:val="Heading1"/>
      </w:pPr>
      <w:r>
        <w:rPr>
          <w:rFonts w:ascii="Times New Roman" w:hAnsi="Times New Roman"/>
        </w:rPr>
        <w:t>REFERENCES</w:t>
      </w:r>
    </w:p>
    <w:p>
      <w:r>
        <w:rPr>
          <w:rFonts w:ascii="Times New Roman" w:hAnsi="Times New Roman"/>
          <w:b w:val="0"/>
          <w:i w:val="0"/>
          <w:sz w:val="22"/>
        </w:rPr>
        <w:t>[1] Zhang C, Bengio S, Hardt M, Recht B, Vinyals O. Understanding deep learning requires rethinking generalization. ICLR 2017.</w:t>
      </w:r>
    </w:p>
    <w:p>
      <w:r>
        <w:rPr>
          <w:rFonts w:ascii="Times New Roman" w:hAnsi="Times New Roman"/>
          <w:b w:val="0"/>
          <w:i w:val="0"/>
          <w:sz w:val="22"/>
        </w:rPr>
        <w:t>[2] Kornblith S, Norouzi M, Lee H, Hinton G. Similarity of neural network representations revisited. ICML 2019.</w:t>
      </w:r>
    </w:p>
    <w:p>
      <w:r>
        <w:rPr>
          <w:rFonts w:ascii="Times New Roman" w:hAnsi="Times New Roman"/>
          <w:b w:val="0"/>
          <w:i w:val="0"/>
          <w:sz w:val="22"/>
        </w:rPr>
        <w:t>[3] Koh PW, Liang P. Understanding black-box predictions via influence functions. ICML 2017.</w:t>
      </w:r>
    </w:p>
    <w:p>
      <w:r>
        <w:rPr>
          <w:rFonts w:ascii="Times New Roman" w:hAnsi="Times New Roman"/>
          <w:b w:val="0"/>
          <w:i w:val="0"/>
          <w:sz w:val="22"/>
        </w:rPr>
        <w:t>[4] Meng K, Bau D, Andonian A, Belinkov Y. Locating and editing factual associations in GPT. NeurIPS 2022.</w:t>
      </w:r>
    </w:p>
    <w:p>
      <w:r>
        <w:rPr>
          <w:rFonts w:ascii="Times New Roman" w:hAnsi="Times New Roman"/>
          <w:b w:val="0"/>
          <w:i w:val="0"/>
          <w:sz w:val="22"/>
        </w:rPr>
        <w:t>[5] Feldman V. Does learning require memorization? A short tale about a long tail. STOC 2020.</w:t>
      </w:r>
    </w:p>
    <w:p>
      <w:r>
        <w:rPr>
          <w:rFonts w:ascii="Times New Roman" w:hAnsi="Times New Roman"/>
          <w:b w:val="0"/>
          <w:i w:val="0"/>
          <w:sz w:val="22"/>
        </w:rPr>
        <w:t>[6] LeCun Y, Cortes C, Burges CJC. MNIST handwritten digit database. 1998.</w:t>
      </w:r>
    </w:p>
    <w:p>
      <w:r>
        <w:rPr>
          <w:rFonts w:ascii="Times New Roman" w:hAnsi="Times New Roman"/>
          <w:b w:val="0"/>
          <w:i w:val="0"/>
          <w:sz w:val="22"/>
        </w:rPr>
        <w:t>[7] Kingma DP, Ba J. Adam: A method for stochastic optimization. ICLR 2015.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